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0"/>
      </w:pPr>
      <w:r>
        <w:rPr>
          <w:rFonts w:ascii="Arial" w:hAnsi="Arial" w:eastAsia="Arial"/>
          <w:b/>
          <w:color w:val="FF6B35"/>
          <w:sz w:val="17"/>
        </w:rPr>
        <w:t>WORKSPACE USER GUIDE</w:t>
      </w:r>
    </w:p>
    <w:p>
      <w:pPr>
        <w:pStyle w:val="Title"/>
      </w:pPr>
      <w:r>
        <w:t>Maya Workspace Navigation Guide</w:t>
      </w:r>
    </w:p>
    <w:p>
      <w:pPr>
        <w:pStyle w:val="Subtitle"/>
      </w:pPr>
      <w:r>
        <w:t>Workspace  Projects  Operations World  Evidence</w:t>
      </w:r>
    </w:p>
    <w:p>
      <w:pPr>
        <w:spacing w:before="360" w:after="320"/>
      </w:pPr>
      <w:r>
        <w:rPr>
          <w:rFonts w:ascii="Consolas" w:hAnsi="Consolas" w:eastAsia="Consolas"/>
          <w:b/>
          <w:color w:val="5E6862"/>
          <w:sz w:val="18"/>
        </w:rPr>
        <w:t>Version 4  |  5 September 2026  |  Front-end concept</w:t>
      </w:r>
    </w:p>
    <w:p>
      <w:pPr>
        <w:spacing w:after="260"/>
      </w:pPr>
      <w:r>
        <w:rPr>
          <w:rFonts w:ascii="Arial" w:hAnsi="Arial" w:eastAsia="Arial"/>
          <w:sz w:val="24"/>
        </w:rPr>
        <w:t>This guide explains the complete Maya Workspace journey: onboard a client, create a collaborative project, bring in governed data and IoT signals, mount specialist apps, inspect evidence, work with expert agents, compare an operations-research response, and stop at a human decision gate.</w:t>
      </w:r>
    </w:p>
    <w:p>
      <w:pPr>
        <w:pStyle w:val="Heading2"/>
        <w:keepNext/>
      </w:pPr>
      <w:r>
        <w:t>Use this guide</w:t>
      </w:r>
    </w:p>
    <w:p>
      <w:pPr>
        <w:spacing w:after="80"/>
        <w:ind w:left="346" w:hanging="346"/>
      </w:pPr>
      <w:r>
        <w:rPr>
          <w:rFonts w:ascii="Arial" w:hAnsi="Arial" w:eastAsia="Arial"/>
          <w:b/>
        </w:rPr>
        <w:t xml:space="preserve">1.  </w:t>
      </w:r>
      <w:r>
        <w:t>For a five minute walkthrough, follow the Fastest demonstration route on the next page.</w:t>
      </w:r>
    </w:p>
    <w:p>
      <w:pPr>
        <w:spacing w:after="80"/>
        <w:ind w:left="346" w:hanging="346"/>
      </w:pPr>
      <w:r>
        <w:rPr>
          <w:rFonts w:ascii="Arial" w:hAnsi="Arial" w:eastAsia="Arial"/>
          <w:b/>
        </w:rPr>
        <w:t xml:space="preserve">2.  </w:t>
      </w:r>
      <w:r>
        <w:t>For project delivery, start with Workspace hierarchy and Project tabs.</w:t>
      </w:r>
    </w:p>
    <w:p>
      <w:pPr>
        <w:spacing w:after="80"/>
        <w:ind w:left="346" w:hanging="346"/>
      </w:pPr>
      <w:r>
        <w:rPr>
          <w:rFonts w:ascii="Arial" w:hAnsi="Arial" w:eastAsia="Arial"/>
          <w:b/>
        </w:rPr>
        <w:t xml:space="preserve">3.  </w:t>
      </w:r>
      <w:r>
        <w:t>For trust and governance, read Evidence receipts, Agents, and Concept boundaries before demonstrating an approval or optimization flow.</w:t>
      </w:r>
    </w:p>
    <w:p>
      <w:r>
        <w:rPr>
          <w:rFonts w:ascii="Arial" w:hAnsi="Arial" w:eastAsia="Arial"/>
          <w:b/>
        </w:rPr>
        <w:t xml:space="preserve">Important boundary  </w:t>
      </w:r>
      <w:r>
        <w:t>All companies, records, calculations, alerts, maps, agents, source connections, and outcomes in the current experience are synthetic. Browser interactions create session-only state. No live enterprise system, external data provider, solver, credential, model training loop, or operational write-back is connected.</w:t>
      </w:r>
    </w:p>
    <w:p>
      <w:r>
        <w:br w:type="page"/>
      </w:r>
    </w:p>
    <w:p>
      <w:pPr>
        <w:spacing w:after="100"/>
      </w:pPr>
      <w:r>
        <w:rPr>
          <w:rFonts w:ascii="Arial" w:hAnsi="Arial" w:eastAsia="Arial"/>
          <w:b/>
          <w:color w:val="FF6B35"/>
          <w:sz w:val="17"/>
        </w:rPr>
        <w:t>ORIENTATION</w:t>
      </w:r>
    </w:p>
    <w:p>
      <w:pPr>
        <w:pStyle w:val="Heading1"/>
        <w:keepNext/>
      </w:pPr>
      <w:r>
        <w:t>Platform map</w:t>
      </w:r>
    </w:p>
    <w:p>
      <w:pPr>
        <w:spacing w:after="200"/>
      </w:pPr>
      <w:r>
        <w:t>Maya organizes work around a client project. The platform, apps, agents, and evidence all inherit that project context.</w:t>
      </w:r>
    </w:p>
    <w:p>
      <w:pPr>
        <w:spacing w:after="40"/>
        <w:ind w:left="360"/>
      </w:pPr>
      <w:r>
        <w:rPr>
          <w:rFonts w:ascii="Consolas" w:hAnsi="Consolas" w:eastAsia="Consolas"/>
          <w:color w:val="111815"/>
          <w:sz w:val="16"/>
        </w:rPr>
        <w:t>Workspace</w:t>
      </w:r>
    </w:p>
    <w:p>
      <w:pPr>
        <w:spacing w:after="40"/>
        <w:ind w:left="360"/>
      </w:pPr>
      <w:r>
        <w:rPr>
          <w:rFonts w:ascii="Consolas" w:hAnsi="Consolas" w:eastAsia="Consolas"/>
          <w:color w:val="111815"/>
          <w:sz w:val="16"/>
        </w:rPr>
        <w:t xml:space="preserve">  Operations World (Global or Regional)</w:t>
      </w:r>
    </w:p>
    <w:p>
      <w:pPr>
        <w:spacing w:after="40"/>
        <w:ind w:left="360"/>
      </w:pPr>
      <w:r>
        <w:rPr>
          <w:rFonts w:ascii="Consolas" w:hAnsi="Consolas" w:eastAsia="Consolas"/>
          <w:color w:val="111815"/>
          <w:sz w:val="16"/>
        </w:rPr>
        <w:t xml:space="preserve">  Sector</w:t>
      </w:r>
    </w:p>
    <w:p>
      <w:pPr>
        <w:spacing w:after="40"/>
        <w:ind w:left="360"/>
      </w:pPr>
      <w:r>
        <w:rPr>
          <w:rFonts w:ascii="Consolas" w:hAnsi="Consolas" w:eastAsia="Consolas"/>
          <w:color w:val="111815"/>
          <w:sz w:val="16"/>
        </w:rPr>
        <w:t xml:space="preserve">    Client</w:t>
      </w:r>
    </w:p>
    <w:p>
      <w:pPr>
        <w:spacing w:after="40"/>
        <w:ind w:left="360"/>
      </w:pPr>
      <w:r>
        <w:rPr>
          <w:rFonts w:ascii="Consolas" w:hAnsi="Consolas" w:eastAsia="Consolas"/>
          <w:color w:val="111815"/>
          <w:sz w:val="16"/>
        </w:rPr>
        <w:t xml:space="preserve">      Project</w:t>
      </w:r>
    </w:p>
    <w:p>
      <w:pPr>
        <w:spacing w:after="40"/>
        <w:ind w:left="360"/>
      </w:pPr>
      <w:r>
        <w:rPr>
          <w:rFonts w:ascii="Consolas" w:hAnsi="Consolas" w:eastAsia="Consolas"/>
          <w:color w:val="111815"/>
          <w:sz w:val="16"/>
        </w:rPr>
        <w:t xml:space="preserve">        Overview and collaborators</w:t>
      </w:r>
    </w:p>
    <w:p>
      <w:pPr>
        <w:spacing w:after="40"/>
        <w:ind w:left="360"/>
      </w:pPr>
      <w:r>
        <w:rPr>
          <w:rFonts w:ascii="Consolas" w:hAnsi="Consolas" w:eastAsia="Consolas"/>
          <w:color w:val="111815"/>
          <w:sz w:val="16"/>
        </w:rPr>
        <w:t xml:space="preserve">        Decisions and review</w:t>
      </w:r>
    </w:p>
    <w:p>
      <w:pPr>
        <w:spacing w:after="40"/>
        <w:ind w:left="360"/>
      </w:pPr>
      <w:r>
        <w:rPr>
          <w:rFonts w:ascii="Consolas" w:hAnsi="Consolas" w:eastAsia="Consolas"/>
          <w:color w:val="111815"/>
          <w:sz w:val="16"/>
        </w:rPr>
        <w:t xml:space="preserve">        Apps, data and IoT requests</w:t>
      </w:r>
    </w:p>
    <w:p>
      <w:pPr>
        <w:spacing w:after="40"/>
        <w:ind w:left="360"/>
      </w:pPr>
      <w:r>
        <w:rPr>
          <w:rFonts w:ascii="Consolas" w:hAnsi="Consolas" w:eastAsia="Consolas"/>
          <w:color w:val="111815"/>
          <w:sz w:val="16"/>
        </w:rPr>
        <w:t xml:space="preserve">        Knowledge graph and agents</w:t>
      </w:r>
    </w:p>
    <w:p>
      <w:pPr>
        <w:spacing w:after="40"/>
        <w:ind w:left="360"/>
      </w:pPr>
      <w:r>
        <w:rPr>
          <w:rFonts w:ascii="Consolas" w:hAnsi="Consolas" w:eastAsia="Consolas"/>
          <w:color w:val="111815"/>
          <w:sz w:val="16"/>
        </w:rPr>
        <w:t xml:space="preserve">        Evidence and controls</w:t>
      </w:r>
    </w:p>
    <w:p>
      <w:pPr>
        <w:pStyle w:val="Heading2"/>
        <w:keepNext/>
      </w:pPr>
      <w:r>
        <w:t>Fastest demonstration route</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541"/>
        <w:gridCol w:w="2541"/>
        <w:gridCol w:w="2541"/>
        <w:gridCol w:w="2541"/>
      </w:tblGrid>
      <w:tr>
        <w:trPr>
          <w:tblHeader w:val="true"/>
          <w:cantSplit/>
        </w:trPr>
        <w:tc>
          <w:tcPr>
            <w:tcW w:type="dxa" w:w="605"/>
            <w:vAlign w:val="center"/>
            <w:tcMar>
              <w:top w:w="90" w:type="dxa"/>
              <w:start w:w="100" w:type="dxa"/>
              <w:bottom w:w="90" w:type="dxa"/>
              <w:end w:w="100" w:type="dxa"/>
            </w:tcMar>
            <w:shd w:fill="111815"/>
          </w:tcPr>
          <w:p>
            <w:pPr>
              <w:spacing w:after="0" w:line="259" w:lineRule="auto"/>
            </w:pPr>
            <w:r>
              <w:rPr>
                <w:rFonts w:ascii="Arial" w:hAnsi="Arial" w:eastAsia="Arial"/>
                <w:b/>
                <w:color w:val="FFFFFF"/>
                <w:sz w:val="16"/>
              </w:rPr>
              <w:t>Step</w:t>
            </w:r>
          </w:p>
        </w:tc>
        <w:tc>
          <w:tcPr>
            <w:tcW w:type="dxa" w:w="1944"/>
            <w:vAlign w:val="center"/>
            <w:tcMar>
              <w:top w:w="90" w:type="dxa"/>
              <w:start w:w="100" w:type="dxa"/>
              <w:bottom w:w="90" w:type="dxa"/>
              <w:end w:w="100" w:type="dxa"/>
            </w:tcMar>
            <w:shd w:fill="111815"/>
          </w:tcPr>
          <w:p>
            <w:pPr>
              <w:spacing w:after="0" w:line="259" w:lineRule="auto"/>
            </w:pPr>
            <w:r>
              <w:rPr>
                <w:rFonts w:ascii="Arial" w:hAnsi="Arial" w:eastAsia="Arial"/>
                <w:b/>
                <w:color w:val="FFFFFF"/>
                <w:sz w:val="16"/>
              </w:rPr>
              <w:t>Click</w:t>
            </w:r>
          </w:p>
        </w:tc>
        <w:tc>
          <w:tcPr>
            <w:tcW w:type="dxa" w:w="4680"/>
            <w:vAlign w:val="center"/>
            <w:tcMar>
              <w:top w:w="90" w:type="dxa"/>
              <w:start w:w="100" w:type="dxa"/>
              <w:bottom w:w="90" w:type="dxa"/>
              <w:end w:w="100" w:type="dxa"/>
            </w:tcMar>
            <w:shd w:fill="111815"/>
          </w:tcPr>
          <w:p>
            <w:pPr>
              <w:spacing w:after="0" w:line="259" w:lineRule="auto"/>
            </w:pPr>
            <w:r>
              <w:rPr>
                <w:rFonts w:ascii="Arial" w:hAnsi="Arial" w:eastAsia="Arial"/>
                <w:b/>
                <w:color w:val="FFFFFF"/>
                <w:sz w:val="16"/>
              </w:rPr>
              <w:t>What the audience should notice</w:t>
            </w:r>
          </w:p>
        </w:tc>
        <w:tc>
          <w:tcPr>
            <w:tcW w:type="dxa" w:w="2088"/>
            <w:vAlign w:val="center"/>
            <w:tcMar>
              <w:top w:w="90" w:type="dxa"/>
              <w:start w:w="100" w:type="dxa"/>
              <w:bottom w:w="90" w:type="dxa"/>
              <w:end w:w="100" w:type="dxa"/>
            </w:tcMar>
            <w:shd w:fill="111815"/>
          </w:tcPr>
          <w:p>
            <w:pPr>
              <w:spacing w:after="0" w:line="259" w:lineRule="auto"/>
            </w:pPr>
            <w:r>
              <w:rPr>
                <w:rFonts w:ascii="Arial" w:hAnsi="Arial" w:eastAsia="Arial"/>
                <w:b/>
                <w:color w:val="FFFFFF"/>
                <w:sz w:val="16"/>
              </w:rPr>
              <w:t>Terminal result</w:t>
            </w:r>
          </w:p>
        </w:tc>
      </w:tr>
      <w:tr>
        <w:trPr>
          <w:cantSplit/>
        </w:trPr>
        <w:tc>
          <w:tcPr>
            <w:tcW w:type="dxa" w:w="605"/>
            <w:vAlign w:val="center"/>
            <w:tcMar>
              <w:top w:w="90" w:type="dxa"/>
              <w:start w:w="100" w:type="dxa"/>
              <w:bottom w:w="90" w:type="dxa"/>
              <w:end w:w="100" w:type="dxa"/>
            </w:tcMar>
          </w:tcPr>
          <w:p>
            <w:pPr>
              <w:keepNext w:val="0"/>
              <w:spacing w:after="0" w:line="259" w:lineRule="auto"/>
            </w:pPr>
            <w:r>
              <w:rPr>
                <w:rFonts w:ascii="Arial" w:hAnsi="Arial" w:eastAsia="Arial"/>
                <w:color w:val="111815"/>
                <w:sz w:val="16"/>
              </w:rPr>
              <w:t>1</w:t>
            </w:r>
          </w:p>
        </w:tc>
        <w:tc>
          <w:tcPr>
            <w:tcW w:type="dxa" w:w="1944"/>
            <w:vAlign w:val="center"/>
            <w:tcMar>
              <w:top w:w="90" w:type="dxa"/>
              <w:start w:w="100" w:type="dxa"/>
              <w:bottom w:w="90" w:type="dxa"/>
              <w:end w:w="100" w:type="dxa"/>
            </w:tcMar>
          </w:tcPr>
          <w:p>
            <w:pPr>
              <w:spacing w:after="0" w:line="259" w:lineRule="auto"/>
            </w:pPr>
            <w:r>
              <w:rPr>
                <w:rFonts w:ascii="Arial" w:hAnsi="Arial" w:eastAsia="Arial"/>
                <w:color w:val="111815"/>
                <w:sz w:val="16"/>
              </w:rPr>
              <w:t>Workspace</w:t>
            </w:r>
          </w:p>
        </w:tc>
        <w:tc>
          <w:tcPr>
            <w:tcW w:type="dxa" w:w="4680"/>
            <w:vAlign w:val="center"/>
            <w:tcMar>
              <w:top w:w="90" w:type="dxa"/>
              <w:start w:w="100" w:type="dxa"/>
              <w:bottom w:w="90" w:type="dxa"/>
              <w:end w:w="100" w:type="dxa"/>
            </w:tcMar>
          </w:tcPr>
          <w:p>
            <w:pPr>
              <w:spacing w:after="0" w:line="259" w:lineRule="auto"/>
            </w:pPr>
            <w:r>
              <w:rPr>
                <w:rFonts w:ascii="Arial" w:hAnsi="Arial" w:eastAsia="Arial"/>
                <w:color w:val="111815"/>
                <w:sz w:val="16"/>
              </w:rPr>
              <w:t>The left tree is Sector, Client, Project; the application opens here by default.</w:t>
            </w:r>
          </w:p>
        </w:tc>
        <w:tc>
          <w:tcPr>
            <w:tcW w:type="dxa" w:w="2088"/>
            <w:vAlign w:val="center"/>
            <w:tcMar>
              <w:top w:w="90" w:type="dxa"/>
              <w:start w:w="100" w:type="dxa"/>
              <w:bottom w:w="90" w:type="dxa"/>
              <w:end w:w="100" w:type="dxa"/>
            </w:tcMar>
          </w:tcPr>
          <w:p>
            <w:pPr>
              <w:spacing w:after="0" w:line="259" w:lineRule="auto"/>
            </w:pPr>
            <w:r>
              <w:rPr>
                <w:rFonts w:ascii="Arial" w:hAnsi="Arial" w:eastAsia="Arial"/>
                <w:color w:val="111815"/>
                <w:sz w:val="16"/>
              </w:rPr>
              <w:t>Client and project workspace</w:t>
            </w:r>
          </w:p>
        </w:tc>
      </w:tr>
      <w:tr>
        <w:trPr>
          <w:cantSplit/>
        </w:trPr>
        <w:tc>
          <w:tcPr>
            <w:tcW w:type="dxa" w:w="605"/>
            <w:vAlign w:val="center"/>
            <w:tcMar>
              <w:top w:w="90" w:type="dxa"/>
              <w:start w:w="100" w:type="dxa"/>
              <w:bottom w:w="90" w:type="dxa"/>
              <w:end w:w="100" w:type="dxa"/>
            </w:tcMar>
            <w:shd w:fill="F4F5F1"/>
          </w:tcPr>
          <w:p>
            <w:pPr>
              <w:keepNext w:val="0"/>
              <w:spacing w:after="0" w:line="259" w:lineRule="auto"/>
            </w:pPr>
            <w:r>
              <w:rPr>
                <w:rFonts w:ascii="Arial" w:hAnsi="Arial" w:eastAsia="Arial"/>
                <w:color w:val="111815"/>
                <w:sz w:val="16"/>
              </w:rPr>
              <w:t>2</w:t>
            </w:r>
          </w:p>
        </w:tc>
        <w:tc>
          <w:tcPr>
            <w:tcW w:type="dxa" w:w="1944"/>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Any project KPI</w:t>
            </w:r>
          </w:p>
        </w:tc>
        <w:tc>
          <w:tcPr>
            <w:tcW w:type="dxa" w:w="4680"/>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Every headline value exposes source type, formula, inputs, variable ID, confidence, trace, reviewer, and access scope.</w:t>
            </w:r>
          </w:p>
        </w:tc>
        <w:tc>
          <w:tcPr>
            <w:tcW w:type="dxa" w:w="2088"/>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Evidence drawer</w:t>
            </w:r>
          </w:p>
        </w:tc>
      </w:tr>
      <w:tr>
        <w:trPr>
          <w:cantSplit/>
        </w:trPr>
        <w:tc>
          <w:tcPr>
            <w:tcW w:type="dxa" w:w="605"/>
            <w:vAlign w:val="center"/>
            <w:tcMar>
              <w:top w:w="90" w:type="dxa"/>
              <w:start w:w="100" w:type="dxa"/>
              <w:bottom w:w="90" w:type="dxa"/>
              <w:end w:w="100" w:type="dxa"/>
            </w:tcMar>
          </w:tcPr>
          <w:p>
            <w:pPr>
              <w:keepNext w:val="0"/>
              <w:spacing w:after="0" w:line="259" w:lineRule="auto"/>
            </w:pPr>
            <w:r>
              <w:rPr>
                <w:rFonts w:ascii="Arial" w:hAnsi="Arial" w:eastAsia="Arial"/>
                <w:color w:val="111815"/>
                <w:sz w:val="16"/>
              </w:rPr>
              <w:t>3</w:t>
            </w:r>
          </w:p>
        </w:tc>
        <w:tc>
          <w:tcPr>
            <w:tcW w:type="dxa" w:w="1944"/>
            <w:vAlign w:val="center"/>
            <w:tcMar>
              <w:top w:w="90" w:type="dxa"/>
              <w:start w:w="100" w:type="dxa"/>
              <w:bottom w:w="90" w:type="dxa"/>
              <w:end w:w="100" w:type="dxa"/>
            </w:tcMar>
          </w:tcPr>
          <w:p>
            <w:pPr>
              <w:spacing w:after="0" w:line="259" w:lineRule="auto"/>
            </w:pPr>
            <w:r>
              <w:rPr>
                <w:rFonts w:ascii="Arial" w:hAnsi="Arial" w:eastAsia="Arial"/>
                <w:color w:val="111815"/>
                <w:sz w:val="16"/>
              </w:rPr>
              <w:t>Apps</w:t>
            </w:r>
          </w:p>
        </w:tc>
        <w:tc>
          <w:tcPr>
            <w:tcW w:type="dxa" w:w="4680"/>
            <w:vAlign w:val="center"/>
            <w:tcMar>
              <w:top w:w="90" w:type="dxa"/>
              <w:start w:w="100" w:type="dxa"/>
              <w:bottom w:w="90" w:type="dxa"/>
              <w:end w:w="100" w:type="dxa"/>
            </w:tcMar>
          </w:tcPr>
          <w:p>
            <w:pPr>
              <w:spacing w:after="0" w:line="259" w:lineRule="auto"/>
            </w:pPr>
            <w:r>
              <w:rPr>
                <w:rFonts w:ascii="Arial" w:hAnsi="Arial" w:eastAsia="Arial"/>
                <w:color w:val="111815"/>
                <w:sz w:val="16"/>
              </w:rPr>
              <w:t>Ten apps have different visual languages, interaction models, outputs, methods, and variables.</w:t>
            </w:r>
          </w:p>
        </w:tc>
        <w:tc>
          <w:tcPr>
            <w:tcW w:type="dxa" w:w="2088"/>
            <w:vAlign w:val="center"/>
            <w:tcMar>
              <w:top w:w="90" w:type="dxa"/>
              <w:start w:w="100" w:type="dxa"/>
              <w:bottom w:w="90" w:type="dxa"/>
              <w:end w:w="100" w:type="dxa"/>
            </w:tcMar>
          </w:tcPr>
          <w:p>
            <w:pPr>
              <w:spacing w:after="0" w:line="259" w:lineRule="auto"/>
            </w:pPr>
            <w:r>
              <w:rPr>
                <w:rFonts w:ascii="Arial" w:hAnsi="Arial" w:eastAsia="Arial"/>
                <w:color w:val="111815"/>
                <w:sz w:val="16"/>
              </w:rPr>
              <w:t>Project app graph</w:t>
            </w:r>
          </w:p>
        </w:tc>
      </w:tr>
      <w:tr>
        <w:trPr>
          <w:cantSplit/>
        </w:trPr>
        <w:tc>
          <w:tcPr>
            <w:tcW w:type="dxa" w:w="605"/>
            <w:vAlign w:val="center"/>
            <w:tcMar>
              <w:top w:w="90" w:type="dxa"/>
              <w:start w:w="100" w:type="dxa"/>
              <w:bottom w:w="90" w:type="dxa"/>
              <w:end w:w="100" w:type="dxa"/>
            </w:tcMar>
            <w:shd w:fill="F4F5F1"/>
          </w:tcPr>
          <w:p>
            <w:pPr>
              <w:keepNext w:val="0"/>
              <w:spacing w:after="0" w:line="259" w:lineRule="auto"/>
            </w:pPr>
            <w:r>
              <w:rPr>
                <w:rFonts w:ascii="Arial" w:hAnsi="Arial" w:eastAsia="Arial"/>
                <w:color w:val="111815"/>
                <w:sz w:val="16"/>
              </w:rPr>
              <w:t>4</w:t>
            </w:r>
          </w:p>
        </w:tc>
        <w:tc>
          <w:tcPr>
            <w:tcW w:type="dxa" w:w="1944"/>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MineralAtlas</w:t>
            </w:r>
          </w:p>
        </w:tc>
        <w:tc>
          <w:tcPr>
            <w:tcW w:type="dxa" w:w="4680"/>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Country, reserve, refinery, route, and product context use an atlas workflow rather than a generic dashboard.</w:t>
            </w:r>
          </w:p>
        </w:tc>
        <w:tc>
          <w:tcPr>
            <w:tcW w:type="dxa" w:w="2088"/>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Mineral sourcing scenario</w:t>
            </w:r>
          </w:p>
        </w:tc>
      </w:tr>
      <w:tr>
        <w:trPr>
          <w:cantSplit/>
        </w:trPr>
        <w:tc>
          <w:tcPr>
            <w:tcW w:type="dxa" w:w="605"/>
            <w:vAlign w:val="center"/>
            <w:tcMar>
              <w:top w:w="90" w:type="dxa"/>
              <w:start w:w="100" w:type="dxa"/>
              <w:bottom w:w="90" w:type="dxa"/>
              <w:end w:w="100" w:type="dxa"/>
            </w:tcMar>
          </w:tcPr>
          <w:p>
            <w:pPr>
              <w:keepNext w:val="0"/>
              <w:spacing w:after="0" w:line="259" w:lineRule="auto"/>
            </w:pPr>
            <w:r>
              <w:rPr>
                <w:rFonts w:ascii="Arial" w:hAnsi="Arial" w:eastAsia="Arial"/>
                <w:color w:val="111815"/>
                <w:sz w:val="16"/>
              </w:rPr>
              <w:t>5</w:t>
            </w:r>
          </w:p>
        </w:tc>
        <w:tc>
          <w:tcPr>
            <w:tcW w:type="dxa" w:w="1944"/>
            <w:vAlign w:val="center"/>
            <w:tcMar>
              <w:top w:w="90" w:type="dxa"/>
              <w:start w:w="100" w:type="dxa"/>
              <w:bottom w:w="90" w:type="dxa"/>
              <w:end w:w="100" w:type="dxa"/>
            </w:tcMar>
          </w:tcPr>
          <w:p>
            <w:pPr>
              <w:spacing w:after="0" w:line="259" w:lineRule="auto"/>
            </w:pPr>
            <w:r>
              <w:rPr>
                <w:rFonts w:ascii="Arial" w:hAnsi="Arial" w:eastAsia="Arial"/>
                <w:color w:val="111815"/>
                <w:sz w:val="16"/>
              </w:rPr>
              <w:t>Agents</w:t>
            </w:r>
          </w:p>
        </w:tc>
        <w:tc>
          <w:tcPr>
            <w:tcW w:type="dxa" w:w="4680"/>
            <w:vAlign w:val="center"/>
            <w:tcMar>
              <w:top w:w="90" w:type="dxa"/>
              <w:start w:w="100" w:type="dxa"/>
              <w:bottom w:w="90" w:type="dxa"/>
              <w:end w:w="100" w:type="dxa"/>
            </w:tcMar>
          </w:tcPr>
          <w:p>
            <w:pPr>
              <w:spacing w:after="0" w:line="259" w:lineRule="auto"/>
            </w:pPr>
            <w:r>
              <w:rPr>
                <w:rFonts w:ascii="Arial" w:hAnsi="Arial" w:eastAsia="Arial"/>
                <w:color w:val="111815"/>
                <w:sz w:val="16"/>
              </w:rPr>
              <w:t>A code-style session shows a bounded agent trace, skill and tool profile, steering controls, and a human gate.</w:t>
            </w:r>
          </w:p>
        </w:tc>
        <w:tc>
          <w:tcPr>
            <w:tcW w:type="dxa" w:w="2088"/>
            <w:vAlign w:val="center"/>
            <w:tcMar>
              <w:top w:w="90" w:type="dxa"/>
              <w:start w:w="100" w:type="dxa"/>
              <w:bottom w:w="90" w:type="dxa"/>
              <w:end w:w="100" w:type="dxa"/>
            </w:tcMar>
          </w:tcPr>
          <w:p>
            <w:pPr>
              <w:spacing w:after="0" w:line="259" w:lineRule="auto"/>
            </w:pPr>
            <w:r>
              <w:rPr>
                <w:rFonts w:ascii="Arial" w:hAnsi="Arial" w:eastAsia="Arial"/>
                <w:color w:val="111815"/>
                <w:sz w:val="16"/>
              </w:rPr>
              <w:t>Session run receipt</w:t>
            </w:r>
          </w:p>
        </w:tc>
      </w:tr>
      <w:tr>
        <w:trPr>
          <w:cantSplit/>
        </w:trPr>
        <w:tc>
          <w:tcPr>
            <w:tcW w:type="dxa" w:w="605"/>
            <w:vAlign w:val="center"/>
            <w:tcMar>
              <w:top w:w="90" w:type="dxa"/>
              <w:start w:w="100" w:type="dxa"/>
              <w:bottom w:w="90" w:type="dxa"/>
              <w:end w:w="100" w:type="dxa"/>
            </w:tcMar>
            <w:shd w:fill="F4F5F1"/>
          </w:tcPr>
          <w:p>
            <w:pPr>
              <w:keepNext w:val="0"/>
              <w:spacing w:after="0" w:line="259" w:lineRule="auto"/>
            </w:pPr>
            <w:r>
              <w:rPr>
                <w:rFonts w:ascii="Arial" w:hAnsi="Arial" w:eastAsia="Arial"/>
                <w:color w:val="111815"/>
                <w:sz w:val="16"/>
              </w:rPr>
              <w:t>6</w:t>
            </w:r>
          </w:p>
        </w:tc>
        <w:tc>
          <w:tcPr>
            <w:tcW w:type="dxa" w:w="1944"/>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Data</w:t>
            </w:r>
          </w:p>
        </w:tc>
        <w:tc>
          <w:tcPr>
            <w:tcW w:type="dxa" w:w="4680"/>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Uploads and IoT source requests stay inside the project boundary.</w:t>
            </w:r>
          </w:p>
        </w:tc>
        <w:tc>
          <w:tcPr>
            <w:tcW w:type="dxa" w:w="2088"/>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Dataset or connector receipt</w:t>
            </w:r>
          </w:p>
        </w:tc>
      </w:tr>
      <w:tr>
        <w:trPr>
          <w:cantSplit/>
        </w:trPr>
        <w:tc>
          <w:tcPr>
            <w:tcW w:type="dxa" w:w="605"/>
            <w:vAlign w:val="center"/>
            <w:tcMar>
              <w:top w:w="90" w:type="dxa"/>
              <w:start w:w="100" w:type="dxa"/>
              <w:bottom w:w="90" w:type="dxa"/>
              <w:end w:w="100" w:type="dxa"/>
            </w:tcMar>
          </w:tcPr>
          <w:p>
            <w:pPr>
              <w:keepNext w:val="0"/>
              <w:spacing w:after="0" w:line="259" w:lineRule="auto"/>
            </w:pPr>
            <w:r>
              <w:rPr>
                <w:rFonts w:ascii="Arial" w:hAnsi="Arial" w:eastAsia="Arial"/>
                <w:color w:val="111815"/>
                <w:sz w:val="16"/>
              </w:rPr>
              <w:t>7</w:t>
            </w:r>
          </w:p>
        </w:tc>
        <w:tc>
          <w:tcPr>
            <w:tcW w:type="dxa" w:w="1944"/>
            <w:vAlign w:val="center"/>
            <w:tcMar>
              <w:top w:w="90" w:type="dxa"/>
              <w:start w:w="100" w:type="dxa"/>
              <w:bottom w:w="90" w:type="dxa"/>
              <w:end w:w="100" w:type="dxa"/>
            </w:tcMar>
          </w:tcPr>
          <w:p>
            <w:pPr>
              <w:spacing w:after="0" w:line="259" w:lineRule="auto"/>
            </w:pPr>
            <w:r>
              <w:rPr>
                <w:rFonts w:ascii="Arial" w:hAnsi="Arial" w:eastAsia="Arial"/>
                <w:color w:val="111815"/>
                <w:sz w:val="16"/>
              </w:rPr>
              <w:t>Decisions</w:t>
            </w:r>
          </w:p>
        </w:tc>
        <w:tc>
          <w:tcPr>
            <w:tcW w:type="dxa" w:w="4680"/>
            <w:vAlign w:val="center"/>
            <w:tcMar>
              <w:top w:w="90" w:type="dxa"/>
              <w:start w:w="100" w:type="dxa"/>
              <w:bottom w:w="90" w:type="dxa"/>
              <w:end w:w="100" w:type="dxa"/>
            </w:tcMar>
          </w:tcPr>
          <w:p>
            <w:pPr>
              <w:spacing w:after="0" w:line="259" w:lineRule="auto"/>
            </w:pPr>
            <w:r>
              <w:rPr>
                <w:rFonts w:ascii="Arial" w:hAnsi="Arial" w:eastAsia="Arial"/>
                <w:color w:val="111815"/>
                <w:sz w:val="16"/>
              </w:rPr>
              <w:t>High-level choices decompose into lower-level decisions, variables, methods, and evidence.</w:t>
            </w:r>
          </w:p>
        </w:tc>
        <w:tc>
          <w:tcPr>
            <w:tcW w:type="dxa" w:w="2088"/>
            <w:vAlign w:val="center"/>
            <w:tcMar>
              <w:top w:w="90" w:type="dxa"/>
              <w:start w:w="100" w:type="dxa"/>
              <w:bottom w:w="90" w:type="dxa"/>
              <w:end w:w="100" w:type="dxa"/>
            </w:tcMar>
          </w:tcPr>
          <w:p>
            <w:pPr>
              <w:spacing w:after="0" w:line="259" w:lineRule="auto"/>
            </w:pPr>
            <w:r>
              <w:rPr>
                <w:rFonts w:ascii="Arial" w:hAnsi="Arial" w:eastAsia="Arial"/>
                <w:color w:val="111815"/>
                <w:sz w:val="16"/>
              </w:rPr>
              <w:t>Expert review draft</w:t>
            </w:r>
          </w:p>
        </w:tc>
      </w:tr>
      <w:tr>
        <w:trPr>
          <w:cantSplit/>
        </w:trPr>
        <w:tc>
          <w:tcPr>
            <w:tcW w:type="dxa" w:w="605"/>
            <w:vAlign w:val="center"/>
            <w:tcMar>
              <w:top w:w="90" w:type="dxa"/>
              <w:start w:w="100" w:type="dxa"/>
              <w:bottom w:w="90" w:type="dxa"/>
              <w:end w:w="100" w:type="dxa"/>
            </w:tcMar>
            <w:shd w:fill="F4F5F1"/>
          </w:tcPr>
          <w:p>
            <w:pPr>
              <w:keepNext w:val="0"/>
              <w:spacing w:after="0" w:line="259" w:lineRule="auto"/>
            </w:pPr>
            <w:r>
              <w:rPr>
                <w:rFonts w:ascii="Arial" w:hAnsi="Arial" w:eastAsia="Arial"/>
                <w:color w:val="111815"/>
                <w:sz w:val="16"/>
              </w:rPr>
              <w:t>8</w:t>
            </w:r>
          </w:p>
        </w:tc>
        <w:tc>
          <w:tcPr>
            <w:tcW w:type="dxa" w:w="1944"/>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Operations World</w:t>
            </w:r>
          </w:p>
        </w:tc>
        <w:tc>
          <w:tcPr>
            <w:tcW w:type="dxa" w:w="4680"/>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Toggle Global or Regional, choose a region, inspect the map, and start a dependency, route, or value intake from retained context.</w:t>
            </w:r>
          </w:p>
        </w:tc>
        <w:tc>
          <w:tcPr>
            <w:tcW w:type="dxa" w:w="2088"/>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Project intake draft</w:t>
            </w:r>
          </w:p>
        </w:tc>
      </w:tr>
    </w:tbl>
    <w:p>
      <w:pPr>
        <w:spacing w:after="0" w:before="0"/>
      </w:pPr>
    </w:p>
    <w:p>
      <w:r>
        <w:br w:type="page"/>
      </w:r>
    </w:p>
    <w:p>
      <w:pPr>
        <w:spacing w:after="100"/>
      </w:pPr>
      <w:r>
        <w:rPr>
          <w:rFonts w:ascii="Arial" w:hAnsi="Arial" w:eastAsia="Arial"/>
          <w:b/>
          <w:color w:val="FF6B35"/>
          <w:sz w:val="17"/>
        </w:rPr>
        <w:t>CLIENT DELIVERY</w:t>
      </w:r>
    </w:p>
    <w:p>
      <w:pPr>
        <w:pStyle w:val="Heading1"/>
        <w:keepNext/>
      </w:pPr>
      <w:r>
        <w:t>Workspace hierarchy</w:t>
      </w:r>
    </w:p>
    <w:p>
      <w:pPr>
        <w:spacing w:after="200"/>
      </w:pPr>
      <w:r>
        <w:t>Workspace is the application root. A specialist selects a sector, client, and project. Every project owns its data, apps, agents, decisions, collaborators, evidence, and controls.</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541"/>
        <w:gridCol w:w="2541"/>
        <w:gridCol w:w="2541"/>
        <w:gridCol w:w="2541"/>
      </w:tblGrid>
      <w:tr>
        <w:trPr>
          <w:tblHeader w:val="true"/>
          <w:cantSplit/>
        </w:trPr>
        <w:tc>
          <w:tcPr>
            <w:tcW w:type="dxa" w:w="1037"/>
            <w:vAlign w:val="center"/>
            <w:tcMar>
              <w:top w:w="90" w:type="dxa"/>
              <w:start w:w="100" w:type="dxa"/>
              <w:bottom w:w="90" w:type="dxa"/>
              <w:end w:w="100" w:type="dxa"/>
            </w:tcMar>
            <w:shd w:fill="111815"/>
          </w:tcPr>
          <w:p>
            <w:pPr>
              <w:spacing w:after="0" w:line="259" w:lineRule="auto"/>
            </w:pPr>
            <w:r>
              <w:rPr>
                <w:rFonts w:ascii="Arial" w:hAnsi="Arial" w:eastAsia="Arial"/>
                <w:b/>
                <w:color w:val="FFFFFF"/>
                <w:sz w:val="16"/>
              </w:rPr>
              <w:t>Level</w:t>
            </w:r>
          </w:p>
        </w:tc>
        <w:tc>
          <w:tcPr>
            <w:tcW w:type="dxa" w:w="2419"/>
            <w:vAlign w:val="center"/>
            <w:tcMar>
              <w:top w:w="90" w:type="dxa"/>
              <w:start w:w="100" w:type="dxa"/>
              <w:bottom w:w="90" w:type="dxa"/>
              <w:end w:w="100" w:type="dxa"/>
            </w:tcMar>
            <w:shd w:fill="111815"/>
          </w:tcPr>
          <w:p>
            <w:pPr>
              <w:spacing w:after="0" w:line="259" w:lineRule="auto"/>
            </w:pPr>
            <w:r>
              <w:rPr>
                <w:rFonts w:ascii="Arial" w:hAnsi="Arial" w:eastAsia="Arial"/>
                <w:b/>
                <w:color w:val="FFFFFF"/>
                <w:sz w:val="16"/>
              </w:rPr>
              <w:t>Purpose</w:t>
            </w:r>
          </w:p>
        </w:tc>
        <w:tc>
          <w:tcPr>
            <w:tcW w:type="dxa" w:w="3816"/>
            <w:vAlign w:val="center"/>
            <w:tcMar>
              <w:top w:w="90" w:type="dxa"/>
              <w:start w:w="100" w:type="dxa"/>
              <w:bottom w:w="90" w:type="dxa"/>
              <w:end w:w="100" w:type="dxa"/>
            </w:tcMar>
            <w:shd w:fill="111815"/>
          </w:tcPr>
          <w:p>
            <w:pPr>
              <w:spacing w:after="0" w:line="259" w:lineRule="auto"/>
            </w:pPr>
            <w:r>
              <w:rPr>
                <w:rFonts w:ascii="Arial" w:hAnsi="Arial" w:eastAsia="Arial"/>
                <w:b/>
                <w:color w:val="FFFFFF"/>
                <w:sz w:val="16"/>
              </w:rPr>
              <w:t>Isolation rule</w:t>
            </w:r>
          </w:p>
        </w:tc>
        <w:tc>
          <w:tcPr>
            <w:tcW w:type="dxa" w:w="2160"/>
            <w:vAlign w:val="center"/>
            <w:tcMar>
              <w:top w:w="90" w:type="dxa"/>
              <w:start w:w="100" w:type="dxa"/>
              <w:bottom w:w="90" w:type="dxa"/>
              <w:end w:w="100" w:type="dxa"/>
            </w:tcMar>
            <w:shd w:fill="111815"/>
          </w:tcPr>
          <w:p>
            <w:pPr>
              <w:spacing w:after="0" w:line="259" w:lineRule="auto"/>
            </w:pPr>
            <w:r>
              <w:rPr>
                <w:rFonts w:ascii="Arial" w:hAnsi="Arial" w:eastAsia="Arial"/>
                <w:b/>
                <w:color w:val="FFFFFF"/>
                <w:sz w:val="16"/>
              </w:rPr>
              <w:t>Primary actions</w:t>
            </w:r>
          </w:p>
        </w:tc>
      </w:tr>
      <w:tr>
        <w:trPr>
          <w:cantSplit/>
        </w:trPr>
        <w:tc>
          <w:tcPr>
            <w:tcW w:type="dxa" w:w="1037"/>
            <w:vAlign w:val="center"/>
            <w:tcMar>
              <w:top w:w="90" w:type="dxa"/>
              <w:start w:w="100" w:type="dxa"/>
              <w:bottom w:w="90" w:type="dxa"/>
              <w:end w:w="100" w:type="dxa"/>
            </w:tcMar>
          </w:tcPr>
          <w:p>
            <w:pPr>
              <w:keepNext w:val="0"/>
              <w:spacing w:after="0" w:line="259" w:lineRule="auto"/>
            </w:pPr>
            <w:r>
              <w:rPr>
                <w:rFonts w:ascii="Arial" w:hAnsi="Arial" w:eastAsia="Arial"/>
                <w:color w:val="111815"/>
                <w:sz w:val="16"/>
              </w:rPr>
              <w:t>Sector</w:t>
            </w:r>
          </w:p>
        </w:tc>
        <w:tc>
          <w:tcPr>
            <w:tcW w:type="dxa" w:w="2419"/>
            <w:vAlign w:val="center"/>
            <w:tcMar>
              <w:top w:w="90" w:type="dxa"/>
              <w:start w:w="100" w:type="dxa"/>
              <w:bottom w:w="90" w:type="dxa"/>
              <w:end w:w="100" w:type="dxa"/>
            </w:tcMar>
          </w:tcPr>
          <w:p>
            <w:pPr>
              <w:spacing w:after="0" w:line="259" w:lineRule="auto"/>
            </w:pPr>
            <w:r>
              <w:rPr>
                <w:rFonts w:ascii="Arial" w:hAnsi="Arial" w:eastAsia="Arial"/>
                <w:color w:val="111815"/>
                <w:sz w:val="16"/>
              </w:rPr>
              <w:t>Groups related clients and reusable domain patterns.</w:t>
            </w:r>
          </w:p>
        </w:tc>
        <w:tc>
          <w:tcPr>
            <w:tcW w:type="dxa" w:w="3816"/>
            <w:vAlign w:val="center"/>
            <w:tcMar>
              <w:top w:w="90" w:type="dxa"/>
              <w:start w:w="100" w:type="dxa"/>
              <w:bottom w:w="90" w:type="dxa"/>
              <w:end w:w="100" w:type="dxa"/>
            </w:tcMar>
          </w:tcPr>
          <w:p>
            <w:pPr>
              <w:spacing w:after="0" w:line="259" w:lineRule="auto"/>
            </w:pPr>
            <w:r>
              <w:rPr>
                <w:rFonts w:ascii="Arial" w:hAnsi="Arial" w:eastAsia="Arial"/>
                <w:color w:val="111815"/>
                <w:sz w:val="16"/>
              </w:rPr>
              <w:t>Client records remain separated even when sector methods are shared.</w:t>
            </w:r>
          </w:p>
        </w:tc>
        <w:tc>
          <w:tcPr>
            <w:tcW w:type="dxa" w:w="2160"/>
            <w:vAlign w:val="center"/>
            <w:tcMar>
              <w:top w:w="90" w:type="dxa"/>
              <w:start w:w="100" w:type="dxa"/>
              <w:bottom w:w="90" w:type="dxa"/>
              <w:end w:w="100" w:type="dxa"/>
            </w:tcMar>
          </w:tcPr>
          <w:p>
            <w:pPr>
              <w:spacing w:after="0" w:line="259" w:lineRule="auto"/>
            </w:pPr>
            <w:r>
              <w:rPr>
                <w:rFonts w:ascii="Arial" w:hAnsi="Arial" w:eastAsia="Arial"/>
                <w:color w:val="111815"/>
                <w:sz w:val="16"/>
              </w:rPr>
              <w:t>Filter portfolio, compare common risks, reuse approved templates</w:t>
            </w:r>
          </w:p>
        </w:tc>
      </w:tr>
      <w:tr>
        <w:trPr>
          <w:cantSplit/>
        </w:trPr>
        <w:tc>
          <w:tcPr>
            <w:tcW w:type="dxa" w:w="1037"/>
            <w:vAlign w:val="center"/>
            <w:tcMar>
              <w:top w:w="90" w:type="dxa"/>
              <w:start w:w="100" w:type="dxa"/>
              <w:bottom w:w="90" w:type="dxa"/>
              <w:end w:w="100" w:type="dxa"/>
            </w:tcMar>
            <w:shd w:fill="F4F5F1"/>
          </w:tcPr>
          <w:p>
            <w:pPr>
              <w:keepNext w:val="0"/>
              <w:spacing w:after="0" w:line="259" w:lineRule="auto"/>
            </w:pPr>
            <w:r>
              <w:rPr>
                <w:rFonts w:ascii="Arial" w:hAnsi="Arial" w:eastAsia="Arial"/>
                <w:color w:val="111815"/>
                <w:sz w:val="16"/>
              </w:rPr>
              <w:t>Client</w:t>
            </w:r>
          </w:p>
        </w:tc>
        <w:tc>
          <w:tcPr>
            <w:tcW w:type="dxa" w:w="2419"/>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Represents the governed tenant and commercial relationship.</w:t>
            </w:r>
          </w:p>
        </w:tc>
        <w:tc>
          <w:tcPr>
            <w:tcW w:type="dxa" w:w="3816"/>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Client data, identities, residency, and policies must be enforced server-side in production.</w:t>
            </w:r>
          </w:p>
        </w:tc>
        <w:tc>
          <w:tcPr>
            <w:tcW w:type="dxa" w:w="2160"/>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Open client projects, manage access, inspect client-wide evidence</w:t>
            </w:r>
          </w:p>
        </w:tc>
      </w:tr>
      <w:tr>
        <w:trPr>
          <w:cantSplit/>
        </w:trPr>
        <w:tc>
          <w:tcPr>
            <w:tcW w:type="dxa" w:w="1037"/>
            <w:vAlign w:val="center"/>
            <w:tcMar>
              <w:top w:w="90" w:type="dxa"/>
              <w:start w:w="100" w:type="dxa"/>
              <w:bottom w:w="90" w:type="dxa"/>
              <w:end w:w="100" w:type="dxa"/>
            </w:tcMar>
          </w:tcPr>
          <w:p>
            <w:pPr>
              <w:keepNext w:val="0"/>
              <w:spacing w:after="0" w:line="259" w:lineRule="auto"/>
            </w:pPr>
            <w:r>
              <w:rPr>
                <w:rFonts w:ascii="Arial" w:hAnsi="Arial" w:eastAsia="Arial"/>
                <w:color w:val="111815"/>
                <w:sz w:val="16"/>
              </w:rPr>
              <w:t>Project</w:t>
            </w:r>
          </w:p>
        </w:tc>
        <w:tc>
          <w:tcPr>
            <w:tcW w:type="dxa" w:w="2419"/>
            <w:vAlign w:val="center"/>
            <w:tcMar>
              <w:top w:w="90" w:type="dxa"/>
              <w:start w:w="100" w:type="dxa"/>
              <w:bottom w:w="90" w:type="dxa"/>
              <w:end w:w="100" w:type="dxa"/>
            </w:tcMar>
          </w:tcPr>
          <w:p>
            <w:pPr>
              <w:spacing w:after="0" w:line="259" w:lineRule="auto"/>
            </w:pPr>
            <w:r>
              <w:rPr>
                <w:rFonts w:ascii="Arial" w:hAnsi="Arial" w:eastAsia="Arial"/>
                <w:color w:val="111815"/>
                <w:sz w:val="16"/>
              </w:rPr>
              <w:t>Contains the decision memory for one engagement or operating problem.</w:t>
            </w:r>
          </w:p>
        </w:tc>
        <w:tc>
          <w:tcPr>
            <w:tcW w:type="dxa" w:w="3816"/>
            <w:vAlign w:val="center"/>
            <w:tcMar>
              <w:top w:w="90" w:type="dxa"/>
              <w:start w:w="100" w:type="dxa"/>
              <w:bottom w:w="90" w:type="dxa"/>
              <w:end w:w="100" w:type="dxa"/>
            </w:tcMar>
          </w:tcPr>
          <w:p>
            <w:pPr>
              <w:spacing w:after="0" w:line="259" w:lineRule="auto"/>
            </w:pPr>
            <w:r>
              <w:rPr>
                <w:rFonts w:ascii="Arial" w:hAnsi="Arial" w:eastAsia="Arial"/>
                <w:color w:val="111815"/>
                <w:sz w:val="16"/>
              </w:rPr>
              <w:t>Uploads, mounted apps, traces, decisions, and receipts carry the project key.</w:t>
            </w:r>
          </w:p>
        </w:tc>
        <w:tc>
          <w:tcPr>
            <w:tcW w:type="dxa" w:w="2160"/>
            <w:vAlign w:val="center"/>
            <w:tcMar>
              <w:top w:w="90" w:type="dxa"/>
              <w:start w:w="100" w:type="dxa"/>
              <w:bottom w:w="90" w:type="dxa"/>
              <w:end w:w="100" w:type="dxa"/>
            </w:tcMar>
          </w:tcPr>
          <w:p>
            <w:pPr>
              <w:spacing w:after="0" w:line="259" w:lineRule="auto"/>
            </w:pPr>
            <w:r>
              <w:rPr>
                <w:rFonts w:ascii="Arial" w:hAnsi="Arial" w:eastAsia="Arial"/>
                <w:color w:val="111815"/>
                <w:sz w:val="16"/>
              </w:rPr>
              <w:t>Work the problem, collaborate, review evidence, prepare decisions</w:t>
            </w:r>
          </w:p>
        </w:tc>
      </w:tr>
      <w:tr>
        <w:trPr>
          <w:cantSplit/>
        </w:trPr>
        <w:tc>
          <w:tcPr>
            <w:tcW w:type="dxa" w:w="1037"/>
            <w:vAlign w:val="center"/>
            <w:tcMar>
              <w:top w:w="90" w:type="dxa"/>
              <w:start w:w="100" w:type="dxa"/>
              <w:bottom w:w="90" w:type="dxa"/>
              <w:end w:w="100" w:type="dxa"/>
            </w:tcMar>
            <w:shd w:fill="F4F5F1"/>
          </w:tcPr>
          <w:p>
            <w:pPr>
              <w:keepNext w:val="0"/>
              <w:spacing w:after="0" w:line="259" w:lineRule="auto"/>
            </w:pPr>
            <w:r>
              <w:rPr>
                <w:rFonts w:ascii="Arial" w:hAnsi="Arial" w:eastAsia="Arial"/>
                <w:color w:val="111815"/>
                <w:sz w:val="16"/>
              </w:rPr>
              <w:t>Decision</w:t>
            </w:r>
          </w:p>
        </w:tc>
        <w:tc>
          <w:tcPr>
            <w:tcW w:type="dxa" w:w="2419"/>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Packages a specific choice and its lifecycle.</w:t>
            </w:r>
          </w:p>
        </w:tc>
        <w:tc>
          <w:tcPr>
            <w:tcW w:type="dxa" w:w="3816"/>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The decision retains variables, methods, scenarios, owners, approvals, evidence, and outcome measures.</w:t>
            </w:r>
          </w:p>
        </w:tc>
        <w:tc>
          <w:tcPr>
            <w:tcW w:type="dxa" w:w="2160"/>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Validate, simulate, approve, execute, measure</w:t>
            </w:r>
          </w:p>
        </w:tc>
      </w:tr>
      <w:tr>
        <w:trPr>
          <w:cantSplit/>
        </w:trPr>
        <w:tc>
          <w:tcPr>
            <w:tcW w:type="dxa" w:w="1037"/>
            <w:vAlign w:val="center"/>
            <w:tcMar>
              <w:top w:w="90" w:type="dxa"/>
              <w:start w:w="100" w:type="dxa"/>
              <w:bottom w:w="90" w:type="dxa"/>
              <w:end w:w="100" w:type="dxa"/>
            </w:tcMar>
          </w:tcPr>
          <w:p>
            <w:pPr>
              <w:keepNext w:val="0"/>
              <w:spacing w:after="0" w:line="259" w:lineRule="auto"/>
            </w:pPr>
            <w:r>
              <w:rPr>
                <w:rFonts w:ascii="Arial" w:hAnsi="Arial" w:eastAsia="Arial"/>
                <w:color w:val="111815"/>
                <w:sz w:val="16"/>
              </w:rPr>
              <w:t>Evidence receipt</w:t>
            </w:r>
          </w:p>
        </w:tc>
        <w:tc>
          <w:tcPr>
            <w:tcW w:type="dxa" w:w="2419"/>
            <w:vAlign w:val="center"/>
            <w:tcMar>
              <w:top w:w="90" w:type="dxa"/>
              <w:start w:w="100" w:type="dxa"/>
              <w:bottom w:w="90" w:type="dxa"/>
              <w:end w:w="100" w:type="dxa"/>
            </w:tcMar>
          </w:tcPr>
          <w:p>
            <w:pPr>
              <w:spacing w:after="0" w:line="259" w:lineRule="auto"/>
            </w:pPr>
            <w:r>
              <w:rPr>
                <w:rFonts w:ascii="Arial" w:hAnsi="Arial" w:eastAsia="Arial"/>
                <w:color w:val="111815"/>
                <w:sz w:val="16"/>
              </w:rPr>
              <w:t>Explains a displayed claim or action.</w:t>
            </w:r>
          </w:p>
        </w:tc>
        <w:tc>
          <w:tcPr>
            <w:tcW w:type="dxa" w:w="3816"/>
            <w:vAlign w:val="center"/>
            <w:tcMar>
              <w:top w:w="90" w:type="dxa"/>
              <w:start w:w="100" w:type="dxa"/>
              <w:bottom w:w="90" w:type="dxa"/>
              <w:end w:w="100" w:type="dxa"/>
            </w:tcMar>
          </w:tcPr>
          <w:p>
            <w:pPr>
              <w:spacing w:after="0" w:line="259" w:lineRule="auto"/>
            </w:pPr>
            <w:r>
              <w:rPr>
                <w:rFonts w:ascii="Arial" w:hAnsi="Arial" w:eastAsia="Arial"/>
                <w:color w:val="111815"/>
                <w:sz w:val="16"/>
              </w:rPr>
              <w:t>A receipt fails closed when its reference is unknown or belongs to another project.</w:t>
            </w:r>
          </w:p>
        </w:tc>
        <w:tc>
          <w:tcPr>
            <w:tcW w:type="dxa" w:w="2160"/>
            <w:vAlign w:val="center"/>
            <w:tcMar>
              <w:top w:w="90" w:type="dxa"/>
              <w:start w:w="100" w:type="dxa"/>
              <w:bottom w:w="90" w:type="dxa"/>
              <w:end w:w="100" w:type="dxa"/>
            </w:tcMar>
          </w:tcPr>
          <w:p>
            <w:pPr>
              <w:spacing w:after="0" w:line="259" w:lineRule="auto"/>
            </w:pPr>
            <w:r>
              <w:rPr>
                <w:rFonts w:ascii="Arial" w:hAnsi="Arial" w:eastAsia="Arial"/>
                <w:color w:val="111815"/>
                <w:sz w:val="16"/>
              </w:rPr>
              <w:t>Inspect source, formula, inputs, version, confidence, access</w:t>
            </w:r>
          </w:p>
        </w:tc>
      </w:tr>
    </w:tbl>
    <w:p>
      <w:pPr>
        <w:spacing w:after="0" w:before="0"/>
      </w:pPr>
    </w:p>
    <w:p>
      <w:pPr>
        <w:pStyle w:val="Heading2"/>
        <w:keepNext/>
      </w:pPr>
      <w:r>
        <w:t>How to switch projects</w:t>
      </w:r>
    </w:p>
    <w:p>
      <w:pPr>
        <w:pStyle w:val="ListBullet"/>
      </w:pPr>
      <w:r>
        <w:t>Use the workspace tree on a large screen. Expand a sector, expand its client, and select the project.</w:t>
      </w:r>
    </w:p>
    <w:p>
      <w:pPr>
        <w:pStyle w:val="ListBullet"/>
      </w:pPr>
      <w:r>
        <w:t>Use the Sector, Client, and Project selectors above the workspace on smaller screens.</w:t>
      </w:r>
    </w:p>
    <w:p>
      <w:pPr>
        <w:pStyle w:val="ListBullet"/>
      </w:pPr>
      <w:r>
        <w:t>Use Search anything or Command K to jump directly to a project by sector, client, project name, or project code.</w:t>
      </w:r>
    </w:p>
    <w:p>
      <w:pPr>
        <w:pStyle w:val="ListBullet"/>
      </w:pPr>
      <w:r>
        <w:t>The URL records the sector, client, project, active tab, and app studio. Browser Back and Forward restore the same route.</w:t>
      </w:r>
    </w:p>
    <w:p>
      <w:pPr>
        <w:pStyle w:val="ListBullet"/>
      </w:pPr>
      <w:r>
        <w:t>Each project preserves its own browser-session app mounts, uploads, connector requests, agent chat, trace state, steering instructions, draft agents, and team assignments while the page remains open.</w:t>
      </w:r>
    </w:p>
    <w:p>
      <w:pPr>
        <w:pStyle w:val="Heading2"/>
        <w:keepNext/>
      </w:pPr>
      <w:r>
        <w:t>Onboard a client and project</w:t>
      </w:r>
    </w:p>
    <w:p>
      <w:pPr>
        <w:spacing w:after="80"/>
        <w:ind w:left="346" w:hanging="346"/>
      </w:pPr>
      <w:r>
        <w:rPr>
          <w:rFonts w:ascii="Arial" w:hAnsi="Arial" w:eastAsia="Arial"/>
          <w:b/>
        </w:rPr>
        <w:t xml:space="preserve">1.  </w:t>
      </w:r>
      <w:r>
        <w:t>Choose New client to register a session-only client under a sector, with a named client lead and engagement context.</w:t>
      </w:r>
    </w:p>
    <w:p>
      <w:pPr>
        <w:spacing w:after="80"/>
        <w:ind w:left="346" w:hanging="346"/>
      </w:pPr>
      <w:r>
        <w:rPr>
          <w:rFonts w:ascii="Arial" w:hAnsi="Arial" w:eastAsia="Arial"/>
          <w:b/>
        </w:rPr>
        <w:t xml:space="preserve">2.  </w:t>
      </w:r>
      <w:r>
        <w:t>Choose New project to select the client, define the problem and outcome, and assign one client collaborator plus one Kearney specialist.</w:t>
      </w:r>
    </w:p>
    <w:p>
      <w:pPr>
        <w:spacing w:after="80"/>
        <w:ind w:left="346" w:hanging="346"/>
      </w:pPr>
      <w:r>
        <w:rPr>
          <w:rFonts w:ascii="Arial" w:hAnsi="Arial" w:eastAsia="Arial"/>
          <w:b/>
        </w:rPr>
        <w:t xml:space="preserve">3.  </w:t>
      </w:r>
      <w:r>
        <w:t>A new project starts empty: zero datasets, apps, agents, decisions, graph nodes, and runs until the team adds them explicitly.</w:t>
      </w:r>
    </w:p>
    <w:p>
      <w:pPr>
        <w:spacing w:after="80"/>
        <w:ind w:left="346" w:hanging="346"/>
      </w:pPr>
      <w:r>
        <w:rPr>
          <w:rFonts w:ascii="Arial" w:hAnsi="Arial" w:eastAsia="Arial"/>
          <w:b/>
        </w:rPr>
        <w:t xml:space="preserve">4.  </w:t>
      </w:r>
      <w:r>
        <w:t>Creation ends at a project overview and a browser-session receipt; no tenant, identity, cloud resource, or production record is provisioned.</w:t>
      </w:r>
    </w:p>
    <w:p>
      <w:r>
        <w:br w:type="page"/>
      </w:r>
    </w:p>
    <w:p>
      <w:pPr>
        <w:spacing w:after="100"/>
      </w:pPr>
      <w:r>
        <w:rPr>
          <w:rFonts w:ascii="Arial" w:hAnsi="Arial" w:eastAsia="Arial"/>
          <w:b/>
          <w:color w:val="FF6B35"/>
          <w:sz w:val="17"/>
        </w:rPr>
        <w:t>SYNTHETIC PORTFOLIO</w:t>
      </w:r>
    </w:p>
    <w:p>
      <w:pPr>
        <w:pStyle w:val="Heading1"/>
        <w:keepNext/>
      </w:pPr>
      <w:r>
        <w:t>Ten client projects</w:t>
      </w:r>
    </w:p>
    <w:p>
      <w:pPr>
        <w:spacing w:after="200"/>
      </w:pPr>
      <w:r>
        <w:t>The portfolio is designed to demonstrate different sectors, decision problems, data shapes, expert roles, and app combinations.</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541"/>
        <w:gridCol w:w="2541"/>
        <w:gridCol w:w="2541"/>
        <w:gridCol w:w="2541"/>
      </w:tblGrid>
      <w:tr>
        <w:trPr>
          <w:tblHeader w:val="true"/>
          <w:cantSplit/>
        </w:trPr>
        <w:tc>
          <w:tcPr>
            <w:tcW w:type="dxa" w:w="691"/>
            <w:vAlign w:val="center"/>
            <w:tcMar>
              <w:top w:w="90" w:type="dxa"/>
              <w:start w:w="100" w:type="dxa"/>
              <w:bottom w:w="90" w:type="dxa"/>
              <w:end w:w="100" w:type="dxa"/>
            </w:tcMar>
            <w:shd w:fill="111815"/>
          </w:tcPr>
          <w:p>
            <w:pPr>
              <w:spacing w:after="0" w:line="259" w:lineRule="auto"/>
            </w:pPr>
            <w:r>
              <w:rPr>
                <w:rFonts w:ascii="Arial" w:hAnsi="Arial" w:eastAsia="Arial"/>
                <w:b/>
                <w:color w:val="FFFFFF"/>
                <w:sz w:val="16"/>
              </w:rPr>
              <w:t>Code</w:t>
            </w:r>
          </w:p>
        </w:tc>
        <w:tc>
          <w:tcPr>
            <w:tcW w:type="dxa" w:w="2333"/>
            <w:vAlign w:val="center"/>
            <w:tcMar>
              <w:top w:w="90" w:type="dxa"/>
              <w:start w:w="100" w:type="dxa"/>
              <w:bottom w:w="90" w:type="dxa"/>
              <w:end w:w="100" w:type="dxa"/>
            </w:tcMar>
            <w:shd w:fill="111815"/>
          </w:tcPr>
          <w:p>
            <w:pPr>
              <w:spacing w:after="0" w:line="259" w:lineRule="auto"/>
            </w:pPr>
            <w:r>
              <w:rPr>
                <w:rFonts w:ascii="Arial" w:hAnsi="Arial" w:eastAsia="Arial"/>
                <w:b/>
                <w:color w:val="FFFFFF"/>
                <w:sz w:val="16"/>
              </w:rPr>
              <w:t>Sector and client</w:t>
            </w:r>
          </w:p>
        </w:tc>
        <w:tc>
          <w:tcPr>
            <w:tcW w:type="dxa" w:w="2160"/>
            <w:vAlign w:val="center"/>
            <w:tcMar>
              <w:top w:w="90" w:type="dxa"/>
              <w:start w:w="100" w:type="dxa"/>
              <w:bottom w:w="90" w:type="dxa"/>
              <w:end w:w="100" w:type="dxa"/>
            </w:tcMar>
            <w:shd w:fill="111815"/>
          </w:tcPr>
          <w:p>
            <w:pPr>
              <w:spacing w:after="0" w:line="259" w:lineRule="auto"/>
            </w:pPr>
            <w:r>
              <w:rPr>
                <w:rFonts w:ascii="Arial" w:hAnsi="Arial" w:eastAsia="Arial"/>
                <w:b/>
                <w:color w:val="FFFFFF"/>
                <w:sz w:val="16"/>
              </w:rPr>
              <w:t>Project</w:t>
            </w:r>
          </w:p>
        </w:tc>
        <w:tc>
          <w:tcPr>
            <w:tcW w:type="dxa" w:w="4392"/>
            <w:vAlign w:val="center"/>
            <w:tcMar>
              <w:top w:w="90" w:type="dxa"/>
              <w:start w:w="100" w:type="dxa"/>
              <w:bottom w:w="90" w:type="dxa"/>
              <w:end w:w="100" w:type="dxa"/>
            </w:tcMar>
            <w:shd w:fill="111815"/>
          </w:tcPr>
          <w:p>
            <w:pPr>
              <w:spacing w:after="0" w:line="259" w:lineRule="auto"/>
            </w:pPr>
            <w:r>
              <w:rPr>
                <w:rFonts w:ascii="Arial" w:hAnsi="Arial" w:eastAsia="Arial"/>
                <w:b/>
                <w:color w:val="FFFFFF"/>
                <w:sz w:val="16"/>
              </w:rPr>
              <w:t>Problem demonstrated</w:t>
            </w:r>
          </w:p>
        </w:tc>
      </w:tr>
      <w:tr>
        <w:trPr>
          <w:cantSplit/>
        </w:trPr>
        <w:tc>
          <w:tcPr>
            <w:tcW w:type="dxa" w:w="691"/>
            <w:vAlign w:val="center"/>
            <w:tcMar>
              <w:top w:w="90" w:type="dxa"/>
              <w:start w:w="100" w:type="dxa"/>
              <w:bottom w:w="90" w:type="dxa"/>
              <w:end w:w="100" w:type="dxa"/>
            </w:tcMar>
          </w:tcPr>
          <w:p>
            <w:pPr>
              <w:keepNext w:val="0"/>
              <w:spacing w:after="0" w:line="259" w:lineRule="auto"/>
            </w:pPr>
            <w:r>
              <w:rPr>
                <w:rFonts w:ascii="Arial" w:hAnsi="Arial" w:eastAsia="Arial"/>
                <w:color w:val="111815"/>
                <w:sz w:val="15"/>
              </w:rPr>
              <w:t>P-001</w:t>
            </w:r>
          </w:p>
        </w:tc>
        <w:tc>
          <w:tcPr>
            <w:tcW w:type="dxa" w:w="2333"/>
            <w:vAlign w:val="center"/>
            <w:tcMar>
              <w:top w:w="90" w:type="dxa"/>
              <w:start w:w="100" w:type="dxa"/>
              <w:bottom w:w="90" w:type="dxa"/>
              <w:end w:w="100" w:type="dxa"/>
            </w:tcMar>
          </w:tcPr>
          <w:p>
            <w:pPr>
              <w:spacing w:after="0" w:line="259" w:lineRule="auto"/>
            </w:pPr>
            <w:r>
              <w:rPr>
                <w:rFonts w:ascii="Arial" w:hAnsi="Arial" w:eastAsia="Arial"/>
                <w:color w:val="111815"/>
                <w:sz w:val="15"/>
              </w:rPr>
              <w:t>Mobility and EV</w:t>
              <w:br/>
              <w:t>Apex Mobility</w:t>
            </w:r>
          </w:p>
        </w:tc>
        <w:tc>
          <w:tcPr>
            <w:tcW w:type="dxa" w:w="2160"/>
            <w:vAlign w:val="center"/>
            <w:tcMar>
              <w:top w:w="90" w:type="dxa"/>
              <w:start w:w="100" w:type="dxa"/>
              <w:bottom w:w="90" w:type="dxa"/>
              <w:end w:w="100" w:type="dxa"/>
            </w:tcMar>
          </w:tcPr>
          <w:p>
            <w:pPr>
              <w:spacing w:after="0" w:line="259" w:lineRule="auto"/>
            </w:pPr>
            <w:r>
              <w:rPr>
                <w:rFonts w:ascii="Arial" w:hAnsi="Arial" w:eastAsia="Arial"/>
                <w:color w:val="111815"/>
                <w:sz w:val="15"/>
              </w:rPr>
              <w:t>Anode Shield</w:t>
            </w:r>
          </w:p>
        </w:tc>
        <w:tc>
          <w:tcPr>
            <w:tcW w:type="dxa" w:w="4392"/>
            <w:vAlign w:val="center"/>
            <w:tcMar>
              <w:top w:w="90" w:type="dxa"/>
              <w:start w:w="100" w:type="dxa"/>
              <w:bottom w:w="90" w:type="dxa"/>
              <w:end w:w="100" w:type="dxa"/>
            </w:tcMar>
          </w:tcPr>
          <w:p>
            <w:pPr>
              <w:spacing w:after="0" w:line="259" w:lineRule="auto"/>
            </w:pPr>
            <w:r>
              <w:rPr>
                <w:rFonts w:ascii="Arial" w:hAnsi="Arial" w:eastAsia="Arial"/>
                <w:color w:val="111815"/>
                <w:sz w:val="15"/>
              </w:rPr>
              <w:t>Graphite concentration, port delay, qualification, launch service, and margin exposure</w:t>
            </w:r>
          </w:p>
        </w:tc>
      </w:tr>
      <w:tr>
        <w:trPr>
          <w:cantSplit/>
        </w:trPr>
        <w:tc>
          <w:tcPr>
            <w:tcW w:type="dxa" w:w="691"/>
            <w:vAlign w:val="center"/>
            <w:tcMar>
              <w:top w:w="90" w:type="dxa"/>
              <w:start w:w="100" w:type="dxa"/>
              <w:bottom w:w="90" w:type="dxa"/>
              <w:end w:w="100" w:type="dxa"/>
            </w:tcMar>
            <w:shd w:fill="F4F5F1"/>
          </w:tcPr>
          <w:p>
            <w:pPr>
              <w:keepNext w:val="0"/>
              <w:spacing w:after="0" w:line="259" w:lineRule="auto"/>
            </w:pPr>
            <w:r>
              <w:rPr>
                <w:rFonts w:ascii="Arial" w:hAnsi="Arial" w:eastAsia="Arial"/>
                <w:color w:val="111815"/>
                <w:sz w:val="15"/>
              </w:rPr>
              <w:t>P-002</w:t>
            </w:r>
          </w:p>
        </w:tc>
        <w:tc>
          <w:tcPr>
            <w:tcW w:type="dxa" w:w="2333"/>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Life Sciences</w:t>
              <w:br/>
              <w:t>Helixora Therapeutics</w:t>
            </w:r>
          </w:p>
        </w:tc>
        <w:tc>
          <w:tcPr>
            <w:tcW w:type="dxa" w:w="2160"/>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Cold Chain Promise</w:t>
            </w:r>
          </w:p>
        </w:tc>
        <w:tc>
          <w:tcPr>
            <w:tcW w:type="dxa" w:w="4392"/>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Batch release, refrigerated storage, scarce packaging, patient priority, and stability windows</w:t>
            </w:r>
          </w:p>
        </w:tc>
      </w:tr>
      <w:tr>
        <w:trPr>
          <w:cantSplit/>
        </w:trPr>
        <w:tc>
          <w:tcPr>
            <w:tcW w:type="dxa" w:w="691"/>
            <w:vAlign w:val="center"/>
            <w:tcMar>
              <w:top w:w="90" w:type="dxa"/>
              <w:start w:w="100" w:type="dxa"/>
              <w:bottom w:w="90" w:type="dxa"/>
              <w:end w:w="100" w:type="dxa"/>
            </w:tcMar>
          </w:tcPr>
          <w:p>
            <w:pPr>
              <w:keepNext w:val="0"/>
              <w:spacing w:after="0" w:line="259" w:lineRule="auto"/>
            </w:pPr>
            <w:r>
              <w:rPr>
                <w:rFonts w:ascii="Arial" w:hAnsi="Arial" w:eastAsia="Arial"/>
                <w:color w:val="111815"/>
                <w:sz w:val="15"/>
              </w:rPr>
              <w:t>P-003</w:t>
            </w:r>
          </w:p>
        </w:tc>
        <w:tc>
          <w:tcPr>
            <w:tcW w:type="dxa" w:w="2333"/>
            <w:vAlign w:val="center"/>
            <w:tcMar>
              <w:top w:w="90" w:type="dxa"/>
              <w:start w:w="100" w:type="dxa"/>
              <w:bottom w:w="90" w:type="dxa"/>
              <w:end w:w="100" w:type="dxa"/>
            </w:tcMar>
          </w:tcPr>
          <w:p>
            <w:pPr>
              <w:spacing w:after="0" w:line="259" w:lineRule="auto"/>
            </w:pPr>
            <w:r>
              <w:rPr>
                <w:rFonts w:ascii="Arial" w:hAnsi="Arial" w:eastAsia="Arial"/>
                <w:color w:val="111815"/>
                <w:sz w:val="15"/>
              </w:rPr>
              <w:t>Semiconductors</w:t>
              <w:br/>
              <w:t>OrionSilicon Foundry</w:t>
            </w:r>
          </w:p>
        </w:tc>
        <w:tc>
          <w:tcPr>
            <w:tcW w:type="dxa" w:w="2160"/>
            <w:vAlign w:val="center"/>
            <w:tcMar>
              <w:top w:w="90" w:type="dxa"/>
              <w:start w:w="100" w:type="dxa"/>
              <w:bottom w:w="90" w:type="dxa"/>
              <w:end w:w="100" w:type="dxa"/>
            </w:tcMar>
          </w:tcPr>
          <w:p>
            <w:pPr>
              <w:spacing w:after="0" w:line="259" w:lineRule="auto"/>
            </w:pPr>
            <w:r>
              <w:rPr>
                <w:rFonts w:ascii="Arial" w:hAnsi="Arial" w:eastAsia="Arial"/>
                <w:color w:val="111815"/>
                <w:sz w:val="15"/>
              </w:rPr>
              <w:t>Fab Recovery X9</w:t>
            </w:r>
          </w:p>
        </w:tc>
        <w:tc>
          <w:tcPr>
            <w:tcW w:type="dxa" w:w="4392"/>
            <w:vAlign w:val="center"/>
            <w:tcMar>
              <w:top w:w="90" w:type="dxa"/>
              <w:start w:w="100" w:type="dxa"/>
              <w:bottom w:w="90" w:type="dxa"/>
              <w:end w:w="100" w:type="dxa"/>
            </w:tcMar>
          </w:tcPr>
          <w:p>
            <w:pPr>
              <w:spacing w:after="0" w:line="259" w:lineRule="auto"/>
            </w:pPr>
            <w:r>
              <w:rPr>
                <w:rFonts w:ascii="Arial" w:hAnsi="Arial" w:eastAsia="Arial"/>
                <w:color w:val="111815"/>
                <w:sz w:val="15"/>
              </w:rPr>
              <w:t>Tool failure, utilities, chemicals, work in process, qualification, and customer allocation</w:t>
            </w:r>
          </w:p>
        </w:tc>
      </w:tr>
      <w:tr>
        <w:trPr>
          <w:cantSplit/>
        </w:trPr>
        <w:tc>
          <w:tcPr>
            <w:tcW w:type="dxa" w:w="691"/>
            <w:vAlign w:val="center"/>
            <w:tcMar>
              <w:top w:w="90" w:type="dxa"/>
              <w:start w:w="100" w:type="dxa"/>
              <w:bottom w:w="90" w:type="dxa"/>
              <w:end w:w="100" w:type="dxa"/>
            </w:tcMar>
            <w:shd w:fill="F4F5F1"/>
          </w:tcPr>
          <w:p>
            <w:pPr>
              <w:keepNext w:val="0"/>
              <w:spacing w:after="0" w:line="259" w:lineRule="auto"/>
            </w:pPr>
            <w:r>
              <w:rPr>
                <w:rFonts w:ascii="Arial" w:hAnsi="Arial" w:eastAsia="Arial"/>
                <w:color w:val="111815"/>
                <w:sz w:val="15"/>
              </w:rPr>
              <w:t>P-004</w:t>
            </w:r>
          </w:p>
        </w:tc>
        <w:tc>
          <w:tcPr>
            <w:tcW w:type="dxa" w:w="2333"/>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Food and Agriculture</w:t>
              <w:br/>
              <w:t>Verdant Foods Cooperative</w:t>
            </w:r>
          </w:p>
        </w:tc>
        <w:tc>
          <w:tcPr>
            <w:tcW w:type="dxa" w:w="2160"/>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Harvest to Shelf</w:t>
            </w:r>
          </w:p>
        </w:tc>
        <w:tc>
          <w:tcPr>
            <w:tcW w:type="dxa" w:w="4392"/>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Seasonality, perishability, farm supply, cold slots, labor, and food waste</w:t>
            </w:r>
          </w:p>
        </w:tc>
      </w:tr>
      <w:tr>
        <w:trPr>
          <w:cantSplit/>
        </w:trPr>
        <w:tc>
          <w:tcPr>
            <w:tcW w:type="dxa" w:w="691"/>
            <w:vAlign w:val="center"/>
            <w:tcMar>
              <w:top w:w="90" w:type="dxa"/>
              <w:start w:w="100" w:type="dxa"/>
              <w:bottom w:w="90" w:type="dxa"/>
              <w:end w:w="100" w:type="dxa"/>
            </w:tcMar>
          </w:tcPr>
          <w:p>
            <w:pPr>
              <w:keepNext w:val="0"/>
              <w:spacing w:after="0" w:line="259" w:lineRule="auto"/>
            </w:pPr>
            <w:r>
              <w:rPr>
                <w:rFonts w:ascii="Arial" w:hAnsi="Arial" w:eastAsia="Arial"/>
                <w:color w:val="111815"/>
                <w:sz w:val="15"/>
              </w:rPr>
              <w:t>P-005</w:t>
            </w:r>
          </w:p>
        </w:tc>
        <w:tc>
          <w:tcPr>
            <w:tcW w:type="dxa" w:w="2333"/>
            <w:vAlign w:val="center"/>
            <w:tcMar>
              <w:top w:w="90" w:type="dxa"/>
              <w:start w:w="100" w:type="dxa"/>
              <w:bottom w:w="90" w:type="dxa"/>
              <w:end w:w="100" w:type="dxa"/>
            </w:tcMar>
          </w:tcPr>
          <w:p>
            <w:pPr>
              <w:spacing w:after="0" w:line="259" w:lineRule="auto"/>
            </w:pPr>
            <w:r>
              <w:rPr>
                <w:rFonts w:ascii="Arial" w:hAnsi="Arial" w:eastAsia="Arial"/>
                <w:color w:val="111815"/>
                <w:sz w:val="15"/>
              </w:rPr>
              <w:t>Aerospace</w:t>
              <w:br/>
              <w:t>Stratos Aero Systems</w:t>
            </w:r>
          </w:p>
        </w:tc>
        <w:tc>
          <w:tcPr>
            <w:tcW w:type="dxa" w:w="2160"/>
            <w:vAlign w:val="center"/>
            <w:tcMar>
              <w:top w:w="90" w:type="dxa"/>
              <w:start w:w="100" w:type="dxa"/>
              <w:bottom w:w="90" w:type="dxa"/>
              <w:end w:w="100" w:type="dxa"/>
            </w:tcMar>
          </w:tcPr>
          <w:p>
            <w:pPr>
              <w:spacing w:after="0" w:line="259" w:lineRule="auto"/>
            </w:pPr>
            <w:r>
              <w:rPr>
                <w:rFonts w:ascii="Arial" w:hAnsi="Arial" w:eastAsia="Arial"/>
                <w:color w:val="111815"/>
                <w:sz w:val="15"/>
              </w:rPr>
              <w:t>Forging Continuity</w:t>
            </w:r>
          </w:p>
        </w:tc>
        <w:tc>
          <w:tcPr>
            <w:tcW w:type="dxa" w:w="4392"/>
            <w:vAlign w:val="center"/>
            <w:tcMar>
              <w:top w:w="90" w:type="dxa"/>
              <w:start w:w="100" w:type="dxa"/>
              <w:bottom w:w="90" w:type="dxa"/>
              <w:end w:w="100" w:type="dxa"/>
            </w:tcMar>
          </w:tcPr>
          <w:p>
            <w:pPr>
              <w:spacing w:after="0" w:line="259" w:lineRule="auto"/>
            </w:pPr>
            <w:r>
              <w:rPr>
                <w:rFonts w:ascii="Arial" w:hAnsi="Arial" w:eastAsia="Arial"/>
                <w:color w:val="111815"/>
                <w:sz w:val="15"/>
              </w:rPr>
              <w:t>Certified titanium forgings, opaque subtiers, long lead times, and second-source qualification</w:t>
            </w:r>
          </w:p>
        </w:tc>
      </w:tr>
      <w:tr>
        <w:trPr>
          <w:cantSplit/>
        </w:trPr>
        <w:tc>
          <w:tcPr>
            <w:tcW w:type="dxa" w:w="691"/>
            <w:vAlign w:val="center"/>
            <w:tcMar>
              <w:top w:w="90" w:type="dxa"/>
              <w:start w:w="100" w:type="dxa"/>
              <w:bottom w:w="90" w:type="dxa"/>
              <w:end w:w="100" w:type="dxa"/>
            </w:tcMar>
            <w:shd w:fill="F4F5F1"/>
          </w:tcPr>
          <w:p>
            <w:pPr>
              <w:keepNext w:val="0"/>
              <w:spacing w:after="0" w:line="259" w:lineRule="auto"/>
            </w:pPr>
            <w:r>
              <w:rPr>
                <w:rFonts w:ascii="Arial" w:hAnsi="Arial" w:eastAsia="Arial"/>
                <w:color w:val="111815"/>
                <w:sz w:val="15"/>
              </w:rPr>
              <w:t>P-006</w:t>
            </w:r>
          </w:p>
        </w:tc>
        <w:tc>
          <w:tcPr>
            <w:tcW w:type="dxa" w:w="2333"/>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Energy and Grid</w:t>
              <w:br/>
              <w:t>Solara Gridworks</w:t>
            </w:r>
          </w:p>
        </w:tc>
        <w:tc>
          <w:tcPr>
            <w:tcW w:type="dxa" w:w="2160"/>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Copper and Rare Earth Portfolio</w:t>
            </w:r>
          </w:p>
        </w:tc>
        <w:tc>
          <w:tcPr>
            <w:tcW w:type="dxa" w:w="4392"/>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Mineral price, refining concentration, capacity, carbon, cash, and portfolio choice</w:t>
            </w:r>
          </w:p>
        </w:tc>
      </w:tr>
      <w:tr>
        <w:trPr>
          <w:cantSplit/>
        </w:trPr>
        <w:tc>
          <w:tcPr>
            <w:tcW w:type="dxa" w:w="691"/>
            <w:vAlign w:val="center"/>
            <w:tcMar>
              <w:top w:w="90" w:type="dxa"/>
              <w:start w:w="100" w:type="dxa"/>
              <w:bottom w:w="90" w:type="dxa"/>
              <w:end w:w="100" w:type="dxa"/>
            </w:tcMar>
          </w:tcPr>
          <w:p>
            <w:pPr>
              <w:keepNext w:val="0"/>
              <w:spacing w:after="0" w:line="259" w:lineRule="auto"/>
            </w:pPr>
            <w:r>
              <w:rPr>
                <w:rFonts w:ascii="Arial" w:hAnsi="Arial" w:eastAsia="Arial"/>
                <w:color w:val="111815"/>
                <w:sz w:val="15"/>
              </w:rPr>
              <w:t>P-007</w:t>
            </w:r>
          </w:p>
        </w:tc>
        <w:tc>
          <w:tcPr>
            <w:tcW w:type="dxa" w:w="2333"/>
            <w:vAlign w:val="center"/>
            <w:tcMar>
              <w:top w:w="90" w:type="dxa"/>
              <w:start w:w="100" w:type="dxa"/>
              <w:bottom w:w="90" w:type="dxa"/>
              <w:end w:w="100" w:type="dxa"/>
            </w:tcMar>
          </w:tcPr>
          <w:p>
            <w:pPr>
              <w:spacing w:after="0" w:line="259" w:lineRule="auto"/>
            </w:pPr>
            <w:r>
              <w:rPr>
                <w:rFonts w:ascii="Arial" w:hAnsi="Arial" w:eastAsia="Arial"/>
                <w:color w:val="111815"/>
                <w:sz w:val="15"/>
              </w:rPr>
              <w:t>Mining and Critical Minerals</w:t>
              <w:br/>
              <w:t>TerraMetals Alliance</w:t>
            </w:r>
          </w:p>
        </w:tc>
        <w:tc>
          <w:tcPr>
            <w:tcW w:type="dxa" w:w="2160"/>
            <w:vAlign w:val="center"/>
            <w:tcMar>
              <w:top w:w="90" w:type="dxa"/>
              <w:start w:w="100" w:type="dxa"/>
              <w:bottom w:w="90" w:type="dxa"/>
              <w:end w:w="100" w:type="dxa"/>
            </w:tcMar>
          </w:tcPr>
          <w:p>
            <w:pPr>
              <w:spacing w:after="0" w:line="259" w:lineRule="auto"/>
            </w:pPr>
            <w:r>
              <w:rPr>
                <w:rFonts w:ascii="Arial" w:hAnsi="Arial" w:eastAsia="Arial"/>
                <w:color w:val="111815"/>
                <w:sz w:val="15"/>
              </w:rPr>
              <w:t>Lithium to Cell Provenance</w:t>
            </w:r>
          </w:p>
        </w:tc>
        <w:tc>
          <w:tcPr>
            <w:tcW w:type="dxa" w:w="4392"/>
            <w:vAlign w:val="center"/>
            <w:tcMar>
              <w:top w:w="90" w:type="dxa"/>
              <w:start w:w="100" w:type="dxa"/>
              <w:bottom w:w="90" w:type="dxa"/>
              <w:end w:w="100" w:type="dxa"/>
            </w:tcMar>
          </w:tcPr>
          <w:p>
            <w:pPr>
              <w:spacing w:after="0" w:line="259" w:lineRule="auto"/>
            </w:pPr>
            <w:r>
              <w:rPr>
                <w:rFonts w:ascii="Arial" w:hAnsi="Arial" w:eastAsia="Arial"/>
                <w:color w:val="111815"/>
                <w:sz w:val="15"/>
              </w:rPr>
              <w:t>Mine, refinery, offtake, water, permit, rights, origin, and traceability constraints</w:t>
            </w:r>
          </w:p>
        </w:tc>
      </w:tr>
      <w:tr>
        <w:trPr>
          <w:cantSplit/>
        </w:trPr>
        <w:tc>
          <w:tcPr>
            <w:tcW w:type="dxa" w:w="691"/>
            <w:vAlign w:val="center"/>
            <w:tcMar>
              <w:top w:w="90" w:type="dxa"/>
              <w:start w:w="100" w:type="dxa"/>
              <w:bottom w:w="90" w:type="dxa"/>
              <w:end w:w="100" w:type="dxa"/>
            </w:tcMar>
            <w:shd w:fill="F4F5F1"/>
          </w:tcPr>
          <w:p>
            <w:pPr>
              <w:keepNext w:val="0"/>
              <w:spacing w:after="0" w:line="259" w:lineRule="auto"/>
            </w:pPr>
            <w:r>
              <w:rPr>
                <w:rFonts w:ascii="Arial" w:hAnsi="Arial" w:eastAsia="Arial"/>
                <w:color w:val="111815"/>
                <w:sz w:val="15"/>
              </w:rPr>
              <w:t>P-008</w:t>
            </w:r>
          </w:p>
        </w:tc>
        <w:tc>
          <w:tcPr>
            <w:tcW w:type="dxa" w:w="2333"/>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Ports and Maritime</w:t>
              <w:br/>
              <w:t>BlueHarbor Ports and Cargo</w:t>
            </w:r>
          </w:p>
        </w:tc>
        <w:tc>
          <w:tcPr>
            <w:tcW w:type="dxa" w:w="2160"/>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Global Berth to Door</w:t>
            </w:r>
          </w:p>
        </w:tc>
        <w:tc>
          <w:tcPr>
            <w:tcW w:type="dxa" w:w="4392"/>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Berths, vessels, containers, customs, labor, secure handoffs, and inland transfers</w:t>
            </w:r>
          </w:p>
        </w:tc>
      </w:tr>
      <w:tr>
        <w:trPr>
          <w:cantSplit/>
        </w:trPr>
        <w:tc>
          <w:tcPr>
            <w:tcW w:type="dxa" w:w="691"/>
            <w:vAlign w:val="center"/>
            <w:tcMar>
              <w:top w:w="90" w:type="dxa"/>
              <w:start w:w="100" w:type="dxa"/>
              <w:bottom w:w="90" w:type="dxa"/>
              <w:end w:w="100" w:type="dxa"/>
            </w:tcMar>
          </w:tcPr>
          <w:p>
            <w:pPr>
              <w:keepNext w:val="0"/>
              <w:spacing w:after="0" w:line="259" w:lineRule="auto"/>
            </w:pPr>
            <w:r>
              <w:rPr>
                <w:rFonts w:ascii="Arial" w:hAnsi="Arial" w:eastAsia="Arial"/>
                <w:color w:val="111815"/>
                <w:sz w:val="15"/>
              </w:rPr>
              <w:t>P-009</w:t>
            </w:r>
          </w:p>
        </w:tc>
        <w:tc>
          <w:tcPr>
            <w:tcW w:type="dxa" w:w="2333"/>
            <w:vAlign w:val="center"/>
            <w:tcMar>
              <w:top w:w="90" w:type="dxa"/>
              <w:start w:w="100" w:type="dxa"/>
              <w:bottom w:w="90" w:type="dxa"/>
              <w:end w:w="100" w:type="dxa"/>
            </w:tcMar>
          </w:tcPr>
          <w:p>
            <w:pPr>
              <w:spacing w:after="0" w:line="259" w:lineRule="auto"/>
            </w:pPr>
            <w:r>
              <w:rPr>
                <w:rFonts w:ascii="Arial" w:hAnsi="Arial" w:eastAsia="Arial"/>
                <w:color w:val="111815"/>
                <w:sz w:val="15"/>
              </w:rPr>
              <w:t>Industrial Automation</w:t>
              <w:br/>
              <w:t>TitanWorks Robotics</w:t>
            </w:r>
          </w:p>
        </w:tc>
        <w:tc>
          <w:tcPr>
            <w:tcW w:type="dxa" w:w="2160"/>
            <w:vAlign w:val="center"/>
            <w:tcMar>
              <w:top w:w="90" w:type="dxa"/>
              <w:start w:w="100" w:type="dxa"/>
              <w:bottom w:w="90" w:type="dxa"/>
              <w:end w:w="100" w:type="dxa"/>
            </w:tcMar>
          </w:tcPr>
          <w:p>
            <w:pPr>
              <w:spacing w:after="0" w:line="259" w:lineRule="auto"/>
            </w:pPr>
            <w:r>
              <w:rPr>
                <w:rFonts w:ascii="Arial" w:hAnsi="Arial" w:eastAsia="Arial"/>
                <w:color w:val="111815"/>
                <w:sz w:val="15"/>
              </w:rPr>
              <w:t>Factory and Service Continuity</w:t>
            </w:r>
          </w:p>
        </w:tc>
        <w:tc>
          <w:tcPr>
            <w:tcW w:type="dxa" w:w="4392"/>
            <w:vAlign w:val="center"/>
            <w:tcMar>
              <w:top w:w="90" w:type="dxa"/>
              <w:start w:w="100" w:type="dxa"/>
              <w:bottom w:w="90" w:type="dxa"/>
              <w:end w:w="100" w:type="dxa"/>
            </w:tcMar>
          </w:tcPr>
          <w:p>
            <w:pPr>
              <w:spacing w:after="0" w:line="259" w:lineRule="auto"/>
            </w:pPr>
            <w:r>
              <w:rPr>
                <w:rFonts w:ascii="Arial" w:hAnsi="Arial" w:eastAsia="Arial"/>
                <w:color w:val="111815"/>
                <w:sz w:val="15"/>
              </w:rPr>
              <w:t>Machine reliability, scarce skills, production, service spares, and installed-base uptime</w:t>
            </w:r>
          </w:p>
        </w:tc>
      </w:tr>
      <w:tr>
        <w:trPr>
          <w:cantSplit/>
        </w:trPr>
        <w:tc>
          <w:tcPr>
            <w:tcW w:type="dxa" w:w="691"/>
            <w:vAlign w:val="center"/>
            <w:tcMar>
              <w:top w:w="90" w:type="dxa"/>
              <w:start w:w="100" w:type="dxa"/>
              <w:bottom w:w="90" w:type="dxa"/>
              <w:end w:w="100" w:type="dxa"/>
            </w:tcMar>
            <w:shd w:fill="F4F5F1"/>
          </w:tcPr>
          <w:p>
            <w:pPr>
              <w:keepNext w:val="0"/>
              <w:spacing w:after="0" w:line="259" w:lineRule="auto"/>
            </w:pPr>
            <w:r>
              <w:rPr>
                <w:rFonts w:ascii="Arial" w:hAnsi="Arial" w:eastAsia="Arial"/>
                <w:color w:val="111815"/>
                <w:sz w:val="15"/>
              </w:rPr>
              <w:t>P-010</w:t>
            </w:r>
          </w:p>
        </w:tc>
        <w:tc>
          <w:tcPr>
            <w:tcW w:type="dxa" w:w="2333"/>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Retail and Ecommerce</w:t>
              <w:br/>
              <w:t>Meridian Commerce Group</w:t>
            </w:r>
          </w:p>
        </w:tc>
        <w:tc>
          <w:tcPr>
            <w:tcW w:type="dxa" w:w="2160"/>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Omnichannel Peak</w:t>
            </w:r>
          </w:p>
        </w:tc>
        <w:tc>
          <w:tcPr>
            <w:tcW w:type="dxa" w:w="4392"/>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Promotion demand, available to promise, picking labor, fleet capacity, last mile, and margin</w:t>
            </w:r>
          </w:p>
        </w:tc>
      </w:tr>
    </w:tbl>
    <w:p>
      <w:pPr>
        <w:spacing w:after="0" w:before="0"/>
      </w:pPr>
    </w:p>
    <w:p>
      <w:r>
        <w:rPr>
          <w:rFonts w:ascii="Arial" w:hAnsi="Arial" w:eastAsia="Arial"/>
          <w:b/>
        </w:rPr>
        <w:t xml:space="preserve">Demonstration note  </w:t>
      </w:r>
      <w:r>
        <w:t>Each project uses synthetic scale, metric, app, agent, method, and variable records. These records show how a production project could be structured; they do not represent the named organizations.</w:t>
      </w:r>
    </w:p>
    <w:p>
      <w:r>
        <w:br w:type="page"/>
      </w:r>
    </w:p>
    <w:p>
      <w:pPr>
        <w:spacing w:after="100"/>
      </w:pPr>
      <w:r>
        <w:rPr>
          <w:rFonts w:ascii="Arial" w:hAnsi="Arial" w:eastAsia="Arial"/>
          <w:b/>
          <w:color w:val="FF6B35"/>
          <w:sz w:val="17"/>
        </w:rPr>
        <w:t>PROJECT WORKSPACE</w:t>
      </w:r>
    </w:p>
    <w:p>
      <w:pPr>
        <w:pStyle w:val="Heading1"/>
        <w:keepNext/>
      </w:pPr>
      <w:r>
        <w:t>Project tabs</w:t>
      </w:r>
    </w:p>
    <w:p>
      <w:pPr>
        <w:spacing w:after="200"/>
      </w:pPr>
      <w:r>
        <w:t>The tabs separate specialist tasks while keeping one project context underneath them. Tabs wrap to the available width; there is no horizontal tab scroller.</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541"/>
        <w:gridCol w:w="2541"/>
        <w:gridCol w:w="2541"/>
        <w:gridCol w:w="2541"/>
      </w:tblGrid>
      <w:tr>
        <w:trPr>
          <w:tblHeader w:val="true"/>
          <w:cantSplit/>
        </w:trPr>
        <w:tc>
          <w:tcPr>
            <w:tcW w:type="dxa" w:w="1440"/>
            <w:vAlign w:val="center"/>
            <w:tcMar>
              <w:top w:w="90" w:type="dxa"/>
              <w:start w:w="100" w:type="dxa"/>
              <w:bottom w:w="90" w:type="dxa"/>
              <w:end w:w="100" w:type="dxa"/>
            </w:tcMar>
            <w:shd w:fill="111815"/>
          </w:tcPr>
          <w:p>
            <w:pPr>
              <w:spacing w:after="0" w:line="259" w:lineRule="auto"/>
            </w:pPr>
            <w:r>
              <w:rPr>
                <w:rFonts w:ascii="Arial" w:hAnsi="Arial" w:eastAsia="Arial"/>
                <w:b/>
                <w:color w:val="FFFFFF"/>
                <w:sz w:val="16"/>
              </w:rPr>
              <w:t>Tab</w:t>
            </w:r>
          </w:p>
        </w:tc>
        <w:tc>
          <w:tcPr>
            <w:tcW w:type="dxa" w:w="3168"/>
            <w:vAlign w:val="center"/>
            <w:tcMar>
              <w:top w:w="90" w:type="dxa"/>
              <w:start w:w="100" w:type="dxa"/>
              <w:bottom w:w="90" w:type="dxa"/>
              <w:end w:w="100" w:type="dxa"/>
            </w:tcMar>
            <w:shd w:fill="111815"/>
          </w:tcPr>
          <w:p>
            <w:pPr>
              <w:spacing w:after="0" w:line="259" w:lineRule="auto"/>
            </w:pPr>
            <w:r>
              <w:rPr>
                <w:rFonts w:ascii="Arial" w:hAnsi="Arial" w:eastAsia="Arial"/>
                <w:b/>
                <w:color w:val="FFFFFF"/>
                <w:sz w:val="16"/>
              </w:rPr>
              <w:t>Use it for</w:t>
            </w:r>
          </w:p>
        </w:tc>
        <w:tc>
          <w:tcPr>
            <w:tcW w:type="dxa" w:w="3816"/>
            <w:vAlign w:val="center"/>
            <w:tcMar>
              <w:top w:w="90" w:type="dxa"/>
              <w:start w:w="100" w:type="dxa"/>
              <w:bottom w:w="90" w:type="dxa"/>
              <w:end w:w="100" w:type="dxa"/>
            </w:tcMar>
            <w:shd w:fill="111815"/>
          </w:tcPr>
          <w:p>
            <w:pPr>
              <w:spacing w:after="0" w:line="259" w:lineRule="auto"/>
            </w:pPr>
            <w:r>
              <w:rPr>
                <w:rFonts w:ascii="Arial" w:hAnsi="Arial" w:eastAsia="Arial"/>
                <w:b/>
                <w:color w:val="FFFFFF"/>
                <w:sz w:val="16"/>
              </w:rPr>
              <w:t>Important interactions</w:t>
            </w:r>
          </w:p>
        </w:tc>
        <w:tc>
          <w:tcPr>
            <w:tcW w:type="dxa" w:w="1440"/>
            <w:vAlign w:val="center"/>
            <w:tcMar>
              <w:top w:w="90" w:type="dxa"/>
              <w:start w:w="100" w:type="dxa"/>
              <w:bottom w:w="90" w:type="dxa"/>
              <w:end w:w="100" w:type="dxa"/>
            </w:tcMar>
            <w:shd w:fill="111815"/>
          </w:tcPr>
          <w:p>
            <w:pPr>
              <w:spacing w:after="0" w:line="259" w:lineRule="auto"/>
            </w:pPr>
            <w:r>
              <w:rPr>
                <w:rFonts w:ascii="Arial" w:hAnsi="Arial" w:eastAsia="Arial"/>
                <w:b/>
                <w:color w:val="FFFFFF"/>
                <w:sz w:val="16"/>
              </w:rPr>
              <w:t>End state</w:t>
            </w:r>
          </w:p>
        </w:tc>
      </w:tr>
      <w:tr>
        <w:trPr>
          <w:cantSplit/>
        </w:trPr>
        <w:tc>
          <w:tcPr>
            <w:tcW w:type="dxa" w:w="1440"/>
            <w:vAlign w:val="center"/>
            <w:tcMar>
              <w:top w:w="90" w:type="dxa"/>
              <w:start w:w="100" w:type="dxa"/>
              <w:bottom w:w="90" w:type="dxa"/>
              <w:end w:w="100" w:type="dxa"/>
            </w:tcMar>
          </w:tcPr>
          <w:p>
            <w:pPr>
              <w:keepNext w:val="0"/>
              <w:spacing w:after="0" w:line="259" w:lineRule="auto"/>
            </w:pPr>
            <w:r>
              <w:rPr>
                <w:rFonts w:ascii="Arial" w:hAnsi="Arial" w:eastAsia="Arial"/>
                <w:color w:val="111815"/>
                <w:sz w:val="15"/>
              </w:rPr>
              <w:t>Overview</w:t>
            </w:r>
          </w:p>
        </w:tc>
        <w:tc>
          <w:tcPr>
            <w:tcW w:type="dxa" w:w="3168"/>
            <w:vAlign w:val="center"/>
            <w:tcMar>
              <w:top w:w="90" w:type="dxa"/>
              <w:start w:w="100" w:type="dxa"/>
              <w:bottom w:w="90" w:type="dxa"/>
              <w:end w:w="100" w:type="dxa"/>
            </w:tcMar>
          </w:tcPr>
          <w:p>
            <w:pPr>
              <w:spacing w:after="0" w:line="259" w:lineRule="auto"/>
            </w:pPr>
            <w:r>
              <w:rPr>
                <w:rFonts w:ascii="Arial" w:hAnsi="Arial" w:eastAsia="Arial"/>
                <w:color w:val="111815"/>
                <w:sz w:val="15"/>
              </w:rPr>
              <w:t>Read outcome, project KPIs, app summary, decision preview, collaborators, and knowledge footprint.</w:t>
            </w:r>
          </w:p>
        </w:tc>
        <w:tc>
          <w:tcPr>
            <w:tcW w:type="dxa" w:w="3816"/>
            <w:vAlign w:val="center"/>
            <w:tcMar>
              <w:top w:w="90" w:type="dxa"/>
              <w:start w:w="100" w:type="dxa"/>
              <w:bottom w:w="90" w:type="dxa"/>
              <w:end w:w="100" w:type="dxa"/>
            </w:tcMar>
          </w:tcPr>
          <w:p>
            <w:pPr>
              <w:spacing w:after="0" w:line="259" w:lineRule="auto"/>
            </w:pPr>
            <w:r>
              <w:rPr>
                <w:rFonts w:ascii="Arial" w:hAnsi="Arial" w:eastAsia="Arial"/>
                <w:color w:val="111815"/>
                <w:sz w:val="15"/>
              </w:rPr>
              <w:t>Open KPI evidence, decision, app, agent, or project data.</w:t>
            </w:r>
          </w:p>
        </w:tc>
        <w:tc>
          <w:tcPr>
            <w:tcW w:type="dxa" w:w="1440"/>
            <w:vAlign w:val="center"/>
            <w:tcMar>
              <w:top w:w="90" w:type="dxa"/>
              <w:start w:w="100" w:type="dxa"/>
              <w:bottom w:w="90" w:type="dxa"/>
              <w:end w:w="100" w:type="dxa"/>
            </w:tcMar>
          </w:tcPr>
          <w:p>
            <w:pPr>
              <w:spacing w:after="0" w:line="259" w:lineRule="auto"/>
            </w:pPr>
            <w:r>
              <w:rPr>
                <w:rFonts w:ascii="Arial" w:hAnsi="Arial" w:eastAsia="Arial"/>
                <w:color w:val="111815"/>
                <w:sz w:val="15"/>
              </w:rPr>
              <w:t>Evidence drawer or destination workspace</w:t>
            </w:r>
          </w:p>
        </w:tc>
      </w:tr>
      <w:tr>
        <w:trPr>
          <w:cantSplit/>
        </w:trPr>
        <w:tc>
          <w:tcPr>
            <w:tcW w:type="dxa" w:w="1440"/>
            <w:vAlign w:val="center"/>
            <w:tcMar>
              <w:top w:w="90" w:type="dxa"/>
              <w:start w:w="100" w:type="dxa"/>
              <w:bottom w:w="90" w:type="dxa"/>
              <w:end w:w="100" w:type="dxa"/>
            </w:tcMar>
            <w:shd w:fill="F4F5F1"/>
          </w:tcPr>
          <w:p>
            <w:pPr>
              <w:keepNext w:val="0"/>
              <w:spacing w:after="0" w:line="259" w:lineRule="auto"/>
            </w:pPr>
            <w:r>
              <w:rPr>
                <w:rFonts w:ascii="Arial" w:hAnsi="Arial" w:eastAsia="Arial"/>
                <w:color w:val="111815"/>
                <w:sz w:val="15"/>
              </w:rPr>
              <w:t>Decisions</w:t>
            </w:r>
          </w:p>
        </w:tc>
        <w:tc>
          <w:tcPr>
            <w:tcW w:type="dxa" w:w="3168"/>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Decompose the project outcome into D0 through D3 decisions.</w:t>
            </w:r>
          </w:p>
        </w:tc>
        <w:tc>
          <w:tcPr>
            <w:tcW w:type="dxa" w:w="3816"/>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Select a decision, open its evidence, inspect L2 L1 L0 variables, open method references, create review draft.</w:t>
            </w:r>
          </w:p>
        </w:tc>
        <w:tc>
          <w:tcPr>
            <w:tcW w:type="dxa" w:w="1440"/>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Expert review draft receipt</w:t>
            </w:r>
          </w:p>
        </w:tc>
      </w:tr>
      <w:tr>
        <w:trPr>
          <w:cantSplit/>
        </w:trPr>
        <w:tc>
          <w:tcPr>
            <w:tcW w:type="dxa" w:w="1440"/>
            <w:vAlign w:val="center"/>
            <w:tcMar>
              <w:top w:w="90" w:type="dxa"/>
              <w:start w:w="100" w:type="dxa"/>
              <w:bottom w:w="90" w:type="dxa"/>
              <w:end w:w="100" w:type="dxa"/>
            </w:tcMar>
          </w:tcPr>
          <w:p>
            <w:pPr>
              <w:keepNext w:val="0"/>
              <w:spacing w:after="0" w:line="259" w:lineRule="auto"/>
            </w:pPr>
            <w:r>
              <w:rPr>
                <w:rFonts w:ascii="Arial" w:hAnsi="Arial" w:eastAsia="Arial"/>
                <w:color w:val="111815"/>
                <w:sz w:val="15"/>
              </w:rPr>
              <w:t>Apps</w:t>
            </w:r>
          </w:p>
        </w:tc>
        <w:tc>
          <w:tcPr>
            <w:tcW w:type="dxa" w:w="3168"/>
            <w:vAlign w:val="center"/>
            <w:tcMar>
              <w:top w:w="90" w:type="dxa"/>
              <w:start w:w="100" w:type="dxa"/>
              <w:bottom w:w="90" w:type="dxa"/>
              <w:end w:w="100" w:type="dxa"/>
            </w:tcMar>
          </w:tcPr>
          <w:p>
            <w:pPr>
              <w:spacing w:after="0" w:line="259" w:lineRule="auto"/>
            </w:pPr>
            <w:r>
              <w:rPr>
                <w:rFonts w:ascii="Arial" w:hAnsi="Arial" w:eastAsia="Arial"/>
                <w:color w:val="111815"/>
                <w:sz w:val="15"/>
              </w:rPr>
              <w:t>See the dependency graph and project-specific app contracts.</w:t>
            </w:r>
          </w:p>
        </w:tc>
        <w:tc>
          <w:tcPr>
            <w:tcW w:type="dxa" w:w="3816"/>
            <w:vAlign w:val="center"/>
            <w:tcMar>
              <w:top w:w="90" w:type="dxa"/>
              <w:start w:w="100" w:type="dxa"/>
              <w:bottom w:w="90" w:type="dxa"/>
              <w:end w:w="100" w:type="dxa"/>
            </w:tcMar>
          </w:tcPr>
          <w:p>
            <w:pPr>
              <w:spacing w:after="0" w:line="259" w:lineRule="auto"/>
            </w:pPr>
            <w:r>
              <w:rPr>
                <w:rFonts w:ascii="Arial" w:hAnsi="Arial" w:eastAsia="Arial"/>
                <w:color w:val="111815"/>
                <w:sz w:val="15"/>
              </w:rPr>
              <w:t>Mount or unmount eligible apps, inspect the manifest, open an app studio.</w:t>
            </w:r>
          </w:p>
        </w:tc>
        <w:tc>
          <w:tcPr>
            <w:tcW w:type="dxa" w:w="1440"/>
            <w:vAlign w:val="center"/>
            <w:tcMar>
              <w:top w:w="90" w:type="dxa"/>
              <w:start w:w="100" w:type="dxa"/>
              <w:bottom w:w="90" w:type="dxa"/>
              <w:end w:w="100" w:type="dxa"/>
            </w:tcMar>
          </w:tcPr>
          <w:p>
            <w:pPr>
              <w:spacing w:after="0" w:line="259" w:lineRule="auto"/>
            </w:pPr>
            <w:r>
              <w:rPr>
                <w:rFonts w:ascii="Arial" w:hAnsi="Arial" w:eastAsia="Arial"/>
                <w:color w:val="111815"/>
                <w:sz w:val="15"/>
              </w:rPr>
              <w:t>Project app studio</w:t>
            </w:r>
          </w:p>
        </w:tc>
      </w:tr>
      <w:tr>
        <w:trPr>
          <w:cantSplit/>
        </w:trPr>
        <w:tc>
          <w:tcPr>
            <w:tcW w:type="dxa" w:w="1440"/>
            <w:vAlign w:val="center"/>
            <w:tcMar>
              <w:top w:w="90" w:type="dxa"/>
              <w:start w:w="100" w:type="dxa"/>
              <w:bottom w:w="90" w:type="dxa"/>
              <w:end w:w="100" w:type="dxa"/>
            </w:tcMar>
            <w:shd w:fill="F4F5F1"/>
          </w:tcPr>
          <w:p>
            <w:pPr>
              <w:keepNext w:val="0"/>
              <w:spacing w:after="0" w:line="259" w:lineRule="auto"/>
            </w:pPr>
            <w:r>
              <w:rPr>
                <w:rFonts w:ascii="Arial" w:hAnsi="Arial" w:eastAsia="Arial"/>
                <w:color w:val="111815"/>
                <w:sz w:val="15"/>
              </w:rPr>
              <w:t>Data</w:t>
            </w:r>
          </w:p>
        </w:tc>
        <w:tc>
          <w:tcPr>
            <w:tcW w:type="dxa" w:w="3168"/>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Stage project-owned data and request governed IoT or enterprise sources.</w:t>
            </w:r>
          </w:p>
        </w:tc>
        <w:tc>
          <w:tcPr>
            <w:tcW w:type="dxa" w:w="3816"/>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Advance file stages, inspect contracts, request a source, test a fixed sample, submit for policy review.</w:t>
            </w:r>
          </w:p>
        </w:tc>
        <w:tc>
          <w:tcPr>
            <w:tcW w:type="dxa" w:w="1440"/>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Dataset or connector receipt</w:t>
            </w:r>
          </w:p>
        </w:tc>
      </w:tr>
      <w:tr>
        <w:trPr>
          <w:cantSplit/>
        </w:trPr>
        <w:tc>
          <w:tcPr>
            <w:tcW w:type="dxa" w:w="1440"/>
            <w:vAlign w:val="center"/>
            <w:tcMar>
              <w:top w:w="90" w:type="dxa"/>
              <w:start w:w="100" w:type="dxa"/>
              <w:bottom w:w="90" w:type="dxa"/>
              <w:end w:w="100" w:type="dxa"/>
            </w:tcMar>
          </w:tcPr>
          <w:p>
            <w:pPr>
              <w:keepNext w:val="0"/>
              <w:spacing w:after="0" w:line="259" w:lineRule="auto"/>
            </w:pPr>
            <w:r>
              <w:rPr>
                <w:rFonts w:ascii="Arial" w:hAnsi="Arial" w:eastAsia="Arial"/>
                <w:color w:val="111815"/>
                <w:sz w:val="15"/>
              </w:rPr>
              <w:t>Graph</w:t>
            </w:r>
          </w:p>
        </w:tc>
        <w:tc>
          <w:tcPr>
            <w:tcW w:type="dxa" w:w="3168"/>
            <w:vAlign w:val="center"/>
            <w:tcMar>
              <w:top w:w="90" w:type="dxa"/>
              <w:start w:w="100" w:type="dxa"/>
              <w:bottom w:w="90" w:type="dxa"/>
              <w:end w:w="100" w:type="dxa"/>
            </w:tcMar>
          </w:tcPr>
          <w:p>
            <w:pPr>
              <w:spacing w:after="0" w:line="259" w:lineRule="auto"/>
            </w:pPr>
            <w:r>
              <w:rPr>
                <w:rFonts w:ascii="Arial" w:hAnsi="Arial" w:eastAsia="Arial"/>
                <w:color w:val="111815"/>
                <w:sz w:val="15"/>
              </w:rPr>
              <w:t>Inspect project entities and trace an agent path across evidence, variables, calculations, and decisions.</w:t>
            </w:r>
          </w:p>
        </w:tc>
        <w:tc>
          <w:tcPr>
            <w:tcW w:type="dxa" w:w="3816"/>
            <w:vAlign w:val="center"/>
            <w:tcMar>
              <w:top w:w="90" w:type="dxa"/>
              <w:start w:w="100" w:type="dxa"/>
              <w:bottom w:w="90" w:type="dxa"/>
              <w:end w:w="100" w:type="dxa"/>
            </w:tcMar>
          </w:tcPr>
          <w:p>
            <w:pPr>
              <w:spacing w:after="0" w:line="259" w:lineRule="auto"/>
            </w:pPr>
            <w:r>
              <w:rPr>
                <w:rFonts w:ascii="Arial" w:hAnsi="Arial" w:eastAsia="Arial"/>
                <w:color w:val="111815"/>
                <w:sz w:val="15"/>
              </w:rPr>
              <w:t>Select nodes, open receipts, play trace, add visual steering constraints.</w:t>
            </w:r>
          </w:p>
        </w:tc>
        <w:tc>
          <w:tcPr>
            <w:tcW w:type="dxa" w:w="1440"/>
            <w:vAlign w:val="center"/>
            <w:tcMar>
              <w:top w:w="90" w:type="dxa"/>
              <w:start w:w="100" w:type="dxa"/>
              <w:bottom w:w="90" w:type="dxa"/>
              <w:end w:w="100" w:type="dxa"/>
            </w:tcMar>
          </w:tcPr>
          <w:p>
            <w:pPr>
              <w:spacing w:after="0" w:line="259" w:lineRule="auto"/>
            </w:pPr>
            <w:r>
              <w:rPr>
                <w:rFonts w:ascii="Arial" w:hAnsi="Arial" w:eastAsia="Arial"/>
                <w:color w:val="111815"/>
                <w:sz w:val="15"/>
              </w:rPr>
              <w:t>Trace context updated</w:t>
            </w:r>
          </w:p>
        </w:tc>
      </w:tr>
      <w:tr>
        <w:trPr>
          <w:cantSplit/>
        </w:trPr>
        <w:tc>
          <w:tcPr>
            <w:tcW w:type="dxa" w:w="1440"/>
            <w:vAlign w:val="center"/>
            <w:tcMar>
              <w:top w:w="90" w:type="dxa"/>
              <w:start w:w="100" w:type="dxa"/>
              <w:bottom w:w="90" w:type="dxa"/>
              <w:end w:w="100" w:type="dxa"/>
            </w:tcMar>
            <w:shd w:fill="F4F5F1"/>
          </w:tcPr>
          <w:p>
            <w:pPr>
              <w:keepNext w:val="0"/>
              <w:spacing w:after="0" w:line="259" w:lineRule="auto"/>
            </w:pPr>
            <w:r>
              <w:rPr>
                <w:rFonts w:ascii="Arial" w:hAnsi="Arial" w:eastAsia="Arial"/>
                <w:color w:val="111815"/>
                <w:sz w:val="15"/>
              </w:rPr>
              <w:t>Agents</w:t>
            </w:r>
          </w:p>
        </w:tc>
        <w:tc>
          <w:tcPr>
            <w:tcW w:type="dxa" w:w="3168"/>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Work in a minimal code-style chat with specialist profiles.</w:t>
            </w:r>
          </w:p>
        </w:tc>
        <w:tc>
          <w:tcPr>
            <w:tcW w:type="dxa" w:w="3816"/>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Create or select an agent, enter a prompt, advance or cancel trace, steer, and inspect experience.</w:t>
            </w:r>
          </w:p>
        </w:tc>
        <w:tc>
          <w:tcPr>
            <w:tcW w:type="dxa" w:w="1440"/>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Human gate or draft manifest receipt</w:t>
            </w:r>
          </w:p>
        </w:tc>
      </w:tr>
      <w:tr>
        <w:trPr>
          <w:cantSplit/>
        </w:trPr>
        <w:tc>
          <w:tcPr>
            <w:tcW w:type="dxa" w:w="1440"/>
            <w:vAlign w:val="center"/>
            <w:tcMar>
              <w:top w:w="90" w:type="dxa"/>
              <w:start w:w="100" w:type="dxa"/>
              <w:bottom w:w="90" w:type="dxa"/>
              <w:end w:w="100" w:type="dxa"/>
            </w:tcMar>
          </w:tcPr>
          <w:p>
            <w:pPr>
              <w:keepNext w:val="0"/>
              <w:spacing w:after="0" w:line="259" w:lineRule="auto"/>
            </w:pPr>
            <w:r>
              <w:rPr>
                <w:rFonts w:ascii="Arial" w:hAnsi="Arial" w:eastAsia="Arial"/>
                <w:color w:val="111815"/>
                <w:sz w:val="15"/>
              </w:rPr>
              <w:t>Team</w:t>
            </w:r>
          </w:p>
        </w:tc>
        <w:tc>
          <w:tcPr>
            <w:tcW w:type="dxa" w:w="3168"/>
            <w:vAlign w:val="center"/>
            <w:tcMar>
              <w:top w:w="90" w:type="dxa"/>
              <w:start w:w="100" w:type="dxa"/>
              <w:bottom w:w="90" w:type="dxa"/>
              <w:end w:w="100" w:type="dxa"/>
            </w:tcMar>
          </w:tcPr>
          <w:p>
            <w:pPr>
              <w:spacing w:after="0" w:line="259" w:lineRule="auto"/>
            </w:pPr>
            <w:r>
              <w:rPr>
                <w:rFonts w:ascii="Arial" w:hAnsi="Arial" w:eastAsia="Arial"/>
                <w:color w:val="111815"/>
                <w:sz w:val="15"/>
              </w:rPr>
              <w:t>Put client and Kearney collaborators in the loop.</w:t>
            </w:r>
          </w:p>
        </w:tc>
        <w:tc>
          <w:tcPr>
            <w:tcW w:type="dxa" w:w="3816"/>
            <w:vAlign w:val="center"/>
            <w:tcMar>
              <w:top w:w="90" w:type="dxa"/>
              <w:start w:w="100" w:type="dxa"/>
              <w:bottom w:w="90" w:type="dxa"/>
              <w:end w:w="100" w:type="dxa"/>
            </w:tcMar>
          </w:tcPr>
          <w:p>
            <w:pPr>
              <w:spacing w:after="0" w:line="259" w:lineRule="auto"/>
            </w:pPr>
            <w:r>
              <w:rPr>
                <w:rFonts w:ascii="Arial" w:hAnsi="Arial" w:eastAsia="Arial"/>
                <w:color w:val="111815"/>
                <w:sz w:val="15"/>
              </w:rPr>
              <w:t>Inspect affiliation, role, capability grants, experience, decision rights, and assignments.</w:t>
            </w:r>
          </w:p>
        </w:tc>
        <w:tc>
          <w:tcPr>
            <w:tcW w:type="dxa" w:w="1440"/>
            <w:vAlign w:val="center"/>
            <w:tcMar>
              <w:top w:w="90" w:type="dxa"/>
              <w:start w:w="100" w:type="dxa"/>
              <w:bottom w:w="90" w:type="dxa"/>
              <w:end w:w="100" w:type="dxa"/>
            </w:tcMar>
          </w:tcPr>
          <w:p>
            <w:pPr>
              <w:spacing w:after="0" w:line="259" w:lineRule="auto"/>
            </w:pPr>
            <w:r>
              <w:rPr>
                <w:rFonts w:ascii="Arial" w:hAnsi="Arial" w:eastAsia="Arial"/>
                <w:color w:val="111815"/>
                <w:sz w:val="15"/>
              </w:rPr>
              <w:t>Membership or assignment receipt</w:t>
            </w:r>
          </w:p>
        </w:tc>
      </w:tr>
      <w:tr>
        <w:trPr>
          <w:cantSplit/>
        </w:trPr>
        <w:tc>
          <w:tcPr>
            <w:tcW w:type="dxa" w:w="1440"/>
            <w:vAlign w:val="center"/>
            <w:tcMar>
              <w:top w:w="90" w:type="dxa"/>
              <w:start w:w="100" w:type="dxa"/>
              <w:bottom w:w="90" w:type="dxa"/>
              <w:end w:w="100" w:type="dxa"/>
            </w:tcMar>
            <w:shd w:fill="F4F5F1"/>
          </w:tcPr>
          <w:p>
            <w:pPr>
              <w:keepNext w:val="0"/>
              <w:spacing w:after="0" w:line="259" w:lineRule="auto"/>
            </w:pPr>
            <w:r>
              <w:rPr>
                <w:rFonts w:ascii="Arial" w:hAnsi="Arial" w:eastAsia="Arial"/>
                <w:color w:val="111815"/>
                <w:sz w:val="15"/>
              </w:rPr>
              <w:t>Controls</w:t>
            </w:r>
          </w:p>
        </w:tc>
        <w:tc>
          <w:tcPr>
            <w:tcW w:type="dxa" w:w="3168"/>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Review concept controls and production gaps.</w:t>
            </w:r>
          </w:p>
        </w:tc>
        <w:tc>
          <w:tcPr>
            <w:tcW w:type="dxa" w:w="3816"/>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Inspect evidence, access, control status, and boundary statements.</w:t>
            </w:r>
          </w:p>
        </w:tc>
        <w:tc>
          <w:tcPr>
            <w:tcW w:type="dxa" w:w="1440"/>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Control receipt</w:t>
            </w:r>
          </w:p>
        </w:tc>
      </w:tr>
    </w:tbl>
    <w:p>
      <w:pPr>
        <w:spacing w:after="0" w:before="0"/>
      </w:pPr>
    </w:p>
    <w:p>
      <w:pPr>
        <w:pStyle w:val="Heading2"/>
        <w:keepNext/>
      </w:pPr>
      <w:r>
        <w:t>What project persistence means</w:t>
      </w:r>
    </w:p>
    <w:p>
      <w:r>
        <w:t>The concept preserves per-project state in browser memory only. The signed-in Maya Rao fixture is one Kearney portfolio collaborator with an explicit membership in each seeded project. Project entry and governed session mutations evaluate that identity's declared capability grants; the interface never borrows a client owner's rights. A production implementation still needs authenticated tenant context, server-side project authorization, encrypted object storage, a project registry, lineage storage, versioned event history, retention policies, and audit controls. Do not interpret session restoration as backend persistence.</w:t>
      </w:r>
    </w:p>
    <w:p>
      <w:r>
        <w:br w:type="page"/>
      </w:r>
    </w:p>
    <w:p>
      <w:pPr>
        <w:spacing w:after="100"/>
      </w:pPr>
      <w:r>
        <w:rPr>
          <w:rFonts w:ascii="Arial" w:hAnsi="Arial" w:eastAsia="Arial"/>
          <w:b/>
          <w:color w:val="FF6B35"/>
          <w:sz w:val="17"/>
        </w:rPr>
        <w:t>INTERACTION COMPLETENESS</w:t>
      </w:r>
    </w:p>
    <w:p>
      <w:pPr>
        <w:pStyle w:val="Heading1"/>
        <w:keepNext/>
      </w:pPr>
      <w:r>
        <w:t>Clickable surfaces and terminal states</w:t>
      </w:r>
    </w:p>
    <w:p>
      <w:pPr>
        <w:spacing w:after="200"/>
      </w:pPr>
      <w:r>
        <w:t>Use this section to explain what a control does and how the user knows that it completed.</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541"/>
        <w:gridCol w:w="2541"/>
        <w:gridCol w:w="2541"/>
        <w:gridCol w:w="2541"/>
      </w:tblGrid>
      <w:tr>
        <w:trPr>
          <w:tblHeader w:val="true"/>
          <w:cantSplit/>
        </w:trPr>
        <w:tc>
          <w:tcPr>
            <w:tcW w:type="dxa" w:w="1656"/>
            <w:vAlign w:val="center"/>
            <w:tcMar>
              <w:top w:w="90" w:type="dxa"/>
              <w:start w:w="100" w:type="dxa"/>
              <w:bottom w:w="90" w:type="dxa"/>
              <w:end w:w="100" w:type="dxa"/>
            </w:tcMar>
            <w:shd w:fill="111815"/>
          </w:tcPr>
          <w:p>
            <w:pPr>
              <w:spacing w:after="0" w:line="259" w:lineRule="auto"/>
            </w:pPr>
            <w:r>
              <w:rPr>
                <w:rFonts w:ascii="Arial" w:hAnsi="Arial" w:eastAsia="Arial"/>
                <w:b/>
                <w:color w:val="FFFFFF"/>
                <w:sz w:val="16"/>
              </w:rPr>
              <w:t>Control family</w:t>
            </w:r>
          </w:p>
        </w:tc>
        <w:tc>
          <w:tcPr>
            <w:tcW w:type="dxa" w:w="3384"/>
            <w:vAlign w:val="center"/>
            <w:tcMar>
              <w:top w:w="90" w:type="dxa"/>
              <w:start w:w="100" w:type="dxa"/>
              <w:bottom w:w="90" w:type="dxa"/>
              <w:end w:w="100" w:type="dxa"/>
            </w:tcMar>
            <w:shd w:fill="111815"/>
          </w:tcPr>
          <w:p>
            <w:pPr>
              <w:spacing w:after="0" w:line="259" w:lineRule="auto"/>
            </w:pPr>
            <w:r>
              <w:rPr>
                <w:rFonts w:ascii="Arial" w:hAnsi="Arial" w:eastAsia="Arial"/>
                <w:b/>
                <w:color w:val="FFFFFF"/>
                <w:sz w:val="16"/>
              </w:rPr>
              <w:t>Expected behavior</w:t>
            </w:r>
          </w:p>
        </w:tc>
        <w:tc>
          <w:tcPr>
            <w:tcW w:type="dxa" w:w="3096"/>
            <w:vAlign w:val="center"/>
            <w:tcMar>
              <w:top w:w="90" w:type="dxa"/>
              <w:start w:w="100" w:type="dxa"/>
              <w:bottom w:w="90" w:type="dxa"/>
              <w:end w:w="100" w:type="dxa"/>
            </w:tcMar>
            <w:shd w:fill="111815"/>
          </w:tcPr>
          <w:p>
            <w:pPr>
              <w:spacing w:after="0" w:line="259" w:lineRule="auto"/>
            </w:pPr>
            <w:r>
              <w:rPr>
                <w:rFonts w:ascii="Arial" w:hAnsi="Arial" w:eastAsia="Arial"/>
                <w:b/>
                <w:color w:val="FFFFFF"/>
                <w:sz w:val="16"/>
              </w:rPr>
              <w:t>Visible completion</w:t>
            </w:r>
          </w:p>
        </w:tc>
        <w:tc>
          <w:tcPr>
            <w:tcW w:type="dxa" w:w="1800"/>
            <w:vAlign w:val="center"/>
            <w:tcMar>
              <w:top w:w="90" w:type="dxa"/>
              <w:start w:w="100" w:type="dxa"/>
              <w:bottom w:w="90" w:type="dxa"/>
              <w:end w:w="100" w:type="dxa"/>
            </w:tcMar>
            <w:shd w:fill="111815"/>
          </w:tcPr>
          <w:p>
            <w:pPr>
              <w:spacing w:after="0" w:line="259" w:lineRule="auto"/>
            </w:pPr>
            <w:r>
              <w:rPr>
                <w:rFonts w:ascii="Arial" w:hAnsi="Arial" w:eastAsia="Arial"/>
                <w:b/>
                <w:color w:val="FFFFFF"/>
                <w:sz w:val="16"/>
              </w:rPr>
              <w:t>No silent claim</w:t>
            </w:r>
          </w:p>
        </w:tc>
      </w:tr>
      <w:tr>
        <w:trPr>
          <w:cantSplit/>
        </w:trPr>
        <w:tc>
          <w:tcPr>
            <w:tcW w:type="dxa" w:w="1656"/>
            <w:vAlign w:val="center"/>
            <w:tcMar>
              <w:top w:w="90" w:type="dxa"/>
              <w:start w:w="100" w:type="dxa"/>
              <w:bottom w:w="90" w:type="dxa"/>
              <w:end w:w="100" w:type="dxa"/>
            </w:tcMar>
          </w:tcPr>
          <w:p>
            <w:pPr>
              <w:keepNext w:val="0"/>
              <w:spacing w:after="0" w:line="259" w:lineRule="auto"/>
            </w:pPr>
            <w:r>
              <w:rPr>
                <w:rFonts w:ascii="Arial" w:hAnsi="Arial" w:eastAsia="Arial"/>
                <w:color w:val="111815"/>
                <w:sz w:val="16"/>
              </w:rPr>
              <w:t>Navigation and search</w:t>
            </w:r>
          </w:p>
        </w:tc>
        <w:tc>
          <w:tcPr>
            <w:tcW w:type="dxa" w:w="3384"/>
            <w:vAlign w:val="center"/>
            <w:tcMar>
              <w:top w:w="90" w:type="dxa"/>
              <w:start w:w="100" w:type="dxa"/>
              <w:bottom w:w="90" w:type="dxa"/>
              <w:end w:w="100" w:type="dxa"/>
            </w:tcMar>
          </w:tcPr>
          <w:p>
            <w:pPr>
              <w:spacing w:after="0" w:line="259" w:lineRule="auto"/>
            </w:pPr>
            <w:r>
              <w:rPr>
                <w:rFonts w:ascii="Arial" w:hAnsi="Arial" w:eastAsia="Arial"/>
                <w:color w:val="111815"/>
                <w:sz w:val="16"/>
              </w:rPr>
              <w:t>Open Workspace, Operations World, a project, tab, app, decision, graph, or agent surface and update the URL.</w:t>
            </w:r>
          </w:p>
        </w:tc>
        <w:tc>
          <w:tcPr>
            <w:tcW w:type="dxa" w:w="3096"/>
            <w:vAlign w:val="center"/>
            <w:tcMar>
              <w:top w:w="90" w:type="dxa"/>
              <w:start w:w="100" w:type="dxa"/>
              <w:bottom w:w="90" w:type="dxa"/>
              <w:end w:w="100" w:type="dxa"/>
            </w:tcMar>
          </w:tcPr>
          <w:p>
            <w:pPr>
              <w:spacing w:after="0" w:line="259" w:lineRule="auto"/>
            </w:pPr>
            <w:r>
              <w:rPr>
                <w:rFonts w:ascii="Arial" w:hAnsi="Arial" w:eastAsia="Arial"/>
                <w:color w:val="111815"/>
                <w:sz w:val="16"/>
              </w:rPr>
              <w:t>Destination heading receives focus and Back restores the route.</w:t>
            </w:r>
          </w:p>
        </w:tc>
        <w:tc>
          <w:tcPr>
            <w:tcW w:type="dxa" w:w="1800"/>
            <w:vAlign w:val="center"/>
            <w:tcMar>
              <w:top w:w="90" w:type="dxa"/>
              <w:start w:w="100" w:type="dxa"/>
              <w:bottom w:w="90" w:type="dxa"/>
              <w:end w:w="100" w:type="dxa"/>
            </w:tcMar>
          </w:tcPr>
          <w:p>
            <w:pPr>
              <w:spacing w:after="0" w:line="259" w:lineRule="auto"/>
            </w:pPr>
            <w:r>
              <w:rPr>
                <w:rFonts w:ascii="Arial" w:hAnsi="Arial" w:eastAsia="Arial"/>
                <w:color w:val="111815"/>
                <w:sz w:val="16"/>
              </w:rPr>
              <w:t>No placeholder page</w:t>
            </w:r>
          </w:p>
        </w:tc>
      </w:tr>
      <w:tr>
        <w:trPr>
          <w:cantSplit/>
        </w:trPr>
        <w:tc>
          <w:tcPr>
            <w:tcW w:type="dxa" w:w="1656"/>
            <w:vAlign w:val="center"/>
            <w:tcMar>
              <w:top w:w="90" w:type="dxa"/>
              <w:start w:w="100" w:type="dxa"/>
              <w:bottom w:w="90" w:type="dxa"/>
              <w:end w:w="100" w:type="dxa"/>
            </w:tcMar>
            <w:shd w:fill="F4F5F1"/>
          </w:tcPr>
          <w:p>
            <w:pPr>
              <w:keepNext w:val="0"/>
              <w:spacing w:after="0" w:line="259" w:lineRule="auto"/>
            </w:pPr>
            <w:r>
              <w:rPr>
                <w:rFonts w:ascii="Arial" w:hAnsi="Arial" w:eastAsia="Arial"/>
                <w:color w:val="111815"/>
                <w:sz w:val="16"/>
              </w:rPr>
              <w:t>Filters and selectors</w:t>
            </w:r>
          </w:p>
        </w:tc>
        <w:tc>
          <w:tcPr>
            <w:tcW w:type="dxa" w:w="3384"/>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Recalculate or filter the deterministic fixture shown on screen.</w:t>
            </w:r>
          </w:p>
        </w:tc>
        <w:tc>
          <w:tcPr>
            <w:tcW w:type="dxa" w:w="3096"/>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Selection, counts, chart, map, list, or inspector changes.</w:t>
            </w:r>
          </w:p>
        </w:tc>
        <w:tc>
          <w:tcPr>
            <w:tcW w:type="dxa" w:w="1800"/>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No external refresh</w:t>
            </w:r>
          </w:p>
        </w:tc>
      </w:tr>
      <w:tr>
        <w:trPr>
          <w:cantSplit/>
        </w:trPr>
        <w:tc>
          <w:tcPr>
            <w:tcW w:type="dxa" w:w="1656"/>
            <w:vAlign w:val="center"/>
            <w:tcMar>
              <w:top w:w="90" w:type="dxa"/>
              <w:start w:w="100" w:type="dxa"/>
              <w:bottom w:w="90" w:type="dxa"/>
              <w:end w:w="100" w:type="dxa"/>
            </w:tcMar>
          </w:tcPr>
          <w:p>
            <w:pPr>
              <w:keepNext w:val="0"/>
              <w:spacing w:after="0" w:line="259" w:lineRule="auto"/>
            </w:pPr>
            <w:r>
              <w:rPr>
                <w:rFonts w:ascii="Arial" w:hAnsi="Arial" w:eastAsia="Arial"/>
                <w:color w:val="111815"/>
                <w:sz w:val="16"/>
              </w:rPr>
              <w:t>Metric and evidence controls</w:t>
            </w:r>
          </w:p>
        </w:tc>
        <w:tc>
          <w:tcPr>
            <w:tcW w:type="dxa" w:w="3384"/>
            <w:vAlign w:val="center"/>
            <w:tcMar>
              <w:top w:w="90" w:type="dxa"/>
              <w:start w:w="100" w:type="dxa"/>
              <w:bottom w:w="90" w:type="dxa"/>
              <w:end w:w="100" w:type="dxa"/>
            </w:tcMar>
          </w:tcPr>
          <w:p>
            <w:pPr>
              <w:spacing w:after="0" w:line="259" w:lineRule="auto"/>
            </w:pPr>
            <w:r>
              <w:rPr>
                <w:rFonts w:ascii="Arial" w:hAnsi="Arial" w:eastAsia="Arial"/>
                <w:color w:val="111815"/>
                <w:sz w:val="16"/>
              </w:rPr>
              <w:t>Open a project evidence drawer or session action receipt.</w:t>
            </w:r>
          </w:p>
        </w:tc>
        <w:tc>
          <w:tcPr>
            <w:tcW w:type="dxa" w:w="3096"/>
            <w:vAlign w:val="center"/>
            <w:tcMar>
              <w:top w:w="90" w:type="dxa"/>
              <w:start w:w="100" w:type="dxa"/>
              <w:bottom w:w="90" w:type="dxa"/>
              <w:end w:w="100" w:type="dxa"/>
            </w:tcMar>
          </w:tcPr>
          <w:p>
            <w:pPr>
              <w:spacing w:after="0" w:line="259" w:lineRule="auto"/>
            </w:pPr>
            <w:r>
              <w:rPr>
                <w:rFonts w:ascii="Arial" w:hAnsi="Arial" w:eastAsia="Arial"/>
                <w:color w:val="111815"/>
                <w:sz w:val="16"/>
              </w:rPr>
              <w:t>Receipt names the value, basis, context, and boundary.</w:t>
            </w:r>
          </w:p>
        </w:tc>
        <w:tc>
          <w:tcPr>
            <w:tcW w:type="dxa" w:w="1800"/>
            <w:vAlign w:val="center"/>
            <w:tcMar>
              <w:top w:w="90" w:type="dxa"/>
              <w:start w:w="100" w:type="dxa"/>
              <w:bottom w:w="90" w:type="dxa"/>
              <w:end w:w="100" w:type="dxa"/>
            </w:tcMar>
          </w:tcPr>
          <w:p>
            <w:pPr>
              <w:spacing w:after="0" w:line="259" w:lineRule="auto"/>
            </w:pPr>
            <w:r>
              <w:rPr>
                <w:rFonts w:ascii="Arial" w:hAnsi="Arial" w:eastAsia="Arial"/>
                <w:color w:val="111815"/>
                <w:sz w:val="16"/>
              </w:rPr>
              <w:t>No unsupported source access</w:t>
            </w:r>
          </w:p>
        </w:tc>
      </w:tr>
      <w:tr>
        <w:trPr>
          <w:cantSplit/>
        </w:trPr>
        <w:tc>
          <w:tcPr>
            <w:tcW w:type="dxa" w:w="1656"/>
            <w:vAlign w:val="center"/>
            <w:tcMar>
              <w:top w:w="90" w:type="dxa"/>
              <w:start w:w="100" w:type="dxa"/>
              <w:bottom w:w="90" w:type="dxa"/>
              <w:end w:w="100" w:type="dxa"/>
            </w:tcMar>
            <w:shd w:fill="F4F5F1"/>
          </w:tcPr>
          <w:p>
            <w:pPr>
              <w:keepNext w:val="0"/>
              <w:spacing w:after="0" w:line="259" w:lineRule="auto"/>
            </w:pPr>
            <w:r>
              <w:rPr>
                <w:rFonts w:ascii="Arial" w:hAnsi="Arial" w:eastAsia="Arial"/>
                <w:color w:val="111815"/>
                <w:sz w:val="16"/>
              </w:rPr>
              <w:t>Create and update controls</w:t>
            </w:r>
          </w:p>
        </w:tc>
        <w:tc>
          <w:tcPr>
            <w:tcW w:type="dxa" w:w="3384"/>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Change browser-session state only when the user has enough context.</w:t>
            </w:r>
          </w:p>
        </w:tc>
        <w:tc>
          <w:tcPr>
            <w:tcW w:type="dxa" w:w="3096"/>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Saved or Completed receipt, updated local state, and receipt ledger entry.</w:t>
            </w:r>
          </w:p>
        </w:tc>
        <w:tc>
          <w:tcPr>
            <w:tcW w:type="dxa" w:w="1800"/>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No backend persistence</w:t>
            </w:r>
          </w:p>
        </w:tc>
      </w:tr>
      <w:tr>
        <w:trPr>
          <w:cantSplit/>
        </w:trPr>
        <w:tc>
          <w:tcPr>
            <w:tcW w:type="dxa" w:w="1656"/>
            <w:vAlign w:val="center"/>
            <w:tcMar>
              <w:top w:w="90" w:type="dxa"/>
              <w:start w:w="100" w:type="dxa"/>
              <w:bottom w:w="90" w:type="dxa"/>
              <w:end w:w="100" w:type="dxa"/>
            </w:tcMar>
          </w:tcPr>
          <w:p>
            <w:pPr>
              <w:keepNext w:val="0"/>
              <w:spacing w:after="0" w:line="259" w:lineRule="auto"/>
            </w:pPr>
            <w:r>
              <w:rPr>
                <w:rFonts w:ascii="Arial" w:hAnsi="Arial" w:eastAsia="Arial"/>
                <w:color w:val="111815"/>
                <w:sz w:val="16"/>
              </w:rPr>
              <w:t>Blocked controls</w:t>
            </w:r>
          </w:p>
        </w:tc>
        <w:tc>
          <w:tcPr>
            <w:tcW w:type="dxa" w:w="3384"/>
            <w:vAlign w:val="center"/>
            <w:tcMar>
              <w:top w:w="90" w:type="dxa"/>
              <w:start w:w="100" w:type="dxa"/>
              <w:bottom w:w="90" w:type="dxa"/>
              <w:end w:w="100" w:type="dxa"/>
            </w:tcMar>
          </w:tcPr>
          <w:p>
            <w:pPr>
              <w:spacing w:after="0" w:line="259" w:lineRule="auto"/>
            </w:pPr>
            <w:r>
              <w:rPr>
                <w:rFonts w:ascii="Arial" w:hAnsi="Arial" w:eastAsia="Arial"/>
                <w:color w:val="111815"/>
                <w:sz w:val="16"/>
              </w:rPr>
              <w:t>Stay disabled or return a specific reason when prerequisites are missing.</w:t>
            </w:r>
          </w:p>
        </w:tc>
        <w:tc>
          <w:tcPr>
            <w:tcW w:type="dxa" w:w="3096"/>
            <w:vAlign w:val="center"/>
            <w:tcMar>
              <w:top w:w="90" w:type="dxa"/>
              <w:start w:w="100" w:type="dxa"/>
              <w:bottom w:w="90" w:type="dxa"/>
              <w:end w:w="100" w:type="dxa"/>
            </w:tcMar>
          </w:tcPr>
          <w:p>
            <w:pPr>
              <w:spacing w:after="0" w:line="259" w:lineRule="auto"/>
            </w:pPr>
            <w:r>
              <w:rPr>
                <w:rFonts w:ascii="Arial" w:hAnsi="Arial" w:eastAsia="Arial"/>
                <w:color w:val="111815"/>
                <w:sz w:val="16"/>
              </w:rPr>
              <w:t>Blocked receipt or visible gate explanation.</w:t>
            </w:r>
          </w:p>
        </w:tc>
        <w:tc>
          <w:tcPr>
            <w:tcW w:type="dxa" w:w="1800"/>
            <w:vAlign w:val="center"/>
            <w:tcMar>
              <w:top w:w="90" w:type="dxa"/>
              <w:start w:w="100" w:type="dxa"/>
              <w:bottom w:w="90" w:type="dxa"/>
              <w:end w:w="100" w:type="dxa"/>
            </w:tcMar>
          </w:tcPr>
          <w:p>
            <w:pPr>
              <w:spacing w:after="0" w:line="259" w:lineRule="auto"/>
            </w:pPr>
            <w:r>
              <w:rPr>
                <w:rFonts w:ascii="Arial" w:hAnsi="Arial" w:eastAsia="Arial"/>
                <w:color w:val="111815"/>
                <w:sz w:val="16"/>
              </w:rPr>
              <w:t>No pretend success</w:t>
            </w:r>
          </w:p>
        </w:tc>
      </w:tr>
      <w:tr>
        <w:trPr>
          <w:cantSplit/>
        </w:trPr>
        <w:tc>
          <w:tcPr>
            <w:tcW w:type="dxa" w:w="1656"/>
            <w:vAlign w:val="center"/>
            <w:tcMar>
              <w:top w:w="90" w:type="dxa"/>
              <w:start w:w="100" w:type="dxa"/>
              <w:bottom w:w="90" w:type="dxa"/>
              <w:end w:w="100" w:type="dxa"/>
            </w:tcMar>
            <w:shd w:fill="F4F5F1"/>
          </w:tcPr>
          <w:p>
            <w:pPr>
              <w:keepNext w:val="0"/>
              <w:spacing w:after="0" w:line="259" w:lineRule="auto"/>
            </w:pPr>
            <w:r>
              <w:rPr>
                <w:rFonts w:ascii="Arial" w:hAnsi="Arial" w:eastAsia="Arial"/>
                <w:color w:val="111815"/>
                <w:sz w:val="16"/>
              </w:rPr>
              <w:t>Future connectors</w:t>
            </w:r>
          </w:p>
        </w:tc>
        <w:tc>
          <w:tcPr>
            <w:tcW w:type="dxa" w:w="3384"/>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Open a preview or contract rather than simulate a hidden integration.</w:t>
            </w:r>
          </w:p>
        </w:tc>
        <w:tc>
          <w:tcPr>
            <w:tcW w:type="dxa" w:w="3096"/>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Future adapter explanation and missing production requirements.</w:t>
            </w:r>
          </w:p>
        </w:tc>
        <w:tc>
          <w:tcPr>
            <w:tcW w:type="dxa" w:w="1800"/>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No credential or service created</w:t>
            </w:r>
          </w:p>
        </w:tc>
      </w:tr>
      <w:tr>
        <w:trPr>
          <w:cantSplit/>
        </w:trPr>
        <w:tc>
          <w:tcPr>
            <w:tcW w:type="dxa" w:w="1656"/>
            <w:vAlign w:val="center"/>
            <w:tcMar>
              <w:top w:w="90" w:type="dxa"/>
              <w:start w:w="100" w:type="dxa"/>
              <w:bottom w:w="90" w:type="dxa"/>
              <w:end w:w="100" w:type="dxa"/>
            </w:tcMar>
          </w:tcPr>
          <w:p>
            <w:pPr>
              <w:keepNext w:val="0"/>
              <w:spacing w:after="0" w:line="259" w:lineRule="auto"/>
            </w:pPr>
            <w:r>
              <w:rPr>
                <w:rFonts w:ascii="Arial" w:hAnsi="Arial" w:eastAsia="Arial"/>
                <w:color w:val="111815"/>
                <w:sz w:val="16"/>
              </w:rPr>
              <w:t>Approval and release</w:t>
            </w:r>
          </w:p>
        </w:tc>
        <w:tc>
          <w:tcPr>
            <w:tcW w:type="dxa" w:w="3384"/>
            <w:vAlign w:val="center"/>
            <w:tcMar>
              <w:top w:w="90" w:type="dxa"/>
              <w:start w:w="100" w:type="dxa"/>
              <w:bottom w:w="90" w:type="dxa"/>
              <w:end w:w="100" w:type="dxa"/>
            </w:tcMar>
          </w:tcPr>
          <w:p>
            <w:pPr>
              <w:spacing w:after="0" w:line="259" w:lineRule="auto"/>
            </w:pPr>
            <w:r>
              <w:rPr>
                <w:rFonts w:ascii="Arial" w:hAnsi="Arial" w:eastAsia="Arial"/>
                <w:color w:val="111815"/>
                <w:sz w:val="16"/>
              </w:rPr>
              <w:t>Apply the decision lifecycle gate and named human authority.</w:t>
            </w:r>
          </w:p>
        </w:tc>
        <w:tc>
          <w:tcPr>
            <w:tcW w:type="dxa" w:w="3096"/>
            <w:vAlign w:val="center"/>
            <w:tcMar>
              <w:top w:w="90" w:type="dxa"/>
              <w:start w:w="100" w:type="dxa"/>
              <w:bottom w:w="90" w:type="dxa"/>
              <w:end w:w="100" w:type="dxa"/>
            </w:tcMar>
          </w:tcPr>
          <w:p>
            <w:pPr>
              <w:spacing w:after="0" w:line="259" w:lineRule="auto"/>
            </w:pPr>
            <w:r>
              <w:rPr>
                <w:rFonts w:ascii="Arial" w:hAnsi="Arial" w:eastAsia="Arial"/>
                <w:color w:val="111815"/>
                <w:sz w:val="16"/>
              </w:rPr>
              <w:t>Session-only stage change or an exact blocker.</w:t>
            </w:r>
          </w:p>
        </w:tc>
        <w:tc>
          <w:tcPr>
            <w:tcW w:type="dxa" w:w="1800"/>
            <w:vAlign w:val="center"/>
            <w:tcMar>
              <w:top w:w="90" w:type="dxa"/>
              <w:start w:w="100" w:type="dxa"/>
              <w:bottom w:w="90" w:type="dxa"/>
              <w:end w:w="100" w:type="dxa"/>
            </w:tcMar>
          </w:tcPr>
          <w:p>
            <w:pPr>
              <w:spacing w:after="0" w:line="259" w:lineRule="auto"/>
            </w:pPr>
            <w:r>
              <w:rPr>
                <w:rFonts w:ascii="Arial" w:hAnsi="Arial" w:eastAsia="Arial"/>
                <w:color w:val="111815"/>
                <w:sz w:val="16"/>
              </w:rPr>
              <w:t>No ERP TMS WMS or payment write-back</w:t>
            </w:r>
          </w:p>
        </w:tc>
      </w:tr>
    </w:tbl>
    <w:p>
      <w:pPr>
        <w:spacing w:after="0" w:before="0"/>
      </w:pPr>
    </w:p>
    <w:p>
      <w:pPr>
        <w:pStyle w:val="Heading2"/>
        <w:keepNext/>
      </w:pPr>
      <w:r>
        <w:t>Session receipt ledger</w:t>
      </w:r>
    </w:p>
    <w:p>
      <w:pPr>
        <w:pStyle w:val="ListBullet"/>
      </w:pPr>
      <w:r>
        <w:t>Any outcome-producing control creates a receipt with status, artifact ID, recorded context, timestamp, and execution boundary.</w:t>
      </w:r>
    </w:p>
    <w:p>
      <w:pPr>
        <w:pStyle w:val="ListBullet"/>
      </w:pPr>
      <w:r>
        <w:t>Open the user menu and choose Open session receipt ledger to revisit the most recent receipt.</w:t>
      </w:r>
    </w:p>
    <w:p>
      <w:pPr>
        <w:pStyle w:val="ListBullet"/>
      </w:pPr>
      <w:r>
        <w:t>The ledger retains up to 24 entries in the current browser session. It is not a production audit store.</w:t>
      </w:r>
    </w:p>
    <w:p>
      <w:r>
        <w:br w:type="page"/>
      </w:r>
    </w:p>
    <w:p>
      <w:pPr>
        <w:spacing w:after="100"/>
      </w:pPr>
      <w:r>
        <w:rPr>
          <w:rFonts w:ascii="Arial" w:hAnsi="Arial" w:eastAsia="Arial"/>
          <w:b/>
          <w:color w:val="FF6B35"/>
          <w:sz w:val="17"/>
        </w:rPr>
        <w:t>PROJECT DECISIONS</w:t>
      </w:r>
    </w:p>
    <w:p>
      <w:pPr>
        <w:pStyle w:val="Heading1"/>
        <w:keepNext/>
      </w:pPr>
      <w:r>
        <w:t>From signal to governed decision</w:t>
      </w:r>
    </w:p>
    <w:p>
      <w:pPr>
        <w:spacing w:after="200"/>
      </w:pPr>
      <w:r>
        <w:t>Decisions and review live inside a project. They connect app evidence to a governed choice, human authority, execution package, and measurable outcome.</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541"/>
        <w:gridCol w:w="2541"/>
        <w:gridCol w:w="2541"/>
        <w:gridCol w:w="2541"/>
      </w:tblGrid>
      <w:tr>
        <w:trPr>
          <w:tblHeader w:val="true"/>
          <w:cantSplit/>
        </w:trPr>
        <w:tc>
          <w:tcPr>
            <w:tcW w:type="dxa" w:w="1037"/>
            <w:vAlign w:val="center"/>
            <w:tcMar>
              <w:top w:w="90" w:type="dxa"/>
              <w:start w:w="100" w:type="dxa"/>
              <w:bottom w:w="90" w:type="dxa"/>
              <w:end w:w="100" w:type="dxa"/>
            </w:tcMar>
            <w:shd w:fill="111815"/>
          </w:tcPr>
          <w:p>
            <w:pPr>
              <w:spacing w:after="0" w:line="259" w:lineRule="auto"/>
            </w:pPr>
            <w:r>
              <w:rPr>
                <w:rFonts w:ascii="Arial" w:hAnsi="Arial" w:eastAsia="Arial"/>
                <w:b/>
                <w:color w:val="FFFFFF"/>
                <w:sz w:val="16"/>
              </w:rPr>
              <w:t>Stage</w:t>
            </w:r>
          </w:p>
        </w:tc>
        <w:tc>
          <w:tcPr>
            <w:tcW w:type="dxa" w:w="2304"/>
            <w:vAlign w:val="center"/>
            <w:tcMar>
              <w:top w:w="90" w:type="dxa"/>
              <w:start w:w="100" w:type="dxa"/>
              <w:bottom w:w="90" w:type="dxa"/>
              <w:end w:w="100" w:type="dxa"/>
            </w:tcMar>
            <w:shd w:fill="111815"/>
          </w:tcPr>
          <w:p>
            <w:pPr>
              <w:spacing w:after="0" w:line="259" w:lineRule="auto"/>
            </w:pPr>
            <w:r>
              <w:rPr>
                <w:rFonts w:ascii="Arial" w:hAnsi="Arial" w:eastAsia="Arial"/>
                <w:b/>
                <w:color w:val="FFFFFF"/>
                <w:sz w:val="16"/>
              </w:rPr>
              <w:t>Question</w:t>
            </w:r>
          </w:p>
        </w:tc>
        <w:tc>
          <w:tcPr>
            <w:tcW w:type="dxa" w:w="4968"/>
            <w:vAlign w:val="center"/>
            <w:tcMar>
              <w:top w:w="90" w:type="dxa"/>
              <w:start w:w="100" w:type="dxa"/>
              <w:bottom w:w="90" w:type="dxa"/>
              <w:end w:w="100" w:type="dxa"/>
            </w:tcMar>
            <w:shd w:fill="111815"/>
          </w:tcPr>
          <w:p>
            <w:pPr>
              <w:spacing w:after="0" w:line="259" w:lineRule="auto"/>
            </w:pPr>
            <w:r>
              <w:rPr>
                <w:rFonts w:ascii="Arial" w:hAnsi="Arial" w:eastAsia="Arial"/>
                <w:b/>
                <w:color w:val="FFFFFF"/>
                <w:sz w:val="16"/>
              </w:rPr>
              <w:t>Required content</w:t>
            </w:r>
          </w:p>
        </w:tc>
        <w:tc>
          <w:tcPr>
            <w:tcW w:type="dxa" w:w="1555"/>
            <w:vAlign w:val="center"/>
            <w:tcMar>
              <w:top w:w="90" w:type="dxa"/>
              <w:start w:w="100" w:type="dxa"/>
              <w:bottom w:w="90" w:type="dxa"/>
              <w:end w:w="100" w:type="dxa"/>
            </w:tcMar>
            <w:shd w:fill="111815"/>
          </w:tcPr>
          <w:p>
            <w:pPr>
              <w:spacing w:after="0" w:line="259" w:lineRule="auto"/>
            </w:pPr>
            <w:r>
              <w:rPr>
                <w:rFonts w:ascii="Arial" w:hAnsi="Arial" w:eastAsia="Arial"/>
                <w:b/>
                <w:color w:val="FFFFFF"/>
                <w:sz w:val="16"/>
              </w:rPr>
              <w:t>Exit condition in the concept</w:t>
            </w:r>
          </w:p>
        </w:tc>
      </w:tr>
      <w:tr>
        <w:trPr>
          <w:cantSplit/>
        </w:trPr>
        <w:tc>
          <w:tcPr>
            <w:tcW w:type="dxa" w:w="1037"/>
            <w:vAlign w:val="center"/>
            <w:tcMar>
              <w:top w:w="90" w:type="dxa"/>
              <w:start w:w="100" w:type="dxa"/>
              <w:bottom w:w="90" w:type="dxa"/>
              <w:end w:w="100" w:type="dxa"/>
            </w:tcMar>
          </w:tcPr>
          <w:p>
            <w:pPr>
              <w:keepNext w:val="0"/>
              <w:spacing w:after="0" w:line="259" w:lineRule="auto"/>
            </w:pPr>
            <w:r>
              <w:rPr>
                <w:rFonts w:ascii="Arial" w:hAnsi="Arial" w:eastAsia="Arial"/>
                <w:color w:val="111815"/>
                <w:sz w:val="16"/>
              </w:rPr>
              <w:t>Detect</w:t>
            </w:r>
          </w:p>
        </w:tc>
        <w:tc>
          <w:tcPr>
            <w:tcW w:type="dxa" w:w="2304"/>
            <w:vAlign w:val="center"/>
            <w:tcMar>
              <w:top w:w="90" w:type="dxa"/>
              <w:start w:w="100" w:type="dxa"/>
              <w:bottom w:w="90" w:type="dxa"/>
              <w:end w:w="100" w:type="dxa"/>
            </w:tcMar>
          </w:tcPr>
          <w:p>
            <w:pPr>
              <w:spacing w:after="0" w:line="259" w:lineRule="auto"/>
            </w:pPr>
            <w:r>
              <w:rPr>
                <w:rFonts w:ascii="Arial" w:hAnsi="Arial" w:eastAsia="Arial"/>
                <w:color w:val="111815"/>
                <w:sz w:val="16"/>
              </w:rPr>
              <w:t>What changed and why might it matter</w:t>
            </w:r>
          </w:p>
        </w:tc>
        <w:tc>
          <w:tcPr>
            <w:tcW w:type="dxa" w:w="4968"/>
            <w:vAlign w:val="center"/>
            <w:tcMar>
              <w:top w:w="90" w:type="dxa"/>
              <w:start w:w="100" w:type="dxa"/>
              <w:bottom w:w="90" w:type="dxa"/>
              <w:end w:w="100" w:type="dxa"/>
            </w:tcMar>
          </w:tcPr>
          <w:p>
            <w:pPr>
              <w:spacing w:after="0" w:line="259" w:lineRule="auto"/>
            </w:pPr>
            <w:r>
              <w:rPr>
                <w:rFonts w:ascii="Arial" w:hAnsi="Arial" w:eastAsia="Arial"/>
                <w:color w:val="111815"/>
                <w:sz w:val="16"/>
              </w:rPr>
              <w:t>Signal, affected entity, horizon, confidence, initial value exposure</w:t>
            </w:r>
          </w:p>
        </w:tc>
        <w:tc>
          <w:tcPr>
            <w:tcW w:type="dxa" w:w="1555"/>
            <w:vAlign w:val="center"/>
            <w:tcMar>
              <w:top w:w="90" w:type="dxa"/>
              <w:start w:w="100" w:type="dxa"/>
              <w:bottom w:w="90" w:type="dxa"/>
              <w:end w:w="100" w:type="dxa"/>
            </w:tcMar>
          </w:tcPr>
          <w:p>
            <w:pPr>
              <w:spacing w:after="0" w:line="259" w:lineRule="auto"/>
            </w:pPr>
            <w:r>
              <w:rPr>
                <w:rFonts w:ascii="Arial" w:hAnsi="Arial" w:eastAsia="Arial"/>
                <w:color w:val="111815"/>
                <w:sz w:val="16"/>
              </w:rPr>
              <w:t>Named decision exists</w:t>
            </w:r>
          </w:p>
        </w:tc>
      </w:tr>
      <w:tr>
        <w:trPr>
          <w:cantSplit/>
        </w:trPr>
        <w:tc>
          <w:tcPr>
            <w:tcW w:type="dxa" w:w="1037"/>
            <w:vAlign w:val="center"/>
            <w:tcMar>
              <w:top w:w="90" w:type="dxa"/>
              <w:start w:w="100" w:type="dxa"/>
              <w:bottom w:w="90" w:type="dxa"/>
              <w:end w:w="100" w:type="dxa"/>
            </w:tcMar>
            <w:shd w:fill="F4F5F1"/>
          </w:tcPr>
          <w:p>
            <w:pPr>
              <w:keepNext w:val="0"/>
              <w:spacing w:after="0" w:line="259" w:lineRule="auto"/>
            </w:pPr>
            <w:r>
              <w:rPr>
                <w:rFonts w:ascii="Arial" w:hAnsi="Arial" w:eastAsia="Arial"/>
                <w:color w:val="111815"/>
                <w:sz w:val="16"/>
              </w:rPr>
              <w:t>Validate</w:t>
            </w:r>
          </w:p>
        </w:tc>
        <w:tc>
          <w:tcPr>
            <w:tcW w:type="dxa" w:w="2304"/>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Is the signal credible and relevant</w:t>
            </w:r>
          </w:p>
        </w:tc>
        <w:tc>
          <w:tcPr>
            <w:tcW w:type="dxa" w:w="4968"/>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Evidence records, source references, data quality, graph path, project variable contract</w:t>
            </w:r>
          </w:p>
        </w:tc>
        <w:tc>
          <w:tcPr>
            <w:tcW w:type="dxa" w:w="1555"/>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Evidence threshold reached</w:t>
            </w:r>
          </w:p>
        </w:tc>
      </w:tr>
      <w:tr>
        <w:trPr>
          <w:cantSplit/>
        </w:trPr>
        <w:tc>
          <w:tcPr>
            <w:tcW w:type="dxa" w:w="1037"/>
            <w:vAlign w:val="center"/>
            <w:tcMar>
              <w:top w:w="90" w:type="dxa"/>
              <w:start w:w="100" w:type="dxa"/>
              <w:bottom w:w="90" w:type="dxa"/>
              <w:end w:w="100" w:type="dxa"/>
            </w:tcMar>
          </w:tcPr>
          <w:p>
            <w:pPr>
              <w:keepNext w:val="0"/>
              <w:spacing w:after="0" w:line="259" w:lineRule="auto"/>
            </w:pPr>
            <w:r>
              <w:rPr>
                <w:rFonts w:ascii="Arial" w:hAnsi="Arial" w:eastAsia="Arial"/>
                <w:color w:val="111815"/>
                <w:sz w:val="16"/>
              </w:rPr>
              <w:t>Simulate</w:t>
            </w:r>
          </w:p>
        </w:tc>
        <w:tc>
          <w:tcPr>
            <w:tcW w:type="dxa" w:w="2304"/>
            <w:vAlign w:val="center"/>
            <w:tcMar>
              <w:top w:w="90" w:type="dxa"/>
              <w:start w:w="100" w:type="dxa"/>
              <w:bottom w:w="90" w:type="dxa"/>
              <w:end w:w="100" w:type="dxa"/>
            </w:tcMar>
          </w:tcPr>
          <w:p>
            <w:pPr>
              <w:spacing w:after="0" w:line="259" w:lineRule="auto"/>
            </w:pPr>
            <w:r>
              <w:rPr>
                <w:rFonts w:ascii="Arial" w:hAnsi="Arial" w:eastAsia="Arial"/>
                <w:color w:val="111815"/>
                <w:sz w:val="16"/>
              </w:rPr>
              <w:t>What responses are feasible under uncertainty</w:t>
            </w:r>
          </w:p>
        </w:tc>
        <w:tc>
          <w:tcPr>
            <w:tcW w:type="dxa" w:w="4968"/>
            <w:vAlign w:val="center"/>
            <w:tcMar>
              <w:top w:w="90" w:type="dxa"/>
              <w:start w:w="100" w:type="dxa"/>
              <w:bottom w:w="90" w:type="dxa"/>
              <w:end w:w="100" w:type="dxa"/>
            </w:tcMar>
          </w:tcPr>
          <w:p>
            <w:pPr>
              <w:spacing w:after="0" w:line="259" w:lineRule="auto"/>
            </w:pPr>
            <w:r>
              <w:rPr>
                <w:rFonts w:ascii="Arial" w:hAnsi="Arial" w:eastAsia="Arial"/>
                <w:color w:val="111815"/>
                <w:sz w:val="16"/>
              </w:rPr>
              <w:t>Scenarios, constraints, assumptions, method stack, service, cost, cash, risk, carbon</w:t>
            </w:r>
          </w:p>
        </w:tc>
        <w:tc>
          <w:tcPr>
            <w:tcW w:type="dxa" w:w="1555"/>
            <w:vAlign w:val="center"/>
            <w:tcMar>
              <w:top w:w="90" w:type="dxa"/>
              <w:start w:w="100" w:type="dxa"/>
              <w:bottom w:w="90" w:type="dxa"/>
              <w:end w:w="100" w:type="dxa"/>
            </w:tcMar>
          </w:tcPr>
          <w:p>
            <w:pPr>
              <w:spacing w:after="0" w:line="259" w:lineRule="auto"/>
            </w:pPr>
            <w:r>
              <w:rPr>
                <w:rFonts w:ascii="Arial" w:hAnsi="Arial" w:eastAsia="Arial"/>
                <w:color w:val="111815"/>
                <w:sz w:val="16"/>
              </w:rPr>
              <w:t>Candidate inside hard envelope</w:t>
            </w:r>
          </w:p>
        </w:tc>
      </w:tr>
      <w:tr>
        <w:trPr>
          <w:cantSplit/>
        </w:trPr>
        <w:tc>
          <w:tcPr>
            <w:tcW w:type="dxa" w:w="1037"/>
            <w:vAlign w:val="center"/>
            <w:tcMar>
              <w:top w:w="90" w:type="dxa"/>
              <w:start w:w="100" w:type="dxa"/>
              <w:bottom w:w="90" w:type="dxa"/>
              <w:end w:w="100" w:type="dxa"/>
            </w:tcMar>
            <w:shd w:fill="F4F5F1"/>
          </w:tcPr>
          <w:p>
            <w:pPr>
              <w:keepNext w:val="0"/>
              <w:spacing w:after="0" w:line="259" w:lineRule="auto"/>
            </w:pPr>
            <w:r>
              <w:rPr>
                <w:rFonts w:ascii="Arial" w:hAnsi="Arial" w:eastAsia="Arial"/>
                <w:color w:val="111815"/>
                <w:sz w:val="16"/>
              </w:rPr>
              <w:t>Approve</w:t>
            </w:r>
          </w:p>
        </w:tc>
        <w:tc>
          <w:tcPr>
            <w:tcW w:type="dxa" w:w="2304"/>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Who can accept the tradeoff</w:t>
            </w:r>
          </w:p>
        </w:tc>
        <w:tc>
          <w:tcPr>
            <w:tcW w:type="dxa" w:w="4968"/>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Recommendation, evidence, finance review, decision rights, fallback</w:t>
            </w:r>
          </w:p>
        </w:tc>
        <w:tc>
          <w:tcPr>
            <w:tcW w:type="dxa" w:w="1555"/>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Named human approval</w:t>
            </w:r>
          </w:p>
        </w:tc>
      </w:tr>
      <w:tr>
        <w:trPr>
          <w:cantSplit/>
        </w:trPr>
        <w:tc>
          <w:tcPr>
            <w:tcW w:type="dxa" w:w="1037"/>
            <w:vAlign w:val="center"/>
            <w:tcMar>
              <w:top w:w="90" w:type="dxa"/>
              <w:start w:w="100" w:type="dxa"/>
              <w:bottom w:w="90" w:type="dxa"/>
              <w:end w:w="100" w:type="dxa"/>
            </w:tcMar>
          </w:tcPr>
          <w:p>
            <w:pPr>
              <w:keepNext w:val="0"/>
              <w:spacing w:after="0" w:line="259" w:lineRule="auto"/>
            </w:pPr>
            <w:r>
              <w:rPr>
                <w:rFonts w:ascii="Arial" w:hAnsi="Arial" w:eastAsia="Arial"/>
                <w:color w:val="111815"/>
                <w:sz w:val="16"/>
              </w:rPr>
              <w:t>Execute</w:t>
            </w:r>
          </w:p>
        </w:tc>
        <w:tc>
          <w:tcPr>
            <w:tcW w:type="dxa" w:w="2304"/>
            <w:vAlign w:val="center"/>
            <w:tcMar>
              <w:top w:w="90" w:type="dxa"/>
              <w:start w:w="100" w:type="dxa"/>
              <w:bottom w:w="90" w:type="dxa"/>
              <w:end w:w="100" w:type="dxa"/>
            </w:tcMar>
          </w:tcPr>
          <w:p>
            <w:pPr>
              <w:spacing w:after="0" w:line="259" w:lineRule="auto"/>
            </w:pPr>
            <w:r>
              <w:rPr>
                <w:rFonts w:ascii="Arial" w:hAnsi="Arial" w:eastAsia="Arial"/>
                <w:color w:val="111815"/>
                <w:sz w:val="16"/>
              </w:rPr>
              <w:t>What work packages should be released</w:t>
            </w:r>
          </w:p>
        </w:tc>
        <w:tc>
          <w:tcPr>
            <w:tcW w:type="dxa" w:w="4968"/>
            <w:vAlign w:val="center"/>
            <w:tcMar>
              <w:top w:w="90" w:type="dxa"/>
              <w:start w:w="100" w:type="dxa"/>
              <w:bottom w:w="90" w:type="dxa"/>
              <w:end w:w="100" w:type="dxa"/>
            </w:tcMar>
          </w:tcPr>
          <w:p>
            <w:pPr>
              <w:spacing w:after="0" w:line="259" w:lineRule="auto"/>
            </w:pPr>
            <w:r>
              <w:rPr>
                <w:rFonts w:ascii="Arial" w:hAnsi="Arial" w:eastAsia="Arial"/>
                <w:color w:val="111815"/>
                <w:sz w:val="16"/>
              </w:rPr>
              <w:t>Tasks, owners, timing, interfaces, status, rollback or fallback</w:t>
            </w:r>
          </w:p>
        </w:tc>
        <w:tc>
          <w:tcPr>
            <w:tcW w:type="dxa" w:w="1555"/>
            <w:vAlign w:val="center"/>
            <w:tcMar>
              <w:top w:w="90" w:type="dxa"/>
              <w:start w:w="100" w:type="dxa"/>
              <w:bottom w:w="90" w:type="dxa"/>
              <w:end w:w="100" w:type="dxa"/>
            </w:tcMar>
          </w:tcPr>
          <w:p>
            <w:pPr>
              <w:spacing w:after="0" w:line="259" w:lineRule="auto"/>
            </w:pPr>
            <w:r>
              <w:rPr>
                <w:rFonts w:ascii="Arial" w:hAnsi="Arial" w:eastAsia="Arial"/>
                <w:color w:val="111815"/>
                <w:sz w:val="16"/>
              </w:rPr>
              <w:t>Session execution state</w:t>
            </w:r>
          </w:p>
        </w:tc>
      </w:tr>
      <w:tr>
        <w:trPr>
          <w:cantSplit/>
        </w:trPr>
        <w:tc>
          <w:tcPr>
            <w:tcW w:type="dxa" w:w="1037"/>
            <w:vAlign w:val="center"/>
            <w:tcMar>
              <w:top w:w="90" w:type="dxa"/>
              <w:start w:w="100" w:type="dxa"/>
              <w:bottom w:w="90" w:type="dxa"/>
              <w:end w:w="100" w:type="dxa"/>
            </w:tcMar>
            <w:shd w:fill="F4F5F1"/>
          </w:tcPr>
          <w:p>
            <w:pPr>
              <w:keepNext w:val="0"/>
              <w:spacing w:after="0" w:line="259" w:lineRule="auto"/>
            </w:pPr>
            <w:r>
              <w:rPr>
                <w:rFonts w:ascii="Arial" w:hAnsi="Arial" w:eastAsia="Arial"/>
                <w:color w:val="111815"/>
                <w:sz w:val="16"/>
              </w:rPr>
              <w:t>Measure</w:t>
            </w:r>
          </w:p>
        </w:tc>
        <w:tc>
          <w:tcPr>
            <w:tcW w:type="dxa" w:w="2304"/>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Did the decision produce the expected outcome</w:t>
            </w:r>
          </w:p>
        </w:tc>
        <w:tc>
          <w:tcPr>
            <w:tcW w:type="dxa" w:w="4968"/>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Baseline, target, realized value, measurement window, overrides, failure modes</w:t>
            </w:r>
          </w:p>
        </w:tc>
        <w:tc>
          <w:tcPr>
            <w:tcW w:type="dxa" w:w="1555"/>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Outcome receipt</w:t>
            </w:r>
          </w:p>
        </w:tc>
      </w:tr>
    </w:tbl>
    <w:p>
      <w:pPr>
        <w:spacing w:after="0" w:before="0"/>
      </w:pPr>
    </w:p>
    <w:p>
      <w:pPr>
        <w:pStyle w:val="Heading2"/>
        <w:keepNext/>
      </w:pPr>
      <w:r>
        <w:t>Decision tree and variable taxonomy</w:t>
      </w:r>
    </w:p>
    <w:p>
      <w:r>
        <w:t>The D0 to D3 decision hierarchy is different from the supply chain variable taxonomy. D0 to D3 expresses choice decomposition. L2, L1, and L0 identify drivers and measurable variables. A decision node references the relevant taxonomy pack and OR methods, then points to evidence. The current project packs use canonical identifiers from the taxonomy rather than invented labels.</w:t>
      </w:r>
    </w:p>
    <w:p>
      <w:pPr>
        <w:spacing w:after="40"/>
        <w:ind w:left="360"/>
      </w:pPr>
      <w:r>
        <w:rPr>
          <w:rFonts w:ascii="Consolas" w:hAnsi="Consolas" w:eastAsia="Consolas"/>
          <w:color w:val="111815"/>
          <w:sz w:val="16"/>
        </w:rPr>
        <w:t>D0 project outcome decision</w:t>
      </w:r>
    </w:p>
    <w:p>
      <w:pPr>
        <w:spacing w:after="40"/>
        <w:ind w:left="360"/>
      </w:pPr>
      <w:r>
        <w:rPr>
          <w:rFonts w:ascii="Consolas" w:hAnsi="Consolas" w:eastAsia="Consolas"/>
          <w:color w:val="111815"/>
          <w:sz w:val="16"/>
        </w:rPr>
        <w:t xml:space="preserve">  D1 portfolio or policy decision</w:t>
      </w:r>
    </w:p>
    <w:p>
      <w:pPr>
        <w:spacing w:after="40"/>
        <w:ind w:left="360"/>
      </w:pPr>
      <w:r>
        <w:rPr>
          <w:rFonts w:ascii="Consolas" w:hAnsi="Consolas" w:eastAsia="Consolas"/>
          <w:color w:val="111815"/>
          <w:sz w:val="16"/>
        </w:rPr>
        <w:t xml:space="preserve">    D2 sourcing production logistics or demand decision</w:t>
      </w:r>
    </w:p>
    <w:p>
      <w:pPr>
        <w:spacing w:after="40"/>
        <w:ind w:left="360"/>
      </w:pPr>
      <w:r>
        <w:rPr>
          <w:rFonts w:ascii="Consolas" w:hAnsi="Consolas" w:eastAsia="Consolas"/>
          <w:color w:val="111815"/>
          <w:sz w:val="16"/>
        </w:rPr>
        <w:t xml:space="preserve">      D3 executable choice</w:t>
      </w:r>
    </w:p>
    <w:p>
      <w:pPr>
        <w:spacing w:after="40"/>
        <w:ind w:left="360"/>
      </w:pPr>
      <w:r>
        <w:rPr>
          <w:rFonts w:ascii="Consolas" w:hAnsi="Consolas" w:eastAsia="Consolas"/>
          <w:color w:val="111815"/>
          <w:sz w:val="16"/>
        </w:rPr>
        <w:t xml:space="preserve">        L2 driver family</w:t>
      </w:r>
    </w:p>
    <w:p>
      <w:pPr>
        <w:spacing w:after="40"/>
        <w:ind w:left="360"/>
      </w:pPr>
      <w:r>
        <w:rPr>
          <w:rFonts w:ascii="Consolas" w:hAnsi="Consolas" w:eastAsia="Consolas"/>
          <w:color w:val="111815"/>
          <w:sz w:val="16"/>
        </w:rPr>
        <w:t xml:space="preserve">          L1 subdriver</w:t>
      </w:r>
    </w:p>
    <w:p>
      <w:pPr>
        <w:spacing w:after="40"/>
        <w:ind w:left="360"/>
      </w:pPr>
      <w:r>
        <w:rPr>
          <w:rFonts w:ascii="Consolas" w:hAnsi="Consolas" w:eastAsia="Consolas"/>
          <w:color w:val="111815"/>
          <w:sz w:val="16"/>
        </w:rPr>
        <w:t xml:space="preserve">            L0 measurable variable</w:t>
      </w:r>
    </w:p>
    <w:p>
      <w:pPr>
        <w:spacing w:after="40"/>
        <w:ind w:left="360"/>
      </w:pPr>
      <w:r>
        <w:rPr>
          <w:rFonts w:ascii="Consolas" w:hAnsi="Consolas" w:eastAsia="Consolas"/>
          <w:color w:val="111815"/>
          <w:sz w:val="16"/>
        </w:rPr>
        <w:t xml:space="preserve">              calculation and evidence receipt</w:t>
      </w:r>
    </w:p>
    <w:p>
      <w:r>
        <w:br w:type="page"/>
      </w:r>
    </w:p>
    <w:p>
      <w:pPr>
        <w:spacing w:after="100"/>
      </w:pPr>
      <w:r>
        <w:rPr>
          <w:rFonts w:ascii="Arial" w:hAnsi="Arial" w:eastAsia="Arial"/>
          <w:b/>
          <w:color w:val="FF6B35"/>
          <w:sz w:val="17"/>
        </w:rPr>
        <w:t>SPECIALIST APPLICATIONS</w:t>
      </w:r>
    </w:p>
    <w:p>
      <w:pPr>
        <w:pStyle w:val="Heading1"/>
        <w:keepNext/>
      </w:pPr>
      <w:r>
        <w:t>Ten distinct app workspaces</w:t>
      </w:r>
    </w:p>
    <w:p>
      <w:pPr>
        <w:spacing w:after="200"/>
      </w:pPr>
      <w:r>
        <w:t>Each application has its own visual grammar and operating rhythm. All apps use the same project graph and evidence contracts, but they do not look or behave like interchangeable dashboards.</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541"/>
        <w:gridCol w:w="2541"/>
        <w:gridCol w:w="2541"/>
        <w:gridCol w:w="2541"/>
      </w:tblGrid>
      <w:tr>
        <w:trPr>
          <w:tblHeader w:val="true"/>
          <w:cantSplit/>
        </w:trPr>
        <w:tc>
          <w:tcPr>
            <w:tcW w:type="dxa" w:w="1699"/>
            <w:vAlign w:val="center"/>
            <w:tcMar>
              <w:top w:w="90" w:type="dxa"/>
              <w:start w:w="100" w:type="dxa"/>
              <w:bottom w:w="90" w:type="dxa"/>
              <w:end w:w="100" w:type="dxa"/>
            </w:tcMar>
            <w:shd w:fill="111815"/>
          </w:tcPr>
          <w:p>
            <w:pPr>
              <w:spacing w:after="0" w:line="259" w:lineRule="auto"/>
            </w:pPr>
            <w:r>
              <w:rPr>
                <w:rFonts w:ascii="Arial" w:hAnsi="Arial" w:eastAsia="Arial"/>
                <w:b/>
                <w:color w:val="FFFFFF"/>
                <w:sz w:val="16"/>
              </w:rPr>
              <w:t>Application</w:t>
            </w:r>
          </w:p>
        </w:tc>
        <w:tc>
          <w:tcPr>
            <w:tcW w:type="dxa" w:w="4032"/>
            <w:vAlign w:val="center"/>
            <w:tcMar>
              <w:top w:w="90" w:type="dxa"/>
              <w:start w:w="100" w:type="dxa"/>
              <w:bottom w:w="90" w:type="dxa"/>
              <w:end w:w="100" w:type="dxa"/>
            </w:tcMar>
            <w:shd w:fill="111815"/>
          </w:tcPr>
          <w:p>
            <w:pPr>
              <w:spacing w:after="0" w:line="259" w:lineRule="auto"/>
            </w:pPr>
            <w:r>
              <w:rPr>
                <w:rFonts w:ascii="Arial" w:hAnsi="Arial" w:eastAsia="Arial"/>
                <w:b/>
                <w:color w:val="FFFFFF"/>
                <w:sz w:val="16"/>
              </w:rPr>
              <w:t>Visual and interaction model</w:t>
            </w:r>
          </w:p>
        </w:tc>
        <w:tc>
          <w:tcPr>
            <w:tcW w:type="dxa" w:w="3312"/>
            <w:vAlign w:val="center"/>
            <w:tcMar>
              <w:top w:w="90" w:type="dxa"/>
              <w:start w:w="100" w:type="dxa"/>
              <w:bottom w:w="90" w:type="dxa"/>
              <w:end w:w="100" w:type="dxa"/>
            </w:tcMar>
            <w:shd w:fill="111815"/>
          </w:tcPr>
          <w:p>
            <w:pPr>
              <w:spacing w:after="0" w:line="259" w:lineRule="auto"/>
            </w:pPr>
            <w:r>
              <w:rPr>
                <w:rFonts w:ascii="Arial" w:hAnsi="Arial" w:eastAsia="Arial"/>
                <w:b/>
                <w:color w:val="FFFFFF"/>
                <w:sz w:val="16"/>
              </w:rPr>
              <w:t>Primary job</w:t>
            </w:r>
          </w:p>
        </w:tc>
        <w:tc>
          <w:tcPr>
            <w:tcW w:type="dxa" w:w="1584"/>
            <w:vAlign w:val="center"/>
            <w:tcMar>
              <w:top w:w="90" w:type="dxa"/>
              <w:start w:w="100" w:type="dxa"/>
              <w:bottom w:w="90" w:type="dxa"/>
              <w:end w:w="100" w:type="dxa"/>
            </w:tcMar>
            <w:shd w:fill="111815"/>
          </w:tcPr>
          <w:p>
            <w:pPr>
              <w:spacing w:after="0" w:line="259" w:lineRule="auto"/>
            </w:pPr>
            <w:r>
              <w:rPr>
                <w:rFonts w:ascii="Arial" w:hAnsi="Arial" w:eastAsia="Arial"/>
                <w:b/>
                <w:color w:val="FFFFFF"/>
                <w:sz w:val="16"/>
              </w:rPr>
              <w:t>Output</w:t>
            </w:r>
          </w:p>
        </w:tc>
      </w:tr>
      <w:tr>
        <w:trPr>
          <w:cantSplit/>
        </w:trPr>
        <w:tc>
          <w:tcPr>
            <w:tcW w:type="dxa" w:w="1699"/>
            <w:vAlign w:val="center"/>
            <w:tcMar>
              <w:top w:w="90" w:type="dxa"/>
              <w:start w:w="100" w:type="dxa"/>
              <w:bottom w:w="90" w:type="dxa"/>
              <w:end w:w="100" w:type="dxa"/>
            </w:tcMar>
          </w:tcPr>
          <w:p>
            <w:pPr>
              <w:keepNext w:val="0"/>
              <w:spacing w:after="0" w:line="259" w:lineRule="auto"/>
            </w:pPr>
            <w:r>
              <w:rPr>
                <w:rFonts w:ascii="Arial" w:hAnsi="Arial" w:eastAsia="Arial"/>
                <w:color w:val="111815"/>
                <w:sz w:val="15"/>
              </w:rPr>
              <w:t>RiskRadar</w:t>
            </w:r>
          </w:p>
        </w:tc>
        <w:tc>
          <w:tcPr>
            <w:tcW w:type="dxa" w:w="4032"/>
            <w:vAlign w:val="center"/>
            <w:tcMar>
              <w:top w:w="90" w:type="dxa"/>
              <w:start w:w="100" w:type="dxa"/>
              <w:bottom w:w="90" w:type="dxa"/>
              <w:end w:w="100" w:type="dxa"/>
            </w:tcMar>
          </w:tcPr>
          <w:p>
            <w:pPr>
              <w:spacing w:after="0" w:line="259" w:lineRule="auto"/>
            </w:pPr>
            <w:r>
              <w:rPr>
                <w:rFonts w:ascii="Arial" w:hAnsi="Arial" w:eastAsia="Arial"/>
                <w:color w:val="111815"/>
                <w:sz w:val="15"/>
              </w:rPr>
              <w:t>Coral signal room with propagation bubbles, criticality filters, and causal change ledger</w:t>
            </w:r>
          </w:p>
        </w:tc>
        <w:tc>
          <w:tcPr>
            <w:tcW w:type="dxa" w:w="3312"/>
            <w:vAlign w:val="center"/>
            <w:tcMar>
              <w:top w:w="90" w:type="dxa"/>
              <w:start w:w="100" w:type="dxa"/>
              <w:bottom w:w="90" w:type="dxa"/>
              <w:end w:w="100" w:type="dxa"/>
            </w:tcMar>
          </w:tcPr>
          <w:p>
            <w:pPr>
              <w:spacing w:after="0" w:line="259" w:lineRule="auto"/>
            </w:pPr>
            <w:r>
              <w:rPr>
                <w:rFonts w:ascii="Arial" w:hAnsi="Arial" w:eastAsia="Arial"/>
                <w:color w:val="111815"/>
                <w:sz w:val="15"/>
              </w:rPr>
              <w:t>Trace a disruption through suppliers, materials, plants, products, orders, and margin</w:t>
            </w:r>
          </w:p>
        </w:tc>
        <w:tc>
          <w:tcPr>
            <w:tcW w:type="dxa" w:w="1584"/>
            <w:vAlign w:val="center"/>
            <w:tcMar>
              <w:top w:w="90" w:type="dxa"/>
              <w:start w:w="100" w:type="dxa"/>
              <w:bottom w:w="90" w:type="dxa"/>
              <w:end w:w="100" w:type="dxa"/>
            </w:tcMar>
          </w:tcPr>
          <w:p>
            <w:pPr>
              <w:spacing w:after="0" w:line="259" w:lineRule="auto"/>
            </w:pPr>
            <w:r>
              <w:rPr>
                <w:rFonts w:ascii="Arial" w:hAnsi="Arial" w:eastAsia="Arial"/>
                <w:color w:val="111815"/>
                <w:sz w:val="15"/>
              </w:rPr>
              <w:t>Risk control brief</w:t>
            </w:r>
          </w:p>
        </w:tc>
      </w:tr>
      <w:tr>
        <w:trPr>
          <w:cantSplit/>
        </w:trPr>
        <w:tc>
          <w:tcPr>
            <w:tcW w:type="dxa" w:w="1699"/>
            <w:vAlign w:val="center"/>
            <w:tcMar>
              <w:top w:w="90" w:type="dxa"/>
              <w:start w:w="100" w:type="dxa"/>
              <w:bottom w:w="90" w:type="dxa"/>
              <w:end w:w="100" w:type="dxa"/>
            </w:tcMar>
            <w:shd w:fill="F4F5F1"/>
          </w:tcPr>
          <w:p>
            <w:pPr>
              <w:keepNext w:val="0"/>
              <w:spacing w:after="0" w:line="259" w:lineRule="auto"/>
            </w:pPr>
            <w:r>
              <w:rPr>
                <w:rFonts w:ascii="Arial" w:hAnsi="Arial" w:eastAsia="Arial"/>
                <w:color w:val="111815"/>
                <w:sz w:val="15"/>
              </w:rPr>
              <w:t>Network Optimizer</w:t>
            </w:r>
          </w:p>
        </w:tc>
        <w:tc>
          <w:tcPr>
            <w:tcW w:type="dxa" w:w="4032"/>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Lime formulation editor, method library, scenario lab, Pareto view, run console, and release gate</w:t>
            </w:r>
          </w:p>
        </w:tc>
        <w:tc>
          <w:tcPr>
            <w:tcW w:type="dxa" w:w="3312"/>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Frame and compare a feasible sourcing, capacity, inventory, or logistics response</w:t>
            </w:r>
          </w:p>
        </w:tc>
        <w:tc>
          <w:tcPr>
            <w:tcW w:type="dxa" w:w="1584"/>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Versioned solution package</w:t>
            </w:r>
          </w:p>
        </w:tc>
      </w:tr>
      <w:tr>
        <w:trPr>
          <w:cantSplit/>
        </w:trPr>
        <w:tc>
          <w:tcPr>
            <w:tcW w:type="dxa" w:w="1699"/>
            <w:vAlign w:val="center"/>
            <w:tcMar>
              <w:top w:w="90" w:type="dxa"/>
              <w:start w:w="100" w:type="dxa"/>
              <w:bottom w:w="90" w:type="dxa"/>
              <w:end w:w="100" w:type="dxa"/>
            </w:tcMar>
          </w:tcPr>
          <w:p>
            <w:pPr>
              <w:keepNext w:val="0"/>
              <w:spacing w:after="0" w:line="259" w:lineRule="auto"/>
            </w:pPr>
            <w:r>
              <w:rPr>
                <w:rFonts w:ascii="Arial" w:hAnsi="Arial" w:eastAsia="Arial"/>
                <w:color w:val="111815"/>
                <w:sz w:val="15"/>
              </w:rPr>
              <w:t>FlowLens</w:t>
            </w:r>
          </w:p>
        </w:tc>
        <w:tc>
          <w:tcPr>
            <w:tcW w:type="dxa" w:w="4032"/>
            <w:vAlign w:val="center"/>
            <w:tcMar>
              <w:top w:w="90" w:type="dxa"/>
              <w:start w:w="100" w:type="dxa"/>
              <w:bottom w:w="90" w:type="dxa"/>
              <w:end w:w="100" w:type="dxa"/>
            </w:tcMar>
          </w:tcPr>
          <w:p>
            <w:pPr>
              <w:spacing w:after="0" w:line="259" w:lineRule="auto"/>
            </w:pPr>
            <w:r>
              <w:rPr>
                <w:rFonts w:ascii="Arial" w:hAnsi="Arial" w:eastAsia="Arial"/>
                <w:color w:val="111815"/>
                <w:sz w:val="15"/>
              </w:rPr>
              <w:t>Cyan material-to-cash waterfall and action queue</w:t>
            </w:r>
          </w:p>
        </w:tc>
        <w:tc>
          <w:tcPr>
            <w:tcW w:type="dxa" w:w="3312"/>
            <w:vAlign w:val="center"/>
            <w:tcMar>
              <w:top w:w="90" w:type="dxa"/>
              <w:start w:w="100" w:type="dxa"/>
              <w:bottom w:w="90" w:type="dxa"/>
              <w:end w:w="100" w:type="dxa"/>
            </w:tcMar>
          </w:tcPr>
          <w:p>
            <w:pPr>
              <w:spacing w:after="0" w:line="259" w:lineRule="auto"/>
            </w:pPr>
            <w:r>
              <w:rPr>
                <w:rFonts w:ascii="Arial" w:hAnsi="Arial" w:eastAsia="Arial"/>
                <w:color w:val="111815"/>
                <w:sz w:val="15"/>
              </w:rPr>
              <w:t>Show where inventory, transit, terms, or delays trap cash and margin</w:t>
            </w:r>
          </w:p>
        </w:tc>
        <w:tc>
          <w:tcPr>
            <w:tcW w:type="dxa" w:w="1584"/>
            <w:vAlign w:val="center"/>
            <w:tcMar>
              <w:top w:w="90" w:type="dxa"/>
              <w:start w:w="100" w:type="dxa"/>
              <w:bottom w:w="90" w:type="dxa"/>
              <w:end w:w="100" w:type="dxa"/>
            </w:tcMar>
          </w:tcPr>
          <w:p>
            <w:pPr>
              <w:spacing w:after="0" w:line="259" w:lineRule="auto"/>
            </w:pPr>
            <w:r>
              <w:rPr>
                <w:rFonts w:ascii="Arial" w:hAnsi="Arial" w:eastAsia="Arial"/>
                <w:color w:val="111815"/>
                <w:sz w:val="15"/>
              </w:rPr>
              <w:t>Cash action package</w:t>
            </w:r>
          </w:p>
        </w:tc>
      </w:tr>
      <w:tr>
        <w:trPr>
          <w:cantSplit/>
        </w:trPr>
        <w:tc>
          <w:tcPr>
            <w:tcW w:type="dxa" w:w="1699"/>
            <w:vAlign w:val="center"/>
            <w:tcMar>
              <w:top w:w="90" w:type="dxa"/>
              <w:start w:w="100" w:type="dxa"/>
              <w:bottom w:w="90" w:type="dxa"/>
              <w:end w:w="100" w:type="dxa"/>
            </w:tcMar>
            <w:shd w:fill="F4F5F1"/>
          </w:tcPr>
          <w:p>
            <w:pPr>
              <w:keepNext w:val="0"/>
              <w:spacing w:after="0" w:line="259" w:lineRule="auto"/>
            </w:pPr>
            <w:r>
              <w:rPr>
                <w:rFonts w:ascii="Arial" w:hAnsi="Arial" w:eastAsia="Arial"/>
                <w:color w:val="111815"/>
                <w:sz w:val="15"/>
              </w:rPr>
              <w:t>DemandSense</w:t>
            </w:r>
          </w:p>
        </w:tc>
        <w:tc>
          <w:tcPr>
            <w:tcW w:type="dxa" w:w="4032"/>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Violet forecast fan, causal notebook, scenario controls, and gap table</w:t>
            </w:r>
          </w:p>
        </w:tc>
        <w:tc>
          <w:tcPr>
            <w:tcW w:type="dxa" w:w="3312"/>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Commit an explainable demand range and expose supply gaps</w:t>
            </w:r>
          </w:p>
        </w:tc>
        <w:tc>
          <w:tcPr>
            <w:tcW w:type="dxa" w:w="1584"/>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Demand contract</w:t>
            </w:r>
          </w:p>
        </w:tc>
      </w:tr>
      <w:tr>
        <w:trPr>
          <w:cantSplit/>
        </w:trPr>
        <w:tc>
          <w:tcPr>
            <w:tcW w:type="dxa" w:w="1699"/>
            <w:vAlign w:val="center"/>
            <w:tcMar>
              <w:top w:w="90" w:type="dxa"/>
              <w:start w:w="100" w:type="dxa"/>
              <w:bottom w:w="90" w:type="dxa"/>
              <w:end w:w="100" w:type="dxa"/>
            </w:tcMar>
          </w:tcPr>
          <w:p>
            <w:pPr>
              <w:keepNext w:val="0"/>
              <w:spacing w:after="0" w:line="259" w:lineRule="auto"/>
            </w:pPr>
            <w:r>
              <w:rPr>
                <w:rFonts w:ascii="Arial" w:hAnsi="Arial" w:eastAsia="Arial"/>
                <w:color w:val="111815"/>
                <w:sz w:val="15"/>
              </w:rPr>
              <w:t>SupplierGraph</w:t>
            </w:r>
          </w:p>
        </w:tc>
        <w:tc>
          <w:tcPr>
            <w:tcW w:type="dxa" w:w="4032"/>
            <w:vAlign w:val="center"/>
            <w:tcMar>
              <w:top w:w="90" w:type="dxa"/>
              <w:start w:w="100" w:type="dxa"/>
              <w:bottom w:w="90" w:type="dxa"/>
              <w:end w:w="100" w:type="dxa"/>
            </w:tcMar>
          </w:tcPr>
          <w:p>
            <w:pPr>
              <w:spacing w:after="0" w:line="259" w:lineRule="auto"/>
            </w:pPr>
            <w:r>
              <w:rPr>
                <w:rFonts w:ascii="Arial" w:hAnsi="Arial" w:eastAsia="Arial"/>
                <w:color w:val="111815"/>
                <w:sz w:val="15"/>
              </w:rPr>
              <w:t>Green n-tier dependency graph and qualification funnel</w:t>
            </w:r>
          </w:p>
        </w:tc>
        <w:tc>
          <w:tcPr>
            <w:tcW w:type="dxa" w:w="3312"/>
            <w:vAlign w:val="center"/>
            <w:tcMar>
              <w:top w:w="90" w:type="dxa"/>
              <w:start w:w="100" w:type="dxa"/>
              <w:bottom w:w="90" w:type="dxa"/>
              <w:end w:w="100" w:type="dxa"/>
            </w:tcMar>
          </w:tcPr>
          <w:p>
            <w:pPr>
              <w:spacing w:after="0" w:line="259" w:lineRule="auto"/>
            </w:pPr>
            <w:r>
              <w:rPr>
                <w:rFonts w:ascii="Arial" w:hAnsi="Arial" w:eastAsia="Arial"/>
                <w:color w:val="111815"/>
                <w:sz w:val="15"/>
              </w:rPr>
              <w:t>Find dependency, ownership, capability, alternative source, and evidence gaps</w:t>
            </w:r>
          </w:p>
        </w:tc>
        <w:tc>
          <w:tcPr>
            <w:tcW w:type="dxa" w:w="1584"/>
            <w:vAlign w:val="center"/>
            <w:tcMar>
              <w:top w:w="90" w:type="dxa"/>
              <w:start w:w="100" w:type="dxa"/>
              <w:bottom w:w="90" w:type="dxa"/>
              <w:end w:w="100" w:type="dxa"/>
            </w:tcMar>
          </w:tcPr>
          <w:p>
            <w:pPr>
              <w:spacing w:after="0" w:line="259" w:lineRule="auto"/>
            </w:pPr>
            <w:r>
              <w:rPr>
                <w:rFonts w:ascii="Arial" w:hAnsi="Arial" w:eastAsia="Arial"/>
                <w:color w:val="111815"/>
                <w:sz w:val="15"/>
              </w:rPr>
              <w:t>Qualified shortlist</w:t>
            </w:r>
          </w:p>
        </w:tc>
      </w:tr>
      <w:tr>
        <w:trPr>
          <w:cantSplit/>
        </w:trPr>
        <w:tc>
          <w:tcPr>
            <w:tcW w:type="dxa" w:w="1699"/>
            <w:vAlign w:val="center"/>
            <w:tcMar>
              <w:top w:w="90" w:type="dxa"/>
              <w:start w:w="100" w:type="dxa"/>
              <w:bottom w:w="90" w:type="dxa"/>
              <w:end w:w="100" w:type="dxa"/>
            </w:tcMar>
            <w:shd w:fill="F4F5F1"/>
          </w:tcPr>
          <w:p>
            <w:pPr>
              <w:keepNext w:val="0"/>
              <w:spacing w:after="0" w:line="259" w:lineRule="auto"/>
            </w:pPr>
            <w:r>
              <w:rPr>
                <w:rFonts w:ascii="Arial" w:hAnsi="Arial" w:eastAsia="Arial"/>
                <w:color w:val="111815"/>
                <w:sz w:val="15"/>
              </w:rPr>
              <w:t>MineralAtlas</w:t>
            </w:r>
          </w:p>
        </w:tc>
        <w:tc>
          <w:tcPr>
            <w:tcW w:type="dxa" w:w="4032"/>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Copper reserve-to-refinery world atlas with mineral and country selectors</w:t>
            </w:r>
          </w:p>
        </w:tc>
        <w:tc>
          <w:tcPr>
            <w:tcW w:type="dxa" w:w="3312"/>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Trace critical mineral concentration from country to product</w:t>
            </w:r>
          </w:p>
        </w:tc>
        <w:tc>
          <w:tcPr>
            <w:tcW w:type="dxa" w:w="1584"/>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Mineral sourcing scenario</w:t>
            </w:r>
          </w:p>
        </w:tc>
      </w:tr>
      <w:tr>
        <w:trPr>
          <w:cantSplit/>
        </w:trPr>
        <w:tc>
          <w:tcPr>
            <w:tcW w:type="dxa" w:w="1699"/>
            <w:vAlign w:val="center"/>
            <w:tcMar>
              <w:top w:w="90" w:type="dxa"/>
              <w:start w:w="100" w:type="dxa"/>
              <w:bottom w:w="90" w:type="dxa"/>
              <w:end w:w="100" w:type="dxa"/>
            </w:tcMar>
          </w:tcPr>
          <w:p>
            <w:pPr>
              <w:keepNext w:val="0"/>
              <w:spacing w:after="0" w:line="259" w:lineRule="auto"/>
            </w:pPr>
            <w:r>
              <w:rPr>
                <w:rFonts w:ascii="Arial" w:hAnsi="Arial" w:eastAsia="Arial"/>
                <w:color w:val="111815"/>
                <w:sz w:val="15"/>
              </w:rPr>
              <w:t>WorkforceStudio</w:t>
            </w:r>
          </w:p>
        </w:tc>
        <w:tc>
          <w:tcPr>
            <w:tcW w:type="dxa" w:w="4032"/>
            <w:vAlign w:val="center"/>
            <w:tcMar>
              <w:top w:w="90" w:type="dxa"/>
              <w:start w:w="100" w:type="dxa"/>
              <w:bottom w:w="90" w:type="dxa"/>
              <w:end w:w="100" w:type="dxa"/>
            </w:tcMar>
          </w:tcPr>
          <w:p>
            <w:pPr>
              <w:spacing w:after="0" w:line="259" w:lineRule="auto"/>
            </w:pPr>
            <w:r>
              <w:rPr>
                <w:rFonts w:ascii="Arial" w:hAnsi="Arial" w:eastAsia="Arial"/>
                <w:color w:val="111815"/>
                <w:sz w:val="15"/>
              </w:rPr>
              <w:t>Indigo skills matrix and shift builder</w:t>
            </w:r>
          </w:p>
        </w:tc>
        <w:tc>
          <w:tcPr>
            <w:tcW w:type="dxa" w:w="3312"/>
            <w:vAlign w:val="center"/>
            <w:tcMar>
              <w:top w:w="90" w:type="dxa"/>
              <w:start w:w="100" w:type="dxa"/>
              <w:bottom w:w="90" w:type="dxa"/>
              <w:end w:w="100" w:type="dxa"/>
            </w:tcMar>
          </w:tcPr>
          <w:p>
            <w:pPr>
              <w:spacing w:after="0" w:line="259" w:lineRule="auto"/>
            </w:pPr>
            <w:r>
              <w:rPr>
                <w:rFonts w:ascii="Arial" w:hAnsi="Arial" w:eastAsia="Arial"/>
                <w:color w:val="111815"/>
                <w:sz w:val="15"/>
              </w:rPr>
              <w:t>Match qualified people to constrained work and expose certification gaps</w:t>
            </w:r>
          </w:p>
        </w:tc>
        <w:tc>
          <w:tcPr>
            <w:tcW w:type="dxa" w:w="1584"/>
            <w:vAlign w:val="center"/>
            <w:tcMar>
              <w:top w:w="90" w:type="dxa"/>
              <w:start w:w="100" w:type="dxa"/>
              <w:bottom w:w="90" w:type="dxa"/>
              <w:end w:w="100" w:type="dxa"/>
            </w:tcMar>
          </w:tcPr>
          <w:p>
            <w:pPr>
              <w:spacing w:after="0" w:line="259" w:lineRule="auto"/>
            </w:pPr>
            <w:r>
              <w:rPr>
                <w:rFonts w:ascii="Arial" w:hAnsi="Arial" w:eastAsia="Arial"/>
                <w:color w:val="111815"/>
                <w:sz w:val="15"/>
              </w:rPr>
              <w:t>Workforce capacity plan</w:t>
            </w:r>
          </w:p>
        </w:tc>
      </w:tr>
      <w:tr>
        <w:trPr>
          <w:cantSplit/>
        </w:trPr>
        <w:tc>
          <w:tcPr>
            <w:tcW w:type="dxa" w:w="1699"/>
            <w:vAlign w:val="center"/>
            <w:tcMar>
              <w:top w:w="90" w:type="dxa"/>
              <w:start w:w="100" w:type="dxa"/>
              <w:bottom w:w="90" w:type="dxa"/>
              <w:end w:w="100" w:type="dxa"/>
            </w:tcMar>
            <w:shd w:fill="F4F5F1"/>
          </w:tcPr>
          <w:p>
            <w:pPr>
              <w:keepNext w:val="0"/>
              <w:spacing w:after="0" w:line="259" w:lineRule="auto"/>
            </w:pPr>
            <w:r>
              <w:rPr>
                <w:rFonts w:ascii="Arial" w:hAnsi="Arial" w:eastAsia="Arial"/>
                <w:color w:val="111815"/>
                <w:sz w:val="15"/>
              </w:rPr>
              <w:t>ManufacturingTwin</w:t>
            </w:r>
          </w:p>
        </w:tc>
        <w:tc>
          <w:tcPr>
            <w:tcW w:type="dxa" w:w="4032"/>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Steel-blue plant flow, constraint timeline, and schedule controls</w:t>
            </w:r>
          </w:p>
        </w:tc>
        <w:tc>
          <w:tcPr>
            <w:tcW w:type="dxa" w:w="3312"/>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Schedule bottlenecks, maintenance, yield, and production commitments</w:t>
            </w:r>
          </w:p>
        </w:tc>
        <w:tc>
          <w:tcPr>
            <w:tcW w:type="dxa" w:w="1584"/>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Production plan</w:t>
            </w:r>
          </w:p>
        </w:tc>
      </w:tr>
      <w:tr>
        <w:trPr>
          <w:cantSplit/>
        </w:trPr>
        <w:tc>
          <w:tcPr>
            <w:tcW w:type="dxa" w:w="1699"/>
            <w:vAlign w:val="center"/>
            <w:tcMar>
              <w:top w:w="90" w:type="dxa"/>
              <w:start w:w="100" w:type="dxa"/>
              <w:bottom w:w="90" w:type="dxa"/>
              <w:end w:w="100" w:type="dxa"/>
            </w:tcMar>
          </w:tcPr>
          <w:p>
            <w:pPr>
              <w:keepNext w:val="0"/>
              <w:spacing w:after="0" w:line="259" w:lineRule="auto"/>
            </w:pPr>
            <w:r>
              <w:rPr>
                <w:rFonts w:ascii="Arial" w:hAnsi="Arial" w:eastAsia="Arial"/>
                <w:color w:val="111815"/>
                <w:sz w:val="15"/>
              </w:rPr>
              <w:t>LogisticsRadar</w:t>
            </w:r>
          </w:p>
        </w:tc>
        <w:tc>
          <w:tcPr>
            <w:tcW w:type="dxa" w:w="4032"/>
            <w:vAlign w:val="center"/>
            <w:tcMar>
              <w:top w:w="90" w:type="dxa"/>
              <w:start w:w="100" w:type="dxa"/>
              <w:bottom w:w="90" w:type="dxa"/>
              <w:end w:w="100" w:type="dxa"/>
            </w:tcMar>
          </w:tcPr>
          <w:p>
            <w:pPr>
              <w:spacing w:after="0" w:line="259" w:lineRule="auto"/>
            </w:pPr>
            <w:r>
              <w:rPr>
                <w:rFonts w:ascii="Arial" w:hAnsi="Arial" w:eastAsia="Arial"/>
                <w:color w:val="111815"/>
                <w:sz w:val="15"/>
              </w:rPr>
              <w:t>Teal radar map and transfer playback</w:t>
            </w:r>
          </w:p>
        </w:tc>
        <w:tc>
          <w:tcPr>
            <w:tcW w:type="dxa" w:w="3312"/>
            <w:vAlign w:val="center"/>
            <w:tcMar>
              <w:top w:w="90" w:type="dxa"/>
              <w:start w:w="100" w:type="dxa"/>
              <w:bottom w:w="90" w:type="dxa"/>
              <w:end w:w="100" w:type="dxa"/>
            </w:tcMar>
          </w:tcPr>
          <w:p>
            <w:pPr>
              <w:spacing w:after="0" w:line="259" w:lineRule="auto"/>
            </w:pPr>
            <w:r>
              <w:rPr>
                <w:rFonts w:ascii="Arial" w:hAnsi="Arial" w:eastAsia="Arial"/>
                <w:color w:val="111815"/>
                <w:sz w:val="15"/>
              </w:rPr>
              <w:t>Control cargo, route, customs, custody, and last-mile handoffs</w:t>
            </w:r>
          </w:p>
        </w:tc>
        <w:tc>
          <w:tcPr>
            <w:tcW w:type="dxa" w:w="1584"/>
            <w:vAlign w:val="center"/>
            <w:tcMar>
              <w:top w:w="90" w:type="dxa"/>
              <w:start w:w="100" w:type="dxa"/>
              <w:bottom w:w="90" w:type="dxa"/>
              <w:end w:w="100" w:type="dxa"/>
            </w:tcMar>
          </w:tcPr>
          <w:p>
            <w:pPr>
              <w:spacing w:after="0" w:line="259" w:lineRule="auto"/>
            </w:pPr>
            <w:r>
              <w:rPr>
                <w:rFonts w:ascii="Arial" w:hAnsi="Arial" w:eastAsia="Arial"/>
                <w:color w:val="111815"/>
                <w:sz w:val="15"/>
              </w:rPr>
              <w:t>Route and handoff plan</w:t>
            </w:r>
          </w:p>
        </w:tc>
      </w:tr>
      <w:tr>
        <w:trPr>
          <w:cantSplit/>
        </w:trPr>
        <w:tc>
          <w:tcPr>
            <w:tcW w:type="dxa" w:w="1699"/>
            <w:vAlign w:val="center"/>
            <w:tcMar>
              <w:top w:w="90" w:type="dxa"/>
              <w:start w:w="100" w:type="dxa"/>
              <w:bottom w:w="90" w:type="dxa"/>
              <w:end w:w="100" w:type="dxa"/>
            </w:tcMar>
            <w:shd w:fill="F4F5F1"/>
          </w:tcPr>
          <w:p>
            <w:pPr>
              <w:keepNext w:val="0"/>
              <w:spacing w:after="0" w:line="259" w:lineRule="auto"/>
            </w:pPr>
            <w:r>
              <w:rPr>
                <w:rFonts w:ascii="Arial" w:hAnsi="Arial" w:eastAsia="Arial"/>
                <w:color w:val="111815"/>
                <w:sz w:val="15"/>
              </w:rPr>
              <w:t>QualityGenealogy</w:t>
            </w:r>
          </w:p>
        </w:tc>
        <w:tc>
          <w:tcPr>
            <w:tcW w:type="dxa" w:w="4032"/>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Amber batch genealogy and release gate</w:t>
            </w:r>
          </w:p>
        </w:tc>
        <w:tc>
          <w:tcPr>
            <w:tcW w:type="dxa" w:w="3312"/>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Trace lot, process, certificate, deviation, release, and customer consequence</w:t>
            </w:r>
          </w:p>
        </w:tc>
        <w:tc>
          <w:tcPr>
            <w:tcW w:type="dxa" w:w="1584"/>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Release or containment plan</w:t>
            </w:r>
          </w:p>
        </w:tc>
      </w:tr>
    </w:tbl>
    <w:p>
      <w:pPr>
        <w:spacing w:after="0" w:before="0"/>
      </w:pPr>
    </w:p>
    <w:p>
      <w:r>
        <w:br w:type="page"/>
      </w:r>
    </w:p>
    <w:p>
      <w:pPr>
        <w:spacing w:after="100"/>
      </w:pPr>
      <w:r>
        <w:rPr>
          <w:rFonts w:ascii="Arial" w:hAnsi="Arial" w:eastAsia="Arial"/>
          <w:b/>
          <w:color w:val="FF6B35"/>
          <w:sz w:val="17"/>
        </w:rPr>
        <w:t>USING A SPECIALIST APP</w:t>
      </w:r>
    </w:p>
    <w:p>
      <w:pPr>
        <w:pStyle w:val="Heading1"/>
        <w:keepNext/>
      </w:pPr>
      <w:r>
        <w:t>How to inspect an app</w:t>
      </w:r>
    </w:p>
    <w:p>
      <w:pPr>
        <w:spacing w:after="200"/>
      </w:pPr>
      <w:r>
        <w:t>Each app opens on the specialist's task, with concise controls and inspectable methods, data, measures, and handoffs rather than a presentation layer.</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389"/>
        <w:gridCol w:w="3389"/>
        <w:gridCol w:w="3389"/>
      </w:tblGrid>
      <w:tr>
        <w:trPr>
          <w:tblHeader w:val="true"/>
          <w:cantSplit/>
        </w:trPr>
        <w:tc>
          <w:tcPr>
            <w:tcW w:type="dxa" w:w="1944"/>
            <w:vAlign w:val="center"/>
            <w:tcMar>
              <w:top w:w="90" w:type="dxa"/>
              <w:start w:w="100" w:type="dxa"/>
              <w:bottom w:w="90" w:type="dxa"/>
              <w:end w:w="100" w:type="dxa"/>
            </w:tcMar>
            <w:shd w:fill="111815"/>
          </w:tcPr>
          <w:p>
            <w:pPr>
              <w:spacing w:after="0" w:line="259" w:lineRule="auto"/>
            </w:pPr>
            <w:r>
              <w:rPr>
                <w:rFonts w:ascii="Arial" w:hAnsi="Arial" w:eastAsia="Arial"/>
                <w:b/>
                <w:color w:val="FFFFFF"/>
                <w:sz w:val="16"/>
              </w:rPr>
              <w:t>Section</w:t>
            </w:r>
          </w:p>
        </w:tc>
        <w:tc>
          <w:tcPr>
            <w:tcW w:type="dxa" w:w="6624"/>
            <w:vAlign w:val="center"/>
            <w:tcMar>
              <w:top w:w="90" w:type="dxa"/>
              <w:start w:w="100" w:type="dxa"/>
              <w:bottom w:w="90" w:type="dxa"/>
              <w:end w:w="100" w:type="dxa"/>
            </w:tcMar>
            <w:shd w:fill="111815"/>
          </w:tcPr>
          <w:p>
            <w:pPr>
              <w:spacing w:after="0" w:line="259" w:lineRule="auto"/>
            </w:pPr>
            <w:r>
              <w:rPr>
                <w:rFonts w:ascii="Arial" w:hAnsi="Arial" w:eastAsia="Arial"/>
                <w:b/>
                <w:color w:val="FFFFFF"/>
                <w:sz w:val="16"/>
              </w:rPr>
              <w:t>What to inspect</w:t>
            </w:r>
          </w:p>
        </w:tc>
        <w:tc>
          <w:tcPr>
            <w:tcW w:type="dxa" w:w="1944"/>
            <w:vAlign w:val="center"/>
            <w:tcMar>
              <w:top w:w="90" w:type="dxa"/>
              <w:start w:w="100" w:type="dxa"/>
              <w:bottom w:w="90" w:type="dxa"/>
              <w:end w:w="100" w:type="dxa"/>
            </w:tcMar>
            <w:shd w:fill="111815"/>
          </w:tcPr>
          <w:p>
            <w:pPr>
              <w:spacing w:after="0" w:line="259" w:lineRule="auto"/>
            </w:pPr>
            <w:r>
              <w:rPr>
                <w:rFonts w:ascii="Arial" w:hAnsi="Arial" w:eastAsia="Arial"/>
                <w:b/>
                <w:color w:val="FFFFFF"/>
                <w:sz w:val="16"/>
              </w:rPr>
              <w:t>Trace action</w:t>
            </w:r>
          </w:p>
        </w:tc>
      </w:tr>
      <w:tr>
        <w:trPr>
          <w:cantSplit/>
        </w:trPr>
        <w:tc>
          <w:tcPr>
            <w:tcW w:type="dxa" w:w="1944"/>
            <w:vAlign w:val="center"/>
            <w:tcMar>
              <w:top w:w="90" w:type="dxa"/>
              <w:start w:w="100" w:type="dxa"/>
              <w:bottom w:w="90" w:type="dxa"/>
              <w:end w:w="100" w:type="dxa"/>
            </w:tcMar>
          </w:tcPr>
          <w:p>
            <w:pPr>
              <w:keepNext w:val="0"/>
              <w:spacing w:after="0" w:line="259" w:lineRule="auto"/>
            </w:pPr>
            <w:r>
              <w:rPr>
                <w:rFonts w:ascii="Arial" w:hAnsi="Arial" w:eastAsia="Arial"/>
                <w:color w:val="111815"/>
                <w:sz w:val="16"/>
              </w:rPr>
              <w:t>Task surface</w:t>
            </w:r>
          </w:p>
        </w:tc>
        <w:tc>
          <w:tcPr>
            <w:tcW w:type="dxa" w:w="6624"/>
            <w:vAlign w:val="center"/>
            <w:tcMar>
              <w:top w:w="90" w:type="dxa"/>
              <w:start w:w="100" w:type="dxa"/>
              <w:bottom w:w="90" w:type="dxa"/>
              <w:end w:w="100" w:type="dxa"/>
            </w:tcMar>
          </w:tcPr>
          <w:p>
            <w:pPr>
              <w:spacing w:after="0" w:line="259" w:lineRule="auto"/>
            </w:pPr>
            <w:r>
              <w:rPr>
                <w:rFonts w:ascii="Arial" w:hAnsi="Arial" w:eastAsia="Arial"/>
                <w:color w:val="111815"/>
                <w:sz w:val="16"/>
              </w:rPr>
              <w:t>Decision scope, horizon, workflow state, accountable roles, and current constraint</w:t>
            </w:r>
          </w:p>
        </w:tc>
        <w:tc>
          <w:tcPr>
            <w:tcW w:type="dxa" w:w="1944"/>
            <w:vAlign w:val="center"/>
            <w:tcMar>
              <w:top w:w="90" w:type="dxa"/>
              <w:start w:w="100" w:type="dxa"/>
              <w:bottom w:w="90" w:type="dxa"/>
              <w:end w:w="100" w:type="dxa"/>
            </w:tcMar>
          </w:tcPr>
          <w:p>
            <w:pPr>
              <w:spacing w:after="0" w:line="259" w:lineRule="auto"/>
            </w:pPr>
            <w:r>
              <w:rPr>
                <w:rFonts w:ascii="Arial" w:hAnsi="Arial" w:eastAsia="Arial"/>
                <w:color w:val="111815"/>
                <w:sz w:val="16"/>
              </w:rPr>
              <w:t>Use the app-specific controls and decision links</w:t>
            </w:r>
          </w:p>
        </w:tc>
      </w:tr>
      <w:tr>
        <w:trPr>
          <w:cantSplit/>
        </w:trPr>
        <w:tc>
          <w:tcPr>
            <w:tcW w:type="dxa" w:w="1944"/>
            <w:vAlign w:val="center"/>
            <w:tcMar>
              <w:top w:w="90" w:type="dxa"/>
              <w:start w:w="100" w:type="dxa"/>
              <w:bottom w:w="90" w:type="dxa"/>
              <w:end w:w="100" w:type="dxa"/>
            </w:tcMar>
            <w:shd w:fill="F4F5F1"/>
          </w:tcPr>
          <w:p>
            <w:pPr>
              <w:keepNext w:val="0"/>
              <w:spacing w:after="0" w:line="259" w:lineRule="auto"/>
            </w:pPr>
            <w:r>
              <w:rPr>
                <w:rFonts w:ascii="Arial" w:hAnsi="Arial" w:eastAsia="Arial"/>
                <w:color w:val="111815"/>
                <w:sz w:val="16"/>
              </w:rPr>
              <w:t>Methods</w:t>
            </w:r>
          </w:p>
        </w:tc>
        <w:tc>
          <w:tcPr>
            <w:tcW w:type="dxa" w:w="6624"/>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Purpose, model family, formulation, and validation contract for each app method</w:t>
            </w:r>
          </w:p>
        </w:tc>
        <w:tc>
          <w:tcPr>
            <w:tcW w:type="dxa" w:w="1944"/>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Open method reference receipt</w:t>
            </w:r>
          </w:p>
        </w:tc>
      </w:tr>
      <w:tr>
        <w:trPr>
          <w:cantSplit/>
        </w:trPr>
        <w:tc>
          <w:tcPr>
            <w:tcW w:type="dxa" w:w="1944"/>
            <w:vAlign w:val="center"/>
            <w:tcMar>
              <w:top w:w="90" w:type="dxa"/>
              <w:start w:w="100" w:type="dxa"/>
              <w:bottom w:w="90" w:type="dxa"/>
              <w:end w:w="100" w:type="dxa"/>
            </w:tcMar>
          </w:tcPr>
          <w:p>
            <w:pPr>
              <w:keepNext w:val="0"/>
              <w:spacing w:after="0" w:line="259" w:lineRule="auto"/>
            </w:pPr>
            <w:r>
              <w:rPr>
                <w:rFonts w:ascii="Arial" w:hAnsi="Arial" w:eastAsia="Arial"/>
                <w:color w:val="111815"/>
                <w:sz w:val="16"/>
              </w:rPr>
              <w:t>Data and controls</w:t>
            </w:r>
          </w:p>
        </w:tc>
        <w:tc>
          <w:tcPr>
            <w:tcW w:type="dxa" w:w="6624"/>
            <w:vAlign w:val="center"/>
            <w:tcMar>
              <w:top w:w="90" w:type="dxa"/>
              <w:start w:w="100" w:type="dxa"/>
              <w:bottom w:w="90" w:type="dxa"/>
              <w:end w:w="100" w:type="dxa"/>
            </w:tcMar>
          </w:tcPr>
          <w:p>
            <w:pPr>
              <w:spacing w:after="0" w:line="259" w:lineRule="auto"/>
            </w:pPr>
            <w:r>
              <w:rPr>
                <w:rFonts w:ascii="Arial" w:hAnsi="Arial" w:eastAsia="Arial"/>
                <w:color w:val="111815"/>
                <w:sz w:val="16"/>
              </w:rPr>
              <w:t>Data grain, expected source, target freshness, fitness checks, policy rule, owner, and evidence</w:t>
            </w:r>
          </w:p>
        </w:tc>
        <w:tc>
          <w:tcPr>
            <w:tcW w:type="dxa" w:w="1944"/>
            <w:vAlign w:val="center"/>
            <w:tcMar>
              <w:top w:w="90" w:type="dxa"/>
              <w:start w:w="100" w:type="dxa"/>
              <w:bottom w:w="90" w:type="dxa"/>
              <w:end w:w="100" w:type="dxa"/>
            </w:tcMar>
          </w:tcPr>
          <w:p>
            <w:pPr>
              <w:spacing w:after="0" w:line="259" w:lineRule="auto"/>
            </w:pPr>
            <w:r>
              <w:rPr>
                <w:rFonts w:ascii="Arial" w:hAnsi="Arial" w:eastAsia="Arial"/>
                <w:color w:val="111815"/>
                <w:sz w:val="16"/>
              </w:rPr>
              <w:t>Open data contract or control receipt</w:t>
            </w:r>
          </w:p>
        </w:tc>
      </w:tr>
      <w:tr>
        <w:trPr>
          <w:cantSplit/>
        </w:trPr>
        <w:tc>
          <w:tcPr>
            <w:tcW w:type="dxa" w:w="1944"/>
            <w:vAlign w:val="center"/>
            <w:tcMar>
              <w:top w:w="90" w:type="dxa"/>
              <w:start w:w="100" w:type="dxa"/>
              <w:bottom w:w="90" w:type="dxa"/>
              <w:end w:w="100" w:type="dxa"/>
            </w:tcMar>
            <w:shd w:fill="F4F5F1"/>
          </w:tcPr>
          <w:p>
            <w:pPr>
              <w:keepNext w:val="0"/>
              <w:spacing w:after="0" w:line="259" w:lineRule="auto"/>
            </w:pPr>
            <w:r>
              <w:rPr>
                <w:rFonts w:ascii="Arial" w:hAnsi="Arial" w:eastAsia="Arial"/>
                <w:color w:val="111815"/>
                <w:sz w:val="16"/>
              </w:rPr>
              <w:t>Measure and hand off</w:t>
            </w:r>
          </w:p>
        </w:tc>
        <w:tc>
          <w:tcPr>
            <w:tcW w:type="dxa" w:w="6624"/>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KPI definition, target, accountable owner, downstream destination, trigger, artifact, and limitation</w:t>
            </w:r>
          </w:p>
        </w:tc>
        <w:tc>
          <w:tcPr>
            <w:tcW w:type="dxa" w:w="1944"/>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Open KPI or handoff receipt</w:t>
            </w:r>
          </w:p>
        </w:tc>
      </w:tr>
      <w:tr>
        <w:trPr>
          <w:cantSplit/>
        </w:trPr>
        <w:tc>
          <w:tcPr>
            <w:tcW w:type="dxa" w:w="1944"/>
            <w:vAlign w:val="center"/>
            <w:tcMar>
              <w:top w:w="90" w:type="dxa"/>
              <w:start w:w="100" w:type="dxa"/>
              <w:bottom w:w="90" w:type="dxa"/>
              <w:end w:w="100" w:type="dxa"/>
            </w:tcMar>
          </w:tcPr>
          <w:p>
            <w:pPr>
              <w:keepNext w:val="0"/>
              <w:spacing w:after="0" w:line="259" w:lineRule="auto"/>
            </w:pPr>
            <w:r>
              <w:rPr>
                <w:rFonts w:ascii="Arial" w:hAnsi="Arial" w:eastAsia="Arial"/>
                <w:color w:val="111815"/>
                <w:sz w:val="16"/>
              </w:rPr>
              <w:t>Change and learning</w:t>
            </w:r>
          </w:p>
        </w:tc>
        <w:tc>
          <w:tcPr>
            <w:tcW w:type="dxa" w:w="6624"/>
            <w:vAlign w:val="center"/>
            <w:tcMar>
              <w:top w:w="90" w:type="dxa"/>
              <w:start w:w="100" w:type="dxa"/>
              <w:bottom w:w="90" w:type="dxa"/>
              <w:end w:w="100" w:type="dxa"/>
            </w:tcMar>
          </w:tcPr>
          <w:p>
            <w:pPr>
              <w:spacing w:after="0" w:line="259" w:lineRule="auto"/>
            </w:pPr>
            <w:r>
              <w:rPr>
                <w:rFonts w:ascii="Arial" w:hAnsi="Arial" w:eastAsia="Arial"/>
                <w:color w:val="111815"/>
                <w:sz w:val="16"/>
              </w:rPr>
              <w:t>Before, current, forecast, delta, explanation, confidence, trigger, owner, and expected outcome feedback</w:t>
            </w:r>
          </w:p>
        </w:tc>
        <w:tc>
          <w:tcPr>
            <w:tcW w:type="dxa" w:w="1944"/>
            <w:vAlign w:val="center"/>
            <w:tcMar>
              <w:top w:w="90" w:type="dxa"/>
              <w:start w:w="100" w:type="dxa"/>
              <w:bottom w:w="90" w:type="dxa"/>
              <w:end w:w="100" w:type="dxa"/>
            </w:tcMar>
          </w:tcPr>
          <w:p>
            <w:pPr>
              <w:spacing w:after="0" w:line="259" w:lineRule="auto"/>
            </w:pPr>
            <w:r>
              <w:rPr>
                <w:rFonts w:ascii="Arial" w:hAnsi="Arial" w:eastAsia="Arial"/>
                <w:color w:val="111815"/>
                <w:sz w:val="16"/>
              </w:rPr>
              <w:t>Trace selected change</w:t>
            </w:r>
          </w:p>
        </w:tc>
      </w:tr>
    </w:tbl>
    <w:p>
      <w:pPr>
        <w:spacing w:after="0" w:before="0"/>
      </w:pPr>
    </w:p>
    <w:p>
      <w:pPr>
        <w:pStyle w:val="Heading2"/>
        <w:keepNext/>
      </w:pPr>
      <w:r>
        <w:t>Mounted app dependency graph</w:t>
      </w:r>
    </w:p>
    <w:p>
      <w:r>
        <w:t>The app graph explains how applications cooperate without collapsing into one interface. DemandSense can inform Network Optimizer. SupplierGraph and MineralAtlas can challenge sourcing feasibility. ManufacturingTwin and WorkforceStudio can constrain capacity. LogisticsRadar can validate route execution. QualityGenealogy can block release. RiskRadar can propagate external and operational change. FlowLens can translate a candidate into cash and margin. Every edge should identify the project, source app, target app, shared entity keys, variable IDs, evidence version, and handoff status in production.</w:t>
      </w:r>
    </w:p>
    <w:p>
      <w:pPr>
        <w:pStyle w:val="ListBullet"/>
      </w:pPr>
      <w:r>
        <w:t>Open an app from Apps to keep the project context and selected decision.</w:t>
      </w:r>
    </w:p>
    <w:p>
      <w:pPr>
        <w:pStyle w:val="ListBullet"/>
      </w:pPr>
      <w:r>
        <w:t>Use Mount or Unmount to change the session manifest. Core project views remain available even when an app is unmounted.</w:t>
      </w:r>
    </w:p>
    <w:p>
      <w:pPr>
        <w:pStyle w:val="ListBullet"/>
      </w:pPr>
      <w:r>
        <w:t>Open the mount manifest receipt to see the fixture count and project boundary.</w:t>
      </w:r>
    </w:p>
    <w:p>
      <w:r>
        <w:br w:type="page"/>
      </w:r>
    </w:p>
    <w:p>
      <w:pPr>
        <w:spacing w:after="100"/>
      </w:pPr>
      <w:r>
        <w:rPr>
          <w:rFonts w:ascii="Arial" w:hAnsi="Arial" w:eastAsia="Arial"/>
          <w:b/>
          <w:color w:val="FF6B35"/>
          <w:sz w:val="17"/>
        </w:rPr>
        <w:t>PROJECT AGENTS</w:t>
      </w:r>
    </w:p>
    <w:p>
      <w:pPr>
        <w:pStyle w:val="Heading1"/>
        <w:keepNext/>
      </w:pPr>
      <w:r>
        <w:t>Work with specialist agents</w:t>
      </w:r>
    </w:p>
    <w:p>
      <w:pPr>
        <w:spacing w:after="200"/>
      </w:pPr>
      <w:r>
        <w:t>Agents use a minimal code-style workspace. It exposes what the agent is doing, which project entities it touches, which evidence it cites, and where a human must decide.</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541"/>
        <w:gridCol w:w="2541"/>
        <w:gridCol w:w="2541"/>
        <w:gridCol w:w="2541"/>
      </w:tblGrid>
      <w:tr>
        <w:trPr>
          <w:tblHeader w:val="true"/>
          <w:cantSplit/>
        </w:trPr>
        <w:tc>
          <w:tcPr>
            <w:tcW w:type="dxa" w:w="1512"/>
            <w:vAlign w:val="center"/>
            <w:tcMar>
              <w:top w:w="90" w:type="dxa"/>
              <w:start w:w="100" w:type="dxa"/>
              <w:bottom w:w="90" w:type="dxa"/>
              <w:end w:w="100" w:type="dxa"/>
            </w:tcMar>
            <w:shd w:fill="111815"/>
          </w:tcPr>
          <w:p>
            <w:pPr>
              <w:spacing w:after="0" w:line="259" w:lineRule="auto"/>
            </w:pPr>
            <w:r>
              <w:rPr>
                <w:rFonts w:ascii="Arial" w:hAnsi="Arial" w:eastAsia="Arial"/>
                <w:b/>
                <w:color w:val="FFFFFF"/>
                <w:sz w:val="16"/>
              </w:rPr>
              <w:t>Area</w:t>
            </w:r>
          </w:p>
        </w:tc>
        <w:tc>
          <w:tcPr>
            <w:tcW w:type="dxa" w:w="3096"/>
            <w:vAlign w:val="center"/>
            <w:tcMar>
              <w:top w:w="90" w:type="dxa"/>
              <w:start w:w="100" w:type="dxa"/>
              <w:bottom w:w="90" w:type="dxa"/>
              <w:end w:w="100" w:type="dxa"/>
            </w:tcMar>
            <w:shd w:fill="111815"/>
          </w:tcPr>
          <w:p>
            <w:pPr>
              <w:spacing w:after="0" w:line="259" w:lineRule="auto"/>
            </w:pPr>
            <w:r>
              <w:rPr>
                <w:rFonts w:ascii="Arial" w:hAnsi="Arial" w:eastAsia="Arial"/>
                <w:b/>
                <w:color w:val="FFFFFF"/>
                <w:sz w:val="16"/>
              </w:rPr>
              <w:t>What it shows</w:t>
            </w:r>
          </w:p>
        </w:tc>
        <w:tc>
          <w:tcPr>
            <w:tcW w:type="dxa" w:w="3672"/>
            <w:vAlign w:val="center"/>
            <w:tcMar>
              <w:top w:w="90" w:type="dxa"/>
              <w:start w:w="100" w:type="dxa"/>
              <w:bottom w:w="90" w:type="dxa"/>
              <w:end w:w="100" w:type="dxa"/>
            </w:tcMar>
            <w:shd w:fill="111815"/>
          </w:tcPr>
          <w:p>
            <w:pPr>
              <w:spacing w:after="0" w:line="259" w:lineRule="auto"/>
            </w:pPr>
            <w:r>
              <w:rPr>
                <w:rFonts w:ascii="Arial" w:hAnsi="Arial" w:eastAsia="Arial"/>
                <w:b/>
                <w:color w:val="FFFFFF"/>
                <w:sz w:val="16"/>
              </w:rPr>
              <w:t>How to use it</w:t>
            </w:r>
          </w:p>
        </w:tc>
        <w:tc>
          <w:tcPr>
            <w:tcW w:type="dxa" w:w="1728"/>
            <w:vAlign w:val="center"/>
            <w:tcMar>
              <w:top w:w="90" w:type="dxa"/>
              <w:start w:w="100" w:type="dxa"/>
              <w:bottom w:w="90" w:type="dxa"/>
              <w:end w:w="100" w:type="dxa"/>
            </w:tcMar>
            <w:shd w:fill="111815"/>
          </w:tcPr>
          <w:p>
            <w:pPr>
              <w:spacing w:after="0" w:line="259" w:lineRule="auto"/>
            </w:pPr>
            <w:r>
              <w:rPr>
                <w:rFonts w:ascii="Arial" w:hAnsi="Arial" w:eastAsia="Arial"/>
                <w:b/>
                <w:color w:val="FFFFFF"/>
                <w:sz w:val="16"/>
              </w:rPr>
              <w:t>Boundary</w:t>
            </w:r>
          </w:p>
        </w:tc>
      </w:tr>
      <w:tr>
        <w:trPr>
          <w:cantSplit/>
        </w:trPr>
        <w:tc>
          <w:tcPr>
            <w:tcW w:type="dxa" w:w="1512"/>
            <w:vAlign w:val="center"/>
            <w:tcMar>
              <w:top w:w="90" w:type="dxa"/>
              <w:start w:w="100" w:type="dxa"/>
              <w:bottom w:w="90" w:type="dxa"/>
              <w:end w:w="100" w:type="dxa"/>
            </w:tcMar>
          </w:tcPr>
          <w:p>
            <w:pPr>
              <w:keepNext w:val="0"/>
              <w:spacing w:after="0" w:line="259" w:lineRule="auto"/>
            </w:pPr>
            <w:r>
              <w:rPr>
                <w:rFonts w:ascii="Arial" w:hAnsi="Arial" w:eastAsia="Arial"/>
                <w:color w:val="111815"/>
                <w:sz w:val="15"/>
              </w:rPr>
              <w:t>Agent roster</w:t>
            </w:r>
          </w:p>
        </w:tc>
        <w:tc>
          <w:tcPr>
            <w:tcW w:type="dxa" w:w="3096"/>
            <w:vAlign w:val="center"/>
            <w:tcMar>
              <w:top w:w="90" w:type="dxa"/>
              <w:start w:w="100" w:type="dxa"/>
              <w:bottom w:w="90" w:type="dxa"/>
              <w:end w:w="100" w:type="dxa"/>
            </w:tcMar>
          </w:tcPr>
          <w:p>
            <w:pPr>
              <w:spacing w:after="0" w:line="259" w:lineRule="auto"/>
            </w:pPr>
            <w:r>
              <w:rPr>
                <w:rFonts w:ascii="Arial" w:hAnsi="Arial" w:eastAsia="Arial"/>
                <w:color w:val="111815"/>
                <w:sz w:val="15"/>
              </w:rPr>
              <w:t>Name, role, level, state, and specialty</w:t>
            </w:r>
          </w:p>
        </w:tc>
        <w:tc>
          <w:tcPr>
            <w:tcW w:type="dxa" w:w="3672"/>
            <w:vAlign w:val="center"/>
            <w:tcMar>
              <w:top w:w="90" w:type="dxa"/>
              <w:start w:w="100" w:type="dxa"/>
              <w:bottom w:w="90" w:type="dxa"/>
              <w:end w:w="100" w:type="dxa"/>
            </w:tcMar>
          </w:tcPr>
          <w:p>
            <w:pPr>
              <w:spacing w:after="0" w:line="259" w:lineRule="auto"/>
            </w:pPr>
            <w:r>
              <w:rPr>
                <w:rFonts w:ascii="Arial" w:hAnsi="Arial" w:eastAsia="Arial"/>
                <w:color w:val="111815"/>
                <w:sz w:val="15"/>
              </w:rPr>
              <w:t>Create the first agent in a new project or select an existing project specialist</w:t>
            </w:r>
          </w:p>
        </w:tc>
        <w:tc>
          <w:tcPr>
            <w:tcW w:type="dxa" w:w="1728"/>
            <w:vAlign w:val="center"/>
            <w:tcMar>
              <w:top w:w="90" w:type="dxa"/>
              <w:start w:w="100" w:type="dxa"/>
              <w:bottom w:w="90" w:type="dxa"/>
              <w:end w:w="100" w:type="dxa"/>
            </w:tcMar>
          </w:tcPr>
          <w:p>
            <w:pPr>
              <w:spacing w:after="0" w:line="259" w:lineRule="auto"/>
            </w:pPr>
            <w:r>
              <w:rPr>
                <w:rFonts w:ascii="Arial" w:hAnsi="Arial" w:eastAsia="Arial"/>
                <w:color w:val="111815"/>
                <w:sz w:val="15"/>
              </w:rPr>
              <w:t>Profiles are synthetic</w:t>
            </w:r>
          </w:p>
        </w:tc>
      </w:tr>
      <w:tr>
        <w:trPr>
          <w:cantSplit/>
        </w:trPr>
        <w:tc>
          <w:tcPr>
            <w:tcW w:type="dxa" w:w="1512"/>
            <w:vAlign w:val="center"/>
            <w:tcMar>
              <w:top w:w="90" w:type="dxa"/>
              <w:start w:w="100" w:type="dxa"/>
              <w:bottom w:w="90" w:type="dxa"/>
              <w:end w:w="100" w:type="dxa"/>
            </w:tcMar>
            <w:shd w:fill="F4F5F1"/>
          </w:tcPr>
          <w:p>
            <w:pPr>
              <w:keepNext w:val="0"/>
              <w:spacing w:after="0" w:line="259" w:lineRule="auto"/>
            </w:pPr>
            <w:r>
              <w:rPr>
                <w:rFonts w:ascii="Arial" w:hAnsi="Arial" w:eastAsia="Arial"/>
                <w:color w:val="111815"/>
                <w:sz w:val="15"/>
              </w:rPr>
              <w:t>Conversation</w:t>
            </w:r>
          </w:p>
        </w:tc>
        <w:tc>
          <w:tcPr>
            <w:tcW w:type="dxa" w:w="3096"/>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User prompt, agent response, and system status</w:t>
            </w:r>
          </w:p>
        </w:tc>
        <w:tc>
          <w:tcPr>
            <w:tcW w:type="dxa" w:w="3672"/>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Ask a project-specific question. The deterministic response binds to the current project and selected specialist</w:t>
            </w:r>
          </w:p>
        </w:tc>
        <w:tc>
          <w:tcPr>
            <w:tcW w:type="dxa" w:w="1728"/>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No model API is called</w:t>
            </w:r>
          </w:p>
        </w:tc>
      </w:tr>
      <w:tr>
        <w:trPr>
          <w:cantSplit/>
        </w:trPr>
        <w:tc>
          <w:tcPr>
            <w:tcW w:type="dxa" w:w="1512"/>
            <w:vAlign w:val="center"/>
            <w:tcMar>
              <w:top w:w="90" w:type="dxa"/>
              <w:start w:w="100" w:type="dxa"/>
              <w:bottom w:w="90" w:type="dxa"/>
              <w:end w:w="100" w:type="dxa"/>
            </w:tcMar>
          </w:tcPr>
          <w:p>
            <w:pPr>
              <w:keepNext w:val="0"/>
              <w:spacing w:after="0" w:line="259" w:lineRule="auto"/>
            </w:pPr>
            <w:r>
              <w:rPr>
                <w:rFonts w:ascii="Arial" w:hAnsi="Arial" w:eastAsia="Arial"/>
                <w:color w:val="111815"/>
                <w:sz w:val="15"/>
              </w:rPr>
              <w:t>Tool trace</w:t>
            </w:r>
          </w:p>
        </w:tc>
        <w:tc>
          <w:tcPr>
            <w:tcW w:type="dxa" w:w="3096"/>
            <w:vAlign w:val="center"/>
            <w:tcMar>
              <w:top w:w="90" w:type="dxa"/>
              <w:start w:w="100" w:type="dxa"/>
              <w:bottom w:w="90" w:type="dxa"/>
              <w:end w:w="100" w:type="dxa"/>
            </w:tcMar>
          </w:tcPr>
          <w:p>
            <w:pPr>
              <w:spacing w:after="0" w:line="259" w:lineRule="auto"/>
            </w:pPr>
            <w:r>
              <w:rPr>
                <w:rFonts w:ascii="Arial" w:hAnsi="Arial" w:eastAsia="Arial"/>
                <w:color w:val="111815"/>
                <w:sz w:val="15"/>
              </w:rPr>
              <w:t>Step, agent, activity, detail, and graph node</w:t>
            </w:r>
          </w:p>
        </w:tc>
        <w:tc>
          <w:tcPr>
            <w:tcW w:type="dxa" w:w="3672"/>
            <w:vAlign w:val="center"/>
            <w:tcMar>
              <w:top w:w="90" w:type="dxa"/>
              <w:start w:w="100" w:type="dxa"/>
              <w:bottom w:w="90" w:type="dxa"/>
              <w:end w:w="100" w:type="dxa"/>
            </w:tcMar>
          </w:tcPr>
          <w:p>
            <w:pPr>
              <w:spacing w:after="0" w:line="259" w:lineRule="auto"/>
            </w:pPr>
            <w:r>
              <w:rPr>
                <w:rFonts w:ascii="Arial" w:hAnsi="Arial" w:eastAsia="Arial"/>
                <w:color w:val="111815"/>
                <w:sz w:val="15"/>
              </w:rPr>
              <w:t>Start, advance, replay, cancel, and inspect the visible execution trace</w:t>
            </w:r>
          </w:p>
        </w:tc>
        <w:tc>
          <w:tcPr>
            <w:tcW w:type="dxa" w:w="1728"/>
            <w:vAlign w:val="center"/>
            <w:tcMar>
              <w:top w:w="90" w:type="dxa"/>
              <w:start w:w="100" w:type="dxa"/>
              <w:bottom w:w="90" w:type="dxa"/>
              <w:end w:w="100" w:type="dxa"/>
            </w:tcMar>
          </w:tcPr>
          <w:p>
            <w:pPr>
              <w:spacing w:after="0" w:line="259" w:lineRule="auto"/>
            </w:pPr>
            <w:r>
              <w:rPr>
                <w:rFonts w:ascii="Arial" w:hAnsi="Arial" w:eastAsia="Arial"/>
                <w:color w:val="111815"/>
                <w:sz w:val="15"/>
              </w:rPr>
              <w:t>This is not hidden chain of thought</w:t>
            </w:r>
          </w:p>
        </w:tc>
      </w:tr>
      <w:tr>
        <w:trPr>
          <w:cantSplit/>
        </w:trPr>
        <w:tc>
          <w:tcPr>
            <w:tcW w:type="dxa" w:w="1512"/>
            <w:vAlign w:val="center"/>
            <w:tcMar>
              <w:top w:w="90" w:type="dxa"/>
              <w:start w:w="100" w:type="dxa"/>
              <w:bottom w:w="90" w:type="dxa"/>
              <w:end w:w="100" w:type="dxa"/>
            </w:tcMar>
            <w:shd w:fill="F4F5F1"/>
          </w:tcPr>
          <w:p>
            <w:pPr>
              <w:keepNext w:val="0"/>
              <w:spacing w:after="0" w:line="259" w:lineRule="auto"/>
            </w:pPr>
            <w:r>
              <w:rPr>
                <w:rFonts w:ascii="Arial" w:hAnsi="Arial" w:eastAsia="Arial"/>
                <w:color w:val="111815"/>
                <w:sz w:val="15"/>
              </w:rPr>
              <w:t>Visual steering</w:t>
            </w:r>
          </w:p>
        </w:tc>
        <w:tc>
          <w:tcPr>
            <w:tcW w:type="dxa" w:w="3096"/>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Instructions such as pin evidence, require human review, preserve service floor, or exclude an entity</w:t>
            </w:r>
          </w:p>
        </w:tc>
        <w:tc>
          <w:tcPr>
            <w:tcW w:type="dxa" w:w="3672"/>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Click a steering control and confirm the instruction appears in the trace context</w:t>
            </w:r>
          </w:p>
        </w:tc>
        <w:tc>
          <w:tcPr>
            <w:tcW w:type="dxa" w:w="1728"/>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No policy or model weights change</w:t>
            </w:r>
          </w:p>
        </w:tc>
      </w:tr>
      <w:tr>
        <w:trPr>
          <w:cantSplit/>
        </w:trPr>
        <w:tc>
          <w:tcPr>
            <w:tcW w:type="dxa" w:w="1512"/>
            <w:vAlign w:val="center"/>
            <w:tcMar>
              <w:top w:w="90" w:type="dxa"/>
              <w:start w:w="100" w:type="dxa"/>
              <w:bottom w:w="90" w:type="dxa"/>
              <w:end w:w="100" w:type="dxa"/>
            </w:tcMar>
          </w:tcPr>
          <w:p>
            <w:pPr>
              <w:keepNext w:val="0"/>
              <w:spacing w:after="0" w:line="259" w:lineRule="auto"/>
            </w:pPr>
            <w:r>
              <w:rPr>
                <w:rFonts w:ascii="Arial" w:hAnsi="Arial" w:eastAsia="Arial"/>
                <w:color w:val="111815"/>
                <w:sz w:val="15"/>
              </w:rPr>
              <w:t>Experience profile</w:t>
            </w:r>
          </w:p>
        </w:tc>
        <w:tc>
          <w:tcPr>
            <w:tcW w:type="dxa" w:w="3096"/>
            <w:vAlign w:val="center"/>
            <w:tcMar>
              <w:top w:w="90" w:type="dxa"/>
              <w:start w:w="100" w:type="dxa"/>
              <w:bottom w:w="90" w:type="dxa"/>
              <w:end w:w="100" w:type="dxa"/>
            </w:tcMar>
          </w:tcPr>
          <w:p>
            <w:pPr>
              <w:spacing w:after="0" w:line="259" w:lineRule="auto"/>
            </w:pPr>
            <w:r>
              <w:rPr>
                <w:rFonts w:ascii="Arial" w:hAnsi="Arial" w:eastAsia="Arial"/>
                <w:color w:val="111815"/>
                <w:sz w:val="15"/>
              </w:rPr>
              <w:t>Level, years, evaluated runs, approved runs, calibration, override rate, failure rate, skills, MCPs, tools, and authority</w:t>
            </w:r>
          </w:p>
        </w:tc>
        <w:tc>
          <w:tcPr>
            <w:tcW w:type="dxa" w:w="3672"/>
            <w:vAlign w:val="center"/>
            <w:tcMar>
              <w:top w:w="90" w:type="dxa"/>
              <w:start w:w="100" w:type="dxa"/>
              <w:bottom w:w="90" w:type="dxa"/>
              <w:end w:w="100" w:type="dxa"/>
            </w:tcMar>
          </w:tcPr>
          <w:p>
            <w:pPr>
              <w:spacing w:after="0" w:line="259" w:lineRule="auto"/>
            </w:pPr>
            <w:r>
              <w:rPr>
                <w:rFonts w:ascii="Arial" w:hAnsi="Arial" w:eastAsia="Arial"/>
                <w:color w:val="111815"/>
                <w:sz w:val="15"/>
              </w:rPr>
              <w:t>Open the profile fixture receipt before relying on a capability</w:t>
            </w:r>
          </w:p>
        </w:tc>
        <w:tc>
          <w:tcPr>
            <w:tcW w:type="dxa" w:w="1728"/>
            <w:vAlign w:val="center"/>
            <w:tcMar>
              <w:top w:w="90" w:type="dxa"/>
              <w:start w:w="100" w:type="dxa"/>
              <w:bottom w:w="90" w:type="dxa"/>
              <w:end w:w="100" w:type="dxa"/>
            </w:tcMar>
          </w:tcPr>
          <w:p>
            <w:pPr>
              <w:spacing w:after="0" w:line="259" w:lineRule="auto"/>
            </w:pPr>
            <w:r>
              <w:rPr>
                <w:rFonts w:ascii="Arial" w:hAnsi="Arial" w:eastAsia="Arial"/>
                <w:color w:val="111815"/>
                <w:sz w:val="15"/>
              </w:rPr>
              <w:t>Statistics are demo fixtures</w:t>
            </w:r>
          </w:p>
        </w:tc>
      </w:tr>
      <w:tr>
        <w:trPr>
          <w:cantSplit/>
        </w:trPr>
        <w:tc>
          <w:tcPr>
            <w:tcW w:type="dxa" w:w="1512"/>
            <w:vAlign w:val="center"/>
            <w:tcMar>
              <w:top w:w="90" w:type="dxa"/>
              <w:start w:w="100" w:type="dxa"/>
              <w:bottom w:w="90" w:type="dxa"/>
              <w:end w:w="100" w:type="dxa"/>
            </w:tcMar>
            <w:shd w:fill="F4F5F1"/>
          </w:tcPr>
          <w:p>
            <w:pPr>
              <w:keepNext w:val="0"/>
              <w:spacing w:after="0" w:line="259" w:lineRule="auto"/>
            </w:pPr>
            <w:r>
              <w:rPr>
                <w:rFonts w:ascii="Arial" w:hAnsi="Arial" w:eastAsia="Arial"/>
                <w:color w:val="111815"/>
                <w:sz w:val="15"/>
              </w:rPr>
              <w:t>Agent builder</w:t>
            </w:r>
          </w:p>
        </w:tc>
        <w:tc>
          <w:tcPr>
            <w:tcW w:type="dxa" w:w="3096"/>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Name, specialty, selected Skills file name, requested MCPs, and draft tools</w:t>
            </w:r>
          </w:p>
        </w:tc>
        <w:tc>
          <w:tcPr>
            <w:tcW w:type="dxa" w:w="3672"/>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Create and save a draft manifest</w:t>
            </w:r>
          </w:p>
        </w:tc>
        <w:tc>
          <w:tcPr>
            <w:tcW w:type="dxa" w:w="1728"/>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No Skills file is parsed, MCP connected, tool created, evaluation run, or agent deployed</w:t>
            </w:r>
          </w:p>
        </w:tc>
      </w:tr>
    </w:tbl>
    <w:p>
      <w:pPr>
        <w:spacing w:after="0" w:before="0"/>
      </w:pPr>
    </w:p>
    <w:p>
      <w:pPr>
        <w:pStyle w:val="Heading2"/>
        <w:keepNext/>
      </w:pPr>
      <w:r>
        <w:t>Safe agent run sequence</w:t>
      </w:r>
    </w:p>
    <w:p>
      <w:pPr>
        <w:spacing w:after="80"/>
        <w:ind w:left="346" w:hanging="346"/>
      </w:pPr>
      <w:r>
        <w:rPr>
          <w:rFonts w:ascii="Arial" w:hAnsi="Arial" w:eastAsia="Arial"/>
          <w:b/>
        </w:rPr>
        <w:t xml:space="preserve">1.  </w:t>
      </w:r>
      <w:r>
        <w:t>Select the specialist whose authority matches the task.</w:t>
      </w:r>
    </w:p>
    <w:p>
      <w:pPr>
        <w:spacing w:after="80"/>
        <w:ind w:left="346" w:hanging="346"/>
      </w:pPr>
      <w:r>
        <w:rPr>
          <w:rFonts w:ascii="Arial" w:hAnsi="Arial" w:eastAsia="Arial"/>
          <w:b/>
        </w:rPr>
        <w:t xml:space="preserve">2.  </w:t>
      </w:r>
      <w:r>
        <w:t>Enter the decision question and submit it.</w:t>
      </w:r>
    </w:p>
    <w:p>
      <w:pPr>
        <w:spacing w:after="80"/>
        <w:ind w:left="346" w:hanging="346"/>
      </w:pPr>
      <w:r>
        <w:rPr>
          <w:rFonts w:ascii="Arial" w:hAnsi="Arial" w:eastAsia="Arial"/>
          <w:b/>
        </w:rPr>
        <w:t xml:space="preserve">3.  </w:t>
      </w:r>
      <w:r>
        <w:t>Start the trace and inspect each evidence, graph, variable, formulation, and calculation step.</w:t>
      </w:r>
    </w:p>
    <w:p>
      <w:pPr>
        <w:spacing w:after="80"/>
        <w:ind w:left="346" w:hanging="346"/>
      </w:pPr>
      <w:r>
        <w:rPr>
          <w:rFonts w:ascii="Arial" w:hAnsi="Arial" w:eastAsia="Arial"/>
          <w:b/>
        </w:rPr>
        <w:t xml:space="preserve">4.  </w:t>
      </w:r>
      <w:r>
        <w:t>Add a steering instruction when the project needs an extra constraint or review requirement.</w:t>
      </w:r>
    </w:p>
    <w:p>
      <w:pPr>
        <w:spacing w:after="80"/>
        <w:ind w:left="346" w:hanging="346"/>
      </w:pPr>
      <w:r>
        <w:rPr>
          <w:rFonts w:ascii="Arial" w:hAnsi="Arial" w:eastAsia="Arial"/>
          <w:b/>
        </w:rPr>
        <w:t xml:space="preserve">5.  </w:t>
      </w:r>
      <w:r>
        <w:t>Open evidence receipts for the values that matter to the recommendation.</w:t>
      </w:r>
    </w:p>
    <w:p>
      <w:pPr>
        <w:spacing w:after="80"/>
        <w:ind w:left="346" w:hanging="346"/>
      </w:pPr>
      <w:r>
        <w:rPr>
          <w:rFonts w:ascii="Arial" w:hAnsi="Arial" w:eastAsia="Arial"/>
          <w:b/>
        </w:rPr>
        <w:t xml:space="preserve">6.  </w:t>
      </w:r>
      <w:r>
        <w:t>Complete only at the human gate. Use Cancel when the context is wrong or incomplete.</w:t>
      </w:r>
    </w:p>
    <w:p>
      <w:r>
        <w:br w:type="page"/>
      </w:r>
    </w:p>
    <w:p>
      <w:pPr>
        <w:spacing w:after="100"/>
      </w:pPr>
      <w:r>
        <w:rPr>
          <w:rFonts w:ascii="Arial" w:hAnsi="Arial" w:eastAsia="Arial"/>
          <w:b/>
          <w:color w:val="FF6B35"/>
          <w:sz w:val="17"/>
        </w:rPr>
        <w:t>EVIDENCE</w:t>
      </w:r>
    </w:p>
    <w:p>
      <w:pPr>
        <w:pStyle w:val="Heading1"/>
        <w:keepNext/>
      </w:pPr>
      <w:r>
        <w:t>Trace every displayed claim</w:t>
      </w:r>
    </w:p>
    <w:p>
      <w:pPr>
        <w:spacing w:after="200"/>
      </w:pPr>
      <w:r>
        <w:t>A number is trustworthy only when the reader can see what it means, where it came from, how it was produced, and whether it is safe to use for the current decision.</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389"/>
        <w:gridCol w:w="3389"/>
        <w:gridCol w:w="3389"/>
      </w:tblGrid>
      <w:tr>
        <w:trPr>
          <w:tblHeader w:val="true"/>
          <w:cantSplit/>
        </w:trPr>
        <w:tc>
          <w:tcPr>
            <w:tcW w:type="dxa" w:w="2088"/>
            <w:vAlign w:val="center"/>
            <w:tcMar>
              <w:top w:w="90" w:type="dxa"/>
              <w:start w:w="100" w:type="dxa"/>
              <w:bottom w:w="90" w:type="dxa"/>
              <w:end w:w="100" w:type="dxa"/>
            </w:tcMar>
            <w:shd w:fill="111815"/>
          </w:tcPr>
          <w:p>
            <w:pPr>
              <w:spacing w:after="0" w:line="259" w:lineRule="auto"/>
            </w:pPr>
            <w:r>
              <w:rPr>
                <w:rFonts w:ascii="Arial" w:hAnsi="Arial" w:eastAsia="Arial"/>
                <w:b/>
                <w:color w:val="FFFFFF"/>
                <w:sz w:val="16"/>
              </w:rPr>
              <w:t>Receipt field</w:t>
            </w:r>
          </w:p>
        </w:tc>
        <w:tc>
          <w:tcPr>
            <w:tcW w:type="dxa" w:w="3240"/>
            <w:vAlign w:val="center"/>
            <w:tcMar>
              <w:top w:w="90" w:type="dxa"/>
              <w:start w:w="100" w:type="dxa"/>
              <w:bottom w:w="90" w:type="dxa"/>
              <w:end w:w="100" w:type="dxa"/>
            </w:tcMar>
            <w:shd w:fill="111815"/>
          </w:tcPr>
          <w:p>
            <w:pPr>
              <w:spacing w:after="0" w:line="259" w:lineRule="auto"/>
            </w:pPr>
            <w:r>
              <w:rPr>
                <w:rFonts w:ascii="Arial" w:hAnsi="Arial" w:eastAsia="Arial"/>
                <w:b/>
                <w:color w:val="FFFFFF"/>
                <w:sz w:val="16"/>
              </w:rPr>
              <w:t>Question answered</w:t>
            </w:r>
          </w:p>
        </w:tc>
        <w:tc>
          <w:tcPr>
            <w:tcW w:type="dxa" w:w="4680"/>
            <w:vAlign w:val="center"/>
            <w:tcMar>
              <w:top w:w="90" w:type="dxa"/>
              <w:start w:w="100" w:type="dxa"/>
              <w:bottom w:w="90" w:type="dxa"/>
              <w:end w:w="100" w:type="dxa"/>
            </w:tcMar>
            <w:shd w:fill="111815"/>
          </w:tcPr>
          <w:p>
            <w:pPr>
              <w:spacing w:after="0" w:line="259" w:lineRule="auto"/>
            </w:pPr>
            <w:r>
              <w:rPr>
                <w:rFonts w:ascii="Arial" w:hAnsi="Arial" w:eastAsia="Arial"/>
                <w:b/>
                <w:color w:val="FFFFFF"/>
                <w:sz w:val="16"/>
              </w:rPr>
              <w:t>Current concept behavior</w:t>
            </w:r>
          </w:p>
        </w:tc>
      </w:tr>
      <w:tr>
        <w:trPr>
          <w:cantSplit/>
        </w:trPr>
        <w:tc>
          <w:tcPr>
            <w:tcW w:type="dxa" w:w="2088"/>
            <w:vAlign w:val="center"/>
            <w:tcMar>
              <w:top w:w="90" w:type="dxa"/>
              <w:start w:w="100" w:type="dxa"/>
              <w:bottom w:w="90" w:type="dxa"/>
              <w:end w:w="100" w:type="dxa"/>
            </w:tcMar>
          </w:tcPr>
          <w:p>
            <w:pPr>
              <w:keepNext w:val="0"/>
              <w:spacing w:after="0" w:line="259" w:lineRule="auto"/>
            </w:pPr>
            <w:r>
              <w:rPr>
                <w:rFonts w:ascii="Arial" w:hAnsi="Arial" w:eastAsia="Arial"/>
                <w:color w:val="111815"/>
                <w:sz w:val="15"/>
              </w:rPr>
              <w:t>Claim and displayed value</w:t>
            </w:r>
          </w:p>
        </w:tc>
        <w:tc>
          <w:tcPr>
            <w:tcW w:type="dxa" w:w="3240"/>
            <w:vAlign w:val="center"/>
            <w:tcMar>
              <w:top w:w="90" w:type="dxa"/>
              <w:start w:w="100" w:type="dxa"/>
              <w:bottom w:w="90" w:type="dxa"/>
              <w:end w:w="100" w:type="dxa"/>
            </w:tcMar>
          </w:tcPr>
          <w:p>
            <w:pPr>
              <w:spacing w:after="0" w:line="259" w:lineRule="auto"/>
            </w:pPr>
            <w:r>
              <w:rPr>
                <w:rFonts w:ascii="Arial" w:hAnsi="Arial" w:eastAsia="Arial"/>
                <w:color w:val="111815"/>
                <w:sz w:val="15"/>
              </w:rPr>
              <w:t>What exactly is being asserted</w:t>
            </w:r>
          </w:p>
        </w:tc>
        <w:tc>
          <w:tcPr>
            <w:tcW w:type="dxa" w:w="4680"/>
            <w:vAlign w:val="center"/>
            <w:tcMar>
              <w:top w:w="90" w:type="dxa"/>
              <w:start w:w="100" w:type="dxa"/>
              <w:bottom w:w="90" w:type="dxa"/>
              <w:end w:w="100" w:type="dxa"/>
            </w:tcMar>
          </w:tcPr>
          <w:p>
            <w:pPr>
              <w:spacing w:after="0" w:line="259" w:lineRule="auto"/>
            </w:pPr>
            <w:r>
              <w:rPr>
                <w:rFonts w:ascii="Arial" w:hAnsi="Arial" w:eastAsia="Arial"/>
                <w:color w:val="111815"/>
                <w:sz w:val="15"/>
              </w:rPr>
              <w:t>Matches the clicked KPI, studio metric, graph fact, decision value, or action result</w:t>
            </w:r>
          </w:p>
        </w:tc>
      </w:tr>
      <w:tr>
        <w:trPr>
          <w:cantSplit/>
        </w:trPr>
        <w:tc>
          <w:tcPr>
            <w:tcW w:type="dxa" w:w="2088"/>
            <w:vAlign w:val="center"/>
            <w:tcMar>
              <w:top w:w="90" w:type="dxa"/>
              <w:start w:w="100" w:type="dxa"/>
              <w:bottom w:w="90" w:type="dxa"/>
              <w:end w:w="100" w:type="dxa"/>
            </w:tcMar>
            <w:shd w:fill="F4F5F1"/>
          </w:tcPr>
          <w:p>
            <w:pPr>
              <w:keepNext w:val="0"/>
              <w:spacing w:after="0" w:line="259" w:lineRule="auto"/>
            </w:pPr>
            <w:r>
              <w:rPr>
                <w:rFonts w:ascii="Arial" w:hAnsi="Arial" w:eastAsia="Arial"/>
                <w:color w:val="111815"/>
                <w:sz w:val="15"/>
              </w:rPr>
              <w:t>State</w:t>
            </w:r>
          </w:p>
        </w:tc>
        <w:tc>
          <w:tcPr>
            <w:tcW w:type="dxa" w:w="3240"/>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Was it observed, corroborated, inferred, simulated, or proposed</w:t>
            </w:r>
          </w:p>
        </w:tc>
        <w:tc>
          <w:tcPr>
            <w:tcW w:type="dxa" w:w="4680"/>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Synthetic project receipts use Simulated unless a more precise fixture state applies</w:t>
            </w:r>
          </w:p>
        </w:tc>
      </w:tr>
      <w:tr>
        <w:trPr>
          <w:cantSplit/>
        </w:trPr>
        <w:tc>
          <w:tcPr>
            <w:tcW w:type="dxa" w:w="2088"/>
            <w:vAlign w:val="center"/>
            <w:tcMar>
              <w:top w:w="90" w:type="dxa"/>
              <w:start w:w="100" w:type="dxa"/>
              <w:bottom w:w="90" w:type="dxa"/>
              <w:end w:w="100" w:type="dxa"/>
            </w:tcMar>
          </w:tcPr>
          <w:p>
            <w:pPr>
              <w:keepNext w:val="0"/>
              <w:spacing w:after="0" w:line="259" w:lineRule="auto"/>
            </w:pPr>
            <w:r>
              <w:rPr>
                <w:rFonts w:ascii="Arial" w:hAnsi="Arial" w:eastAsia="Arial"/>
                <w:color w:val="111815"/>
                <w:sz w:val="15"/>
              </w:rPr>
              <w:t>Source kind and locator</w:t>
            </w:r>
          </w:p>
        </w:tc>
        <w:tc>
          <w:tcPr>
            <w:tcW w:type="dxa" w:w="3240"/>
            <w:vAlign w:val="center"/>
            <w:tcMar>
              <w:top w:w="90" w:type="dxa"/>
              <w:start w:w="100" w:type="dxa"/>
              <w:bottom w:w="90" w:type="dxa"/>
              <w:end w:w="100" w:type="dxa"/>
            </w:tcMar>
          </w:tcPr>
          <w:p>
            <w:pPr>
              <w:spacing w:after="0" w:line="259" w:lineRule="auto"/>
            </w:pPr>
            <w:r>
              <w:rPr>
                <w:rFonts w:ascii="Arial" w:hAnsi="Arial" w:eastAsia="Arial"/>
                <w:color w:val="111815"/>
                <w:sz w:val="15"/>
              </w:rPr>
              <w:t>Which upload, SQL table, API, web page, calculation, or fixture supports it</w:t>
            </w:r>
          </w:p>
        </w:tc>
        <w:tc>
          <w:tcPr>
            <w:tcW w:type="dxa" w:w="4680"/>
            <w:vAlign w:val="center"/>
            <w:tcMar>
              <w:top w:w="90" w:type="dxa"/>
              <w:start w:w="100" w:type="dxa"/>
              <w:bottom w:w="90" w:type="dxa"/>
              <w:end w:w="100" w:type="dxa"/>
            </w:tcMar>
          </w:tcPr>
          <w:p>
            <w:pPr>
              <w:spacing w:after="0" w:line="259" w:lineRule="auto"/>
            </w:pPr>
            <w:r>
              <w:rPr>
                <w:rFonts w:ascii="Arial" w:hAnsi="Arial" w:eastAsia="Arial"/>
                <w:color w:val="111815"/>
                <w:sz w:val="15"/>
              </w:rPr>
              <w:t>Uses a bounded fixture locator and says when no source is connected</w:t>
            </w:r>
          </w:p>
        </w:tc>
      </w:tr>
      <w:tr>
        <w:trPr>
          <w:cantSplit/>
        </w:trPr>
        <w:tc>
          <w:tcPr>
            <w:tcW w:type="dxa" w:w="2088"/>
            <w:vAlign w:val="center"/>
            <w:tcMar>
              <w:top w:w="90" w:type="dxa"/>
              <w:start w:w="100" w:type="dxa"/>
              <w:bottom w:w="90" w:type="dxa"/>
              <w:end w:w="100" w:type="dxa"/>
            </w:tcMar>
            <w:shd w:fill="F4F5F1"/>
          </w:tcPr>
          <w:p>
            <w:pPr>
              <w:keepNext w:val="0"/>
              <w:spacing w:after="0" w:line="259" w:lineRule="auto"/>
            </w:pPr>
            <w:r>
              <w:rPr>
                <w:rFonts w:ascii="Arial" w:hAnsi="Arial" w:eastAsia="Arial"/>
                <w:color w:val="111815"/>
                <w:sz w:val="15"/>
              </w:rPr>
              <w:t>As of and valid for</w:t>
            </w:r>
          </w:p>
        </w:tc>
        <w:tc>
          <w:tcPr>
            <w:tcW w:type="dxa" w:w="3240"/>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When was it true and for which period or decision window</w:t>
            </w:r>
          </w:p>
        </w:tc>
        <w:tc>
          <w:tcPr>
            <w:tcW w:type="dxa" w:w="4680"/>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Uses a fixed concept timestamp and validity statement</w:t>
            </w:r>
          </w:p>
        </w:tc>
      </w:tr>
      <w:tr>
        <w:trPr>
          <w:cantSplit/>
        </w:trPr>
        <w:tc>
          <w:tcPr>
            <w:tcW w:type="dxa" w:w="2088"/>
            <w:vAlign w:val="center"/>
            <w:tcMar>
              <w:top w:w="90" w:type="dxa"/>
              <w:start w:w="100" w:type="dxa"/>
              <w:bottom w:w="90" w:type="dxa"/>
              <w:end w:w="100" w:type="dxa"/>
            </w:tcMar>
          </w:tcPr>
          <w:p>
            <w:pPr>
              <w:keepNext w:val="0"/>
              <w:spacing w:after="0" w:line="259" w:lineRule="auto"/>
            </w:pPr>
            <w:r>
              <w:rPr>
                <w:rFonts w:ascii="Arial" w:hAnsi="Arial" w:eastAsia="Arial"/>
                <w:color w:val="111815"/>
                <w:sz w:val="15"/>
              </w:rPr>
              <w:t>Version and fingerprint</w:t>
            </w:r>
          </w:p>
        </w:tc>
        <w:tc>
          <w:tcPr>
            <w:tcW w:type="dxa" w:w="3240"/>
            <w:vAlign w:val="center"/>
            <w:tcMar>
              <w:top w:w="90" w:type="dxa"/>
              <w:start w:w="100" w:type="dxa"/>
              <w:bottom w:w="90" w:type="dxa"/>
              <w:end w:w="100" w:type="dxa"/>
            </w:tcMar>
          </w:tcPr>
          <w:p>
            <w:pPr>
              <w:spacing w:after="0" w:line="259" w:lineRule="auto"/>
            </w:pPr>
            <w:r>
              <w:rPr>
                <w:rFonts w:ascii="Arial" w:hAnsi="Arial" w:eastAsia="Arial"/>
                <w:color w:val="111815"/>
                <w:sz w:val="15"/>
              </w:rPr>
              <w:t>Which data or model version produced it</w:t>
            </w:r>
          </w:p>
        </w:tc>
        <w:tc>
          <w:tcPr>
            <w:tcW w:type="dxa" w:w="4680"/>
            <w:vAlign w:val="center"/>
            <w:tcMar>
              <w:top w:w="90" w:type="dxa"/>
              <w:start w:w="100" w:type="dxa"/>
              <w:bottom w:w="90" w:type="dxa"/>
              <w:end w:w="100" w:type="dxa"/>
            </w:tcMar>
          </w:tcPr>
          <w:p>
            <w:pPr>
              <w:spacing w:after="0" w:line="259" w:lineRule="auto"/>
            </w:pPr>
            <w:r>
              <w:rPr>
                <w:rFonts w:ascii="Arial" w:hAnsi="Arial" w:eastAsia="Arial"/>
                <w:color w:val="111815"/>
                <w:sz w:val="15"/>
              </w:rPr>
              <w:t>Uses a fixture version and evidence fingerprint, not a cryptographic content hash claim</w:t>
            </w:r>
          </w:p>
        </w:tc>
      </w:tr>
      <w:tr>
        <w:trPr>
          <w:cantSplit/>
        </w:trPr>
        <w:tc>
          <w:tcPr>
            <w:tcW w:type="dxa" w:w="2088"/>
            <w:vAlign w:val="center"/>
            <w:tcMar>
              <w:top w:w="90" w:type="dxa"/>
              <w:start w:w="100" w:type="dxa"/>
              <w:bottom w:w="90" w:type="dxa"/>
              <w:end w:w="100" w:type="dxa"/>
            </w:tcMar>
            <w:shd w:fill="F4F5F1"/>
          </w:tcPr>
          <w:p>
            <w:pPr>
              <w:keepNext w:val="0"/>
              <w:spacing w:after="0" w:line="259" w:lineRule="auto"/>
            </w:pPr>
            <w:r>
              <w:rPr>
                <w:rFonts w:ascii="Arial" w:hAnsi="Arial" w:eastAsia="Arial"/>
                <w:color w:val="111815"/>
                <w:sz w:val="15"/>
              </w:rPr>
              <w:t>Formula and inputs</w:t>
            </w:r>
          </w:p>
        </w:tc>
        <w:tc>
          <w:tcPr>
            <w:tcW w:type="dxa" w:w="3240"/>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How was the value derived</w:t>
            </w:r>
          </w:p>
        </w:tc>
        <w:tc>
          <w:tcPr>
            <w:tcW w:type="dxa" w:w="4680"/>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Lists the illustrative calculation and referenced input IDs</w:t>
            </w:r>
          </w:p>
        </w:tc>
      </w:tr>
      <w:tr>
        <w:trPr>
          <w:cantSplit/>
        </w:trPr>
        <w:tc>
          <w:tcPr>
            <w:tcW w:type="dxa" w:w="2088"/>
            <w:vAlign w:val="center"/>
            <w:tcMar>
              <w:top w:w="90" w:type="dxa"/>
              <w:start w:w="100" w:type="dxa"/>
              <w:bottom w:w="90" w:type="dxa"/>
              <w:end w:w="100" w:type="dxa"/>
            </w:tcMar>
          </w:tcPr>
          <w:p>
            <w:pPr>
              <w:keepNext w:val="0"/>
              <w:spacing w:after="0" w:line="259" w:lineRule="auto"/>
            </w:pPr>
            <w:r>
              <w:rPr>
                <w:rFonts w:ascii="Arial" w:hAnsi="Arial" w:eastAsia="Arial"/>
                <w:color w:val="111815"/>
                <w:sz w:val="15"/>
              </w:rPr>
              <w:t>Variable ID and grain</w:t>
            </w:r>
          </w:p>
        </w:tc>
        <w:tc>
          <w:tcPr>
            <w:tcW w:type="dxa" w:w="3240"/>
            <w:vAlign w:val="center"/>
            <w:tcMar>
              <w:top w:w="90" w:type="dxa"/>
              <w:start w:w="100" w:type="dxa"/>
              <w:bottom w:w="90" w:type="dxa"/>
              <w:end w:w="100" w:type="dxa"/>
            </w:tcMar>
          </w:tcPr>
          <w:p>
            <w:pPr>
              <w:spacing w:after="0" w:line="259" w:lineRule="auto"/>
            </w:pPr>
            <w:r>
              <w:rPr>
                <w:rFonts w:ascii="Arial" w:hAnsi="Arial" w:eastAsia="Arial"/>
                <w:color w:val="111815"/>
                <w:sz w:val="15"/>
              </w:rPr>
              <w:t>Which taxonomy variable and business grain does it represent</w:t>
            </w:r>
          </w:p>
        </w:tc>
        <w:tc>
          <w:tcPr>
            <w:tcW w:type="dxa" w:w="4680"/>
            <w:vAlign w:val="center"/>
            <w:tcMar>
              <w:top w:w="90" w:type="dxa"/>
              <w:start w:w="100" w:type="dxa"/>
              <w:bottom w:w="90" w:type="dxa"/>
              <w:end w:w="100" w:type="dxa"/>
            </w:tcMar>
          </w:tcPr>
          <w:p>
            <w:pPr>
              <w:spacing w:after="0" w:line="259" w:lineRule="auto"/>
            </w:pPr>
            <w:r>
              <w:rPr>
                <w:rFonts w:ascii="Arial" w:hAnsi="Arial" w:eastAsia="Arial"/>
                <w:color w:val="111815"/>
                <w:sz w:val="15"/>
              </w:rPr>
              <w:t>Uses project-specific L2 L1 L0 packs and a stated synthetic grain</w:t>
            </w:r>
          </w:p>
        </w:tc>
      </w:tr>
      <w:tr>
        <w:trPr>
          <w:cantSplit/>
        </w:trPr>
        <w:tc>
          <w:tcPr>
            <w:tcW w:type="dxa" w:w="2088"/>
            <w:vAlign w:val="center"/>
            <w:tcMar>
              <w:top w:w="90" w:type="dxa"/>
              <w:start w:w="100" w:type="dxa"/>
              <w:bottom w:w="90" w:type="dxa"/>
              <w:end w:w="100" w:type="dxa"/>
            </w:tcMar>
            <w:shd w:fill="F4F5F1"/>
          </w:tcPr>
          <w:p>
            <w:pPr>
              <w:keepNext w:val="0"/>
              <w:spacing w:after="0" w:line="259" w:lineRule="auto"/>
            </w:pPr>
            <w:r>
              <w:rPr>
                <w:rFonts w:ascii="Arial" w:hAnsi="Arial" w:eastAsia="Arial"/>
                <w:color w:val="111815"/>
                <w:sz w:val="15"/>
              </w:rPr>
              <w:t>Confidence and quality</w:t>
            </w:r>
          </w:p>
        </w:tc>
        <w:tc>
          <w:tcPr>
            <w:tcW w:type="dxa" w:w="3240"/>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How certain is it and what quality warnings apply</w:t>
            </w:r>
          </w:p>
        </w:tc>
        <w:tc>
          <w:tcPr>
            <w:tcW w:type="dxa" w:w="4680"/>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Fails closed for unknown or foreign-project references</w:t>
            </w:r>
          </w:p>
        </w:tc>
      </w:tr>
      <w:tr>
        <w:trPr>
          <w:cantSplit/>
        </w:trPr>
        <w:tc>
          <w:tcPr>
            <w:tcW w:type="dxa" w:w="2088"/>
            <w:vAlign w:val="center"/>
            <w:tcMar>
              <w:top w:w="90" w:type="dxa"/>
              <w:start w:w="100" w:type="dxa"/>
              <w:bottom w:w="90" w:type="dxa"/>
              <w:end w:w="100" w:type="dxa"/>
            </w:tcMar>
          </w:tcPr>
          <w:p>
            <w:pPr>
              <w:keepNext w:val="0"/>
              <w:spacing w:after="0" w:line="259" w:lineRule="auto"/>
            </w:pPr>
            <w:r>
              <w:rPr>
                <w:rFonts w:ascii="Arial" w:hAnsi="Arial" w:eastAsia="Arial"/>
                <w:color w:val="111815"/>
                <w:sz w:val="15"/>
              </w:rPr>
              <w:t>Trace agent and reviewer</w:t>
            </w:r>
          </w:p>
        </w:tc>
        <w:tc>
          <w:tcPr>
            <w:tcW w:type="dxa" w:w="3240"/>
            <w:vAlign w:val="center"/>
            <w:tcMar>
              <w:top w:w="90" w:type="dxa"/>
              <w:start w:w="100" w:type="dxa"/>
              <w:bottom w:w="90" w:type="dxa"/>
              <w:end w:w="100" w:type="dxa"/>
            </w:tcMar>
          </w:tcPr>
          <w:p>
            <w:pPr>
              <w:spacing w:after="0" w:line="259" w:lineRule="auto"/>
            </w:pPr>
            <w:r>
              <w:rPr>
                <w:rFonts w:ascii="Arial" w:hAnsi="Arial" w:eastAsia="Arial"/>
                <w:color w:val="111815"/>
                <w:sz w:val="15"/>
              </w:rPr>
              <w:t>Which worker produced it and who reviewed it</w:t>
            </w:r>
          </w:p>
        </w:tc>
        <w:tc>
          <w:tcPr>
            <w:tcW w:type="dxa" w:w="4680"/>
            <w:vAlign w:val="center"/>
            <w:tcMar>
              <w:top w:w="90" w:type="dxa"/>
              <w:start w:w="100" w:type="dxa"/>
              <w:bottom w:w="90" w:type="dxa"/>
              <w:end w:w="100" w:type="dxa"/>
            </w:tcMar>
          </w:tcPr>
          <w:p>
            <w:pPr>
              <w:spacing w:after="0" w:line="259" w:lineRule="auto"/>
            </w:pPr>
            <w:r>
              <w:rPr>
                <w:rFonts w:ascii="Arial" w:hAnsi="Arial" w:eastAsia="Arial"/>
                <w:color w:val="111815"/>
                <w:sz w:val="15"/>
              </w:rPr>
              <w:t>Names a synthetic playback agent and shows Unreviewed when no review exists</w:t>
            </w:r>
          </w:p>
        </w:tc>
      </w:tr>
      <w:tr>
        <w:trPr>
          <w:cantSplit/>
        </w:trPr>
        <w:tc>
          <w:tcPr>
            <w:tcW w:type="dxa" w:w="2088"/>
            <w:vAlign w:val="center"/>
            <w:tcMar>
              <w:top w:w="90" w:type="dxa"/>
              <w:start w:w="100" w:type="dxa"/>
              <w:bottom w:w="90" w:type="dxa"/>
              <w:end w:w="100" w:type="dxa"/>
            </w:tcMar>
            <w:shd w:fill="F4F5F1"/>
          </w:tcPr>
          <w:p>
            <w:pPr>
              <w:keepNext w:val="0"/>
              <w:spacing w:after="0" w:line="259" w:lineRule="auto"/>
            </w:pPr>
            <w:r>
              <w:rPr>
                <w:rFonts w:ascii="Arial" w:hAnsi="Arial" w:eastAsia="Arial"/>
                <w:color w:val="111815"/>
                <w:sz w:val="15"/>
              </w:rPr>
              <w:t>Access</w:t>
            </w:r>
          </w:p>
        </w:tc>
        <w:tc>
          <w:tcPr>
            <w:tcW w:type="dxa" w:w="3240"/>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Who may see the evidence</w:t>
            </w:r>
          </w:p>
        </w:tc>
        <w:tc>
          <w:tcPr>
            <w:tcW w:type="dxa" w:w="4680"/>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Shows the client and project boundary; backend enforcement remains future work</w:t>
            </w:r>
          </w:p>
        </w:tc>
      </w:tr>
    </w:tbl>
    <w:p>
      <w:pPr>
        <w:spacing w:after="0" w:before="0"/>
      </w:pPr>
    </w:p>
    <w:p>
      <w:pPr>
        <w:pStyle w:val="Heading2"/>
        <w:keepNext/>
      </w:pPr>
      <w:r>
        <w:t>Where receipts appear</w:t>
      </w:r>
    </w:p>
    <w:p>
      <w:pPr>
        <w:pStyle w:val="ListBullet"/>
      </w:pPr>
      <w:r>
        <w:t>Overview KPIs and app studio metrics open the full evidence drawer.</w:t>
      </w:r>
    </w:p>
    <w:p>
      <w:pPr>
        <w:pStyle w:val="ListBullet"/>
      </w:pPr>
      <w:r>
        <w:t>Decision evidence, scenarios, outcomes, and app method or control facts create a browser-session action receipt.</w:t>
      </w:r>
    </w:p>
    <w:p>
      <w:pPr>
        <w:pStyle w:val="ListBullet"/>
      </w:pPr>
      <w:r>
        <w:t>Knowledge graph nodes and trace steps point back to project receipts.</w:t>
      </w:r>
    </w:p>
    <w:p>
      <w:pPr>
        <w:pStyle w:val="ListBullet"/>
      </w:pPr>
      <w:r>
        <w:t>Operations World dependency, route, and value intakes retain the selected entity, frame, scenario, and evidence key when starting a project.</w:t>
      </w:r>
    </w:p>
    <w:p>
      <w:pPr>
        <w:pStyle w:val="ListBullet"/>
      </w:pPr>
      <w:r>
        <w:t>Unknown evidence IDs show Not found with zero confidence. A receipt from a different project is not reused.</w:t>
      </w:r>
    </w:p>
    <w:p>
      <w:r>
        <w:br w:type="page"/>
      </w:r>
    </w:p>
    <w:p>
      <w:pPr>
        <w:spacing w:after="100"/>
      </w:pPr>
      <w:r>
        <w:rPr>
          <w:rFonts w:ascii="Arial" w:hAnsi="Arial" w:eastAsia="Arial"/>
          <w:b/>
          <w:color w:val="FF6B35"/>
          <w:sz w:val="17"/>
        </w:rPr>
        <w:t>PROJECT DATA</w:t>
      </w:r>
    </w:p>
    <w:p>
      <w:pPr>
        <w:pStyle w:val="Heading1"/>
        <w:keepNext/>
      </w:pPr>
      <w:r>
        <w:t>Stage project-owned data</w:t>
      </w:r>
    </w:p>
    <w:p>
      <w:pPr>
        <w:spacing w:after="200"/>
      </w:pPr>
      <w:r>
        <w:t>Project data is inside the project workspace. The concept demonstrates the user journey without reading or persisting the selected file.</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541"/>
        <w:gridCol w:w="2541"/>
        <w:gridCol w:w="2541"/>
        <w:gridCol w:w="2541"/>
      </w:tblGrid>
      <w:tr>
        <w:trPr>
          <w:tblHeader w:val="true"/>
          <w:cantSplit/>
        </w:trPr>
        <w:tc>
          <w:tcPr>
            <w:tcW w:type="dxa" w:w="1267"/>
            <w:vAlign w:val="center"/>
            <w:tcMar>
              <w:top w:w="90" w:type="dxa"/>
              <w:start w:w="100" w:type="dxa"/>
              <w:bottom w:w="90" w:type="dxa"/>
              <w:end w:w="100" w:type="dxa"/>
            </w:tcMar>
            <w:shd w:fill="111815"/>
          </w:tcPr>
          <w:p>
            <w:pPr>
              <w:spacing w:after="0" w:line="259" w:lineRule="auto"/>
            </w:pPr>
            <w:r>
              <w:rPr>
                <w:rFonts w:ascii="Arial" w:hAnsi="Arial" w:eastAsia="Arial"/>
                <w:b/>
                <w:color w:val="FFFFFF"/>
                <w:sz w:val="16"/>
              </w:rPr>
              <w:t>Stage</w:t>
            </w:r>
          </w:p>
        </w:tc>
        <w:tc>
          <w:tcPr>
            <w:tcW w:type="dxa" w:w="2448"/>
            <w:vAlign w:val="center"/>
            <w:tcMar>
              <w:top w:w="90" w:type="dxa"/>
              <w:start w:w="100" w:type="dxa"/>
              <w:bottom w:w="90" w:type="dxa"/>
              <w:end w:w="100" w:type="dxa"/>
            </w:tcMar>
            <w:shd w:fill="111815"/>
          </w:tcPr>
          <w:p>
            <w:pPr>
              <w:spacing w:after="0" w:line="259" w:lineRule="auto"/>
            </w:pPr>
            <w:r>
              <w:rPr>
                <w:rFonts w:ascii="Arial" w:hAnsi="Arial" w:eastAsia="Arial"/>
                <w:b/>
                <w:color w:val="FFFFFF"/>
                <w:sz w:val="16"/>
              </w:rPr>
              <w:t>User action</w:t>
            </w:r>
          </w:p>
        </w:tc>
        <w:tc>
          <w:tcPr>
            <w:tcW w:type="dxa" w:w="3816"/>
            <w:vAlign w:val="center"/>
            <w:tcMar>
              <w:top w:w="90" w:type="dxa"/>
              <w:start w:w="100" w:type="dxa"/>
              <w:bottom w:w="90" w:type="dxa"/>
              <w:end w:w="100" w:type="dxa"/>
            </w:tcMar>
            <w:shd w:fill="111815"/>
          </w:tcPr>
          <w:p>
            <w:pPr>
              <w:spacing w:after="0" w:line="259" w:lineRule="auto"/>
            </w:pPr>
            <w:r>
              <w:rPr>
                <w:rFonts w:ascii="Arial" w:hAnsi="Arial" w:eastAsia="Arial"/>
                <w:b/>
                <w:color w:val="FFFFFF"/>
                <w:sz w:val="16"/>
              </w:rPr>
              <w:t>Displayed result</w:t>
            </w:r>
          </w:p>
        </w:tc>
        <w:tc>
          <w:tcPr>
            <w:tcW w:type="dxa" w:w="2477"/>
            <w:vAlign w:val="center"/>
            <w:tcMar>
              <w:top w:w="90" w:type="dxa"/>
              <w:start w:w="100" w:type="dxa"/>
              <w:bottom w:w="90" w:type="dxa"/>
              <w:end w:w="100" w:type="dxa"/>
            </w:tcMar>
            <w:shd w:fill="111815"/>
          </w:tcPr>
          <w:p>
            <w:pPr>
              <w:spacing w:after="0" w:line="259" w:lineRule="auto"/>
            </w:pPr>
            <w:r>
              <w:rPr>
                <w:rFonts w:ascii="Arial" w:hAnsi="Arial" w:eastAsia="Arial"/>
                <w:b/>
                <w:color w:val="FFFFFF"/>
                <w:sz w:val="16"/>
              </w:rPr>
              <w:t>Production requirement</w:t>
            </w:r>
          </w:p>
        </w:tc>
      </w:tr>
      <w:tr>
        <w:trPr>
          <w:cantSplit/>
        </w:trPr>
        <w:tc>
          <w:tcPr>
            <w:tcW w:type="dxa" w:w="1267"/>
            <w:vAlign w:val="center"/>
            <w:tcMar>
              <w:top w:w="90" w:type="dxa"/>
              <w:start w:w="100" w:type="dxa"/>
              <w:bottom w:w="90" w:type="dxa"/>
              <w:end w:w="100" w:type="dxa"/>
            </w:tcMar>
          </w:tcPr>
          <w:p>
            <w:pPr>
              <w:keepNext w:val="0"/>
              <w:spacing w:after="0" w:line="259" w:lineRule="auto"/>
            </w:pPr>
            <w:r>
              <w:rPr>
                <w:rFonts w:ascii="Arial" w:hAnsi="Arial" w:eastAsia="Arial"/>
                <w:color w:val="111815"/>
                <w:sz w:val="16"/>
              </w:rPr>
              <w:t>Select</w:t>
            </w:r>
          </w:p>
        </w:tc>
        <w:tc>
          <w:tcPr>
            <w:tcW w:type="dxa" w:w="2448"/>
            <w:vAlign w:val="center"/>
            <w:tcMar>
              <w:top w:w="90" w:type="dxa"/>
              <w:start w:w="100" w:type="dxa"/>
              <w:bottom w:w="90" w:type="dxa"/>
              <w:end w:w="100" w:type="dxa"/>
            </w:tcMar>
          </w:tcPr>
          <w:p>
            <w:pPr>
              <w:spacing w:after="0" w:line="259" w:lineRule="auto"/>
            </w:pPr>
            <w:r>
              <w:rPr>
                <w:rFonts w:ascii="Arial" w:hAnsi="Arial" w:eastAsia="Arial"/>
                <w:color w:val="111815"/>
                <w:sz w:val="16"/>
              </w:rPr>
              <w:t>Choose a local file or use the provided sample</w:t>
            </w:r>
          </w:p>
        </w:tc>
        <w:tc>
          <w:tcPr>
            <w:tcW w:type="dxa" w:w="3816"/>
            <w:vAlign w:val="center"/>
            <w:tcMar>
              <w:top w:w="90" w:type="dxa"/>
              <w:start w:w="100" w:type="dxa"/>
              <w:bottom w:w="90" w:type="dxa"/>
              <w:end w:w="100" w:type="dxa"/>
            </w:tcMar>
          </w:tcPr>
          <w:p>
            <w:pPr>
              <w:spacing w:after="0" w:line="259" w:lineRule="auto"/>
            </w:pPr>
            <w:r>
              <w:rPr>
                <w:rFonts w:ascii="Arial" w:hAnsi="Arial" w:eastAsia="Arial"/>
                <w:color w:val="111815"/>
                <w:sz w:val="16"/>
              </w:rPr>
              <w:t>Only the file name is captured in browser memory</w:t>
            </w:r>
          </w:p>
        </w:tc>
        <w:tc>
          <w:tcPr>
            <w:tcW w:type="dxa" w:w="2477"/>
            <w:vAlign w:val="center"/>
            <w:tcMar>
              <w:top w:w="90" w:type="dxa"/>
              <w:start w:w="100" w:type="dxa"/>
              <w:bottom w:w="90" w:type="dxa"/>
              <w:end w:w="100" w:type="dxa"/>
            </w:tcMar>
          </w:tcPr>
          <w:p>
            <w:pPr>
              <w:spacing w:after="0" w:line="259" w:lineRule="auto"/>
            </w:pPr>
            <w:r>
              <w:rPr>
                <w:rFonts w:ascii="Arial" w:hAnsi="Arial" w:eastAsia="Arial"/>
                <w:color w:val="111815"/>
                <w:sz w:val="16"/>
              </w:rPr>
              <w:t>Encrypted upload, malware scanning, type limits, tenant authorization</w:t>
            </w:r>
          </w:p>
        </w:tc>
      </w:tr>
      <w:tr>
        <w:trPr>
          <w:cantSplit/>
        </w:trPr>
        <w:tc>
          <w:tcPr>
            <w:tcW w:type="dxa" w:w="1267"/>
            <w:vAlign w:val="center"/>
            <w:tcMar>
              <w:top w:w="90" w:type="dxa"/>
              <w:start w:w="100" w:type="dxa"/>
              <w:bottom w:w="90" w:type="dxa"/>
              <w:end w:w="100" w:type="dxa"/>
            </w:tcMar>
            <w:shd w:fill="F4F5F1"/>
          </w:tcPr>
          <w:p>
            <w:pPr>
              <w:keepNext w:val="0"/>
              <w:spacing w:after="0" w:line="259" w:lineRule="auto"/>
            </w:pPr>
            <w:r>
              <w:rPr>
                <w:rFonts w:ascii="Arial" w:hAnsi="Arial" w:eastAsia="Arial"/>
                <w:color w:val="111815"/>
                <w:sz w:val="16"/>
              </w:rPr>
              <w:t>Staged</w:t>
            </w:r>
          </w:p>
        </w:tc>
        <w:tc>
          <w:tcPr>
            <w:tcW w:type="dxa" w:w="2448"/>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Confirm the chosen data product</w:t>
            </w:r>
          </w:p>
        </w:tc>
        <w:tc>
          <w:tcPr>
            <w:tcW w:type="dxa" w:w="3816"/>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Project, classification, owner, and proposed dataset name</w:t>
            </w:r>
          </w:p>
        </w:tc>
        <w:tc>
          <w:tcPr>
            <w:tcW w:type="dxa" w:w="2477"/>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Object storage, immutable receipt, consent and retention policy</w:t>
            </w:r>
          </w:p>
        </w:tc>
      </w:tr>
      <w:tr>
        <w:trPr>
          <w:cantSplit/>
        </w:trPr>
        <w:tc>
          <w:tcPr>
            <w:tcW w:type="dxa" w:w="1267"/>
            <w:vAlign w:val="center"/>
            <w:tcMar>
              <w:top w:w="90" w:type="dxa"/>
              <w:start w:w="100" w:type="dxa"/>
              <w:bottom w:w="90" w:type="dxa"/>
              <w:end w:w="100" w:type="dxa"/>
            </w:tcMar>
          </w:tcPr>
          <w:p>
            <w:pPr>
              <w:keepNext w:val="0"/>
              <w:spacing w:after="0" w:line="259" w:lineRule="auto"/>
            </w:pPr>
            <w:r>
              <w:rPr>
                <w:rFonts w:ascii="Arial" w:hAnsi="Arial" w:eastAsia="Arial"/>
                <w:color w:val="111815"/>
                <w:sz w:val="16"/>
              </w:rPr>
              <w:t>Schema preview</w:t>
            </w:r>
          </w:p>
        </w:tc>
        <w:tc>
          <w:tcPr>
            <w:tcW w:type="dxa" w:w="2448"/>
            <w:vAlign w:val="center"/>
            <w:tcMar>
              <w:top w:w="90" w:type="dxa"/>
              <w:start w:w="100" w:type="dxa"/>
              <w:bottom w:w="90" w:type="dxa"/>
              <w:end w:w="100" w:type="dxa"/>
            </w:tcMar>
          </w:tcPr>
          <w:p>
            <w:pPr>
              <w:spacing w:after="0" w:line="259" w:lineRule="auto"/>
            </w:pPr>
            <w:r>
              <w:rPr>
                <w:rFonts w:ascii="Arial" w:hAnsi="Arial" w:eastAsia="Arial"/>
                <w:color w:val="111815"/>
                <w:sz w:val="16"/>
              </w:rPr>
              <w:t>Advance the demonstration</w:t>
            </w:r>
          </w:p>
        </w:tc>
        <w:tc>
          <w:tcPr>
            <w:tcW w:type="dxa" w:w="3816"/>
            <w:vAlign w:val="center"/>
            <w:tcMar>
              <w:top w:w="90" w:type="dxa"/>
              <w:start w:w="100" w:type="dxa"/>
              <w:bottom w:w="90" w:type="dxa"/>
              <w:end w:w="100" w:type="dxa"/>
            </w:tcMar>
          </w:tcPr>
          <w:p>
            <w:pPr>
              <w:spacing w:after="0" w:line="259" w:lineRule="auto"/>
            </w:pPr>
            <w:r>
              <w:rPr>
                <w:rFonts w:ascii="Arial" w:hAnsi="Arial" w:eastAsia="Arial"/>
                <w:color w:val="111815"/>
                <w:sz w:val="16"/>
              </w:rPr>
              <w:t>Illustrative columns, types, grain, and sample scale</w:t>
            </w:r>
          </w:p>
        </w:tc>
        <w:tc>
          <w:tcPr>
            <w:tcW w:type="dxa" w:w="2477"/>
            <w:vAlign w:val="center"/>
            <w:tcMar>
              <w:top w:w="90" w:type="dxa"/>
              <w:start w:w="100" w:type="dxa"/>
              <w:bottom w:w="90" w:type="dxa"/>
              <w:end w:w="100" w:type="dxa"/>
            </w:tcMar>
          </w:tcPr>
          <w:p>
            <w:pPr>
              <w:spacing w:after="0" w:line="259" w:lineRule="auto"/>
            </w:pPr>
            <w:r>
              <w:rPr>
                <w:rFonts w:ascii="Arial" w:hAnsi="Arial" w:eastAsia="Arial"/>
                <w:color w:val="111815"/>
                <w:sz w:val="16"/>
              </w:rPr>
              <w:t>Actual parser, schema registry, PII detection, quarantine</w:t>
            </w:r>
          </w:p>
        </w:tc>
      </w:tr>
      <w:tr>
        <w:trPr>
          <w:cantSplit/>
        </w:trPr>
        <w:tc>
          <w:tcPr>
            <w:tcW w:type="dxa" w:w="1267"/>
            <w:vAlign w:val="center"/>
            <w:tcMar>
              <w:top w:w="90" w:type="dxa"/>
              <w:start w:w="100" w:type="dxa"/>
              <w:bottom w:w="90" w:type="dxa"/>
              <w:end w:w="100" w:type="dxa"/>
            </w:tcMar>
            <w:shd w:fill="F4F5F1"/>
          </w:tcPr>
          <w:p>
            <w:pPr>
              <w:keepNext w:val="0"/>
              <w:spacing w:after="0" w:line="259" w:lineRule="auto"/>
            </w:pPr>
            <w:r>
              <w:rPr>
                <w:rFonts w:ascii="Arial" w:hAnsi="Arial" w:eastAsia="Arial"/>
                <w:color w:val="111815"/>
                <w:sz w:val="16"/>
              </w:rPr>
              <w:t>Mapping draft</w:t>
            </w:r>
          </w:p>
        </w:tc>
        <w:tc>
          <w:tcPr>
            <w:tcW w:type="dxa" w:w="2448"/>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Review proposed taxonomy mappings</w:t>
            </w:r>
          </w:p>
        </w:tc>
        <w:tc>
          <w:tcPr>
            <w:tcW w:type="dxa" w:w="3816"/>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Synthetic L0 mappings and expected entity keys</w:t>
            </w:r>
          </w:p>
        </w:tc>
        <w:tc>
          <w:tcPr>
            <w:tcW w:type="dxa" w:w="2477"/>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Human-reviewed semantic mapping and version control</w:t>
            </w:r>
          </w:p>
        </w:tc>
      </w:tr>
      <w:tr>
        <w:trPr>
          <w:cantSplit/>
        </w:trPr>
        <w:tc>
          <w:tcPr>
            <w:tcW w:type="dxa" w:w="1267"/>
            <w:vAlign w:val="center"/>
            <w:tcMar>
              <w:top w:w="90" w:type="dxa"/>
              <w:start w:w="100" w:type="dxa"/>
              <w:bottom w:w="90" w:type="dxa"/>
              <w:end w:w="100" w:type="dxa"/>
            </w:tcMar>
          </w:tcPr>
          <w:p>
            <w:pPr>
              <w:keepNext w:val="0"/>
              <w:spacing w:after="0" w:line="259" w:lineRule="auto"/>
            </w:pPr>
            <w:r>
              <w:rPr>
                <w:rFonts w:ascii="Arial" w:hAnsi="Arial" w:eastAsia="Arial"/>
                <w:color w:val="111815"/>
                <w:sz w:val="16"/>
              </w:rPr>
              <w:t>Review demo</w:t>
            </w:r>
          </w:p>
        </w:tc>
        <w:tc>
          <w:tcPr>
            <w:tcW w:type="dxa" w:w="2448"/>
            <w:vAlign w:val="center"/>
            <w:tcMar>
              <w:top w:w="90" w:type="dxa"/>
              <w:start w:w="100" w:type="dxa"/>
              <w:bottom w:w="90" w:type="dxa"/>
              <w:end w:w="100" w:type="dxa"/>
            </w:tcMar>
          </w:tcPr>
          <w:p>
            <w:pPr>
              <w:spacing w:after="0" w:line="259" w:lineRule="auto"/>
            </w:pPr>
            <w:r>
              <w:rPr>
                <w:rFonts w:ascii="Arial" w:hAnsi="Arial" w:eastAsia="Arial"/>
                <w:color w:val="111815"/>
                <w:sz w:val="16"/>
              </w:rPr>
              <w:t>Inspect validation and project boundary</w:t>
            </w:r>
          </w:p>
        </w:tc>
        <w:tc>
          <w:tcPr>
            <w:tcW w:type="dxa" w:w="3816"/>
            <w:vAlign w:val="center"/>
            <w:tcMar>
              <w:top w:w="90" w:type="dxa"/>
              <w:start w:w="100" w:type="dxa"/>
              <w:bottom w:w="90" w:type="dxa"/>
              <w:end w:w="100" w:type="dxa"/>
            </w:tcMar>
          </w:tcPr>
          <w:p>
            <w:pPr>
              <w:spacing w:after="0" w:line="259" w:lineRule="auto"/>
            </w:pPr>
            <w:r>
              <w:rPr>
                <w:rFonts w:ascii="Arial" w:hAnsi="Arial" w:eastAsia="Arial"/>
                <w:color w:val="111815"/>
                <w:sz w:val="16"/>
              </w:rPr>
              <w:t>Fixture quality checks and approval gate</w:t>
            </w:r>
          </w:p>
        </w:tc>
        <w:tc>
          <w:tcPr>
            <w:tcW w:type="dxa" w:w="2477"/>
            <w:vAlign w:val="center"/>
            <w:tcMar>
              <w:top w:w="90" w:type="dxa"/>
              <w:start w:w="100" w:type="dxa"/>
              <w:bottom w:w="90" w:type="dxa"/>
              <w:end w:w="100" w:type="dxa"/>
            </w:tcMar>
          </w:tcPr>
          <w:p>
            <w:pPr>
              <w:spacing w:after="0" w:line="259" w:lineRule="auto"/>
            </w:pPr>
            <w:r>
              <w:rPr>
                <w:rFonts w:ascii="Arial" w:hAnsi="Arial" w:eastAsia="Arial"/>
                <w:color w:val="111815"/>
                <w:sz w:val="16"/>
              </w:rPr>
              <w:t>Data steward workflow, access policy, quality service</w:t>
            </w:r>
          </w:p>
        </w:tc>
      </w:tr>
      <w:tr>
        <w:trPr>
          <w:cantSplit/>
        </w:trPr>
        <w:tc>
          <w:tcPr>
            <w:tcW w:type="dxa" w:w="1267"/>
            <w:vAlign w:val="center"/>
            <w:tcMar>
              <w:top w:w="90" w:type="dxa"/>
              <w:start w:w="100" w:type="dxa"/>
              <w:bottom w:w="90" w:type="dxa"/>
              <w:end w:w="100" w:type="dxa"/>
            </w:tcMar>
            <w:shd w:fill="F4F5F1"/>
          </w:tcPr>
          <w:p>
            <w:pPr>
              <w:keepNext w:val="0"/>
              <w:spacing w:after="0" w:line="259" w:lineRule="auto"/>
            </w:pPr>
            <w:r>
              <w:rPr>
                <w:rFonts w:ascii="Arial" w:hAnsi="Arial" w:eastAsia="Arial"/>
                <w:color w:val="111815"/>
                <w:sz w:val="16"/>
              </w:rPr>
              <w:t>Session receipt</w:t>
            </w:r>
          </w:p>
        </w:tc>
        <w:tc>
          <w:tcPr>
            <w:tcW w:type="dxa" w:w="2448"/>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Complete the demonstration</w:t>
            </w:r>
          </w:p>
        </w:tc>
        <w:tc>
          <w:tcPr>
            <w:tcW w:type="dxa" w:w="3816"/>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Browser-session dataset row and action receipt</w:t>
            </w:r>
          </w:p>
        </w:tc>
        <w:tc>
          <w:tcPr>
            <w:tcW w:type="dxa" w:w="2477"/>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Persistent lineage, catalog registration, audit event</w:t>
            </w:r>
          </w:p>
        </w:tc>
      </w:tr>
    </w:tbl>
    <w:p>
      <w:pPr>
        <w:spacing w:after="0" w:before="0"/>
      </w:pPr>
    </w:p>
    <w:p>
      <w:pPr>
        <w:pStyle w:val="Heading2"/>
        <w:keepNext/>
      </w:pPr>
      <w:r>
        <w:t>Request an IoT or enterprise source</w:t>
      </w:r>
    </w:p>
    <w:p>
      <w:r>
        <w:t>The Data tab includes explicit request templates for operational updates from ports, cargo handlers, warehouses, factories, suppliers, vehicles, robots, and field teams. QR scans, signed custody events, sensor telemetry, robot events, carrier milestones, CDC, and manual exceptions remain request drafts. Policy-review status and fixed-sample replay status are tracked independently, so completing one does not erase the other. Production ingestion must validate identity, device trust, timestamp, location, signature, unit, schema, consent, and access before updating the operational graph.</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541"/>
        <w:gridCol w:w="2541"/>
        <w:gridCol w:w="2541"/>
        <w:gridCol w:w="2541"/>
      </w:tblGrid>
      <w:tr>
        <w:trPr>
          <w:tblHeader w:val="true"/>
          <w:cantSplit/>
        </w:trPr>
        <w:tc>
          <w:tcPr>
            <w:tcW w:type="dxa" w:w="1440"/>
            <w:vAlign w:val="center"/>
            <w:tcMar>
              <w:top w:w="90" w:type="dxa"/>
              <w:start w:w="100" w:type="dxa"/>
              <w:bottom w:w="90" w:type="dxa"/>
              <w:end w:w="100" w:type="dxa"/>
            </w:tcMar>
            <w:shd w:fill="111815"/>
          </w:tcPr>
          <w:p>
            <w:pPr>
              <w:spacing w:after="0" w:line="259" w:lineRule="auto"/>
            </w:pPr>
            <w:r>
              <w:rPr>
                <w:rFonts w:ascii="Arial" w:hAnsi="Arial" w:eastAsia="Arial"/>
                <w:b/>
                <w:color w:val="FFFFFF"/>
                <w:sz w:val="16"/>
              </w:rPr>
              <w:t>Contributor</w:t>
            </w:r>
          </w:p>
        </w:tc>
        <w:tc>
          <w:tcPr>
            <w:tcW w:type="dxa" w:w="2880"/>
            <w:vAlign w:val="center"/>
            <w:tcMar>
              <w:top w:w="90" w:type="dxa"/>
              <w:start w:w="100" w:type="dxa"/>
              <w:bottom w:w="90" w:type="dxa"/>
              <w:end w:w="100" w:type="dxa"/>
            </w:tcMar>
            <w:shd w:fill="111815"/>
          </w:tcPr>
          <w:p>
            <w:pPr>
              <w:spacing w:after="0" w:line="259" w:lineRule="auto"/>
            </w:pPr>
            <w:r>
              <w:rPr>
                <w:rFonts w:ascii="Arial" w:hAnsi="Arial" w:eastAsia="Arial"/>
                <w:b/>
                <w:color w:val="FFFFFF"/>
                <w:sz w:val="16"/>
              </w:rPr>
              <w:t>Example event</w:t>
            </w:r>
          </w:p>
        </w:tc>
        <w:tc>
          <w:tcPr>
            <w:tcW w:type="dxa" w:w="3528"/>
            <w:vAlign w:val="center"/>
            <w:tcMar>
              <w:top w:w="90" w:type="dxa"/>
              <w:start w:w="100" w:type="dxa"/>
              <w:bottom w:w="90" w:type="dxa"/>
              <w:end w:w="100" w:type="dxa"/>
            </w:tcMar>
            <w:shd w:fill="111815"/>
          </w:tcPr>
          <w:p>
            <w:pPr>
              <w:spacing w:after="0" w:line="259" w:lineRule="auto"/>
            </w:pPr>
            <w:r>
              <w:rPr>
                <w:rFonts w:ascii="Arial" w:hAnsi="Arial" w:eastAsia="Arial"/>
                <w:b/>
                <w:color w:val="FFFFFF"/>
                <w:sz w:val="16"/>
              </w:rPr>
              <w:t>Secure contract</w:t>
            </w:r>
          </w:p>
        </w:tc>
        <w:tc>
          <w:tcPr>
            <w:tcW w:type="dxa" w:w="2016"/>
            <w:vAlign w:val="center"/>
            <w:tcMar>
              <w:top w:w="90" w:type="dxa"/>
              <w:start w:w="100" w:type="dxa"/>
              <w:bottom w:w="90" w:type="dxa"/>
              <w:end w:w="100" w:type="dxa"/>
            </w:tcMar>
            <w:shd w:fill="111815"/>
          </w:tcPr>
          <w:p>
            <w:pPr>
              <w:spacing w:after="0" w:line="259" w:lineRule="auto"/>
            </w:pPr>
            <w:r>
              <w:rPr>
                <w:rFonts w:ascii="Arial" w:hAnsi="Arial" w:eastAsia="Arial"/>
                <w:b/>
                <w:color w:val="FFFFFF"/>
                <w:sz w:val="16"/>
              </w:rPr>
              <w:t>Project use</w:t>
            </w:r>
          </w:p>
        </w:tc>
      </w:tr>
      <w:tr>
        <w:trPr>
          <w:cantSplit/>
        </w:trPr>
        <w:tc>
          <w:tcPr>
            <w:tcW w:type="dxa" w:w="1440"/>
            <w:vAlign w:val="center"/>
            <w:tcMar>
              <w:top w:w="90" w:type="dxa"/>
              <w:start w:w="100" w:type="dxa"/>
              <w:bottom w:w="90" w:type="dxa"/>
              <w:end w:w="100" w:type="dxa"/>
            </w:tcMar>
          </w:tcPr>
          <w:p>
            <w:pPr>
              <w:keepNext w:val="0"/>
              <w:spacing w:after="0" w:line="259" w:lineRule="auto"/>
            </w:pPr>
            <w:r>
              <w:rPr>
                <w:rFonts w:ascii="Arial" w:hAnsi="Arial" w:eastAsia="Arial"/>
                <w:color w:val="111815"/>
                <w:sz w:val="15"/>
              </w:rPr>
              <w:t>Port operator</w:t>
            </w:r>
          </w:p>
        </w:tc>
        <w:tc>
          <w:tcPr>
            <w:tcW w:type="dxa" w:w="2880"/>
            <w:vAlign w:val="center"/>
            <w:tcMar>
              <w:top w:w="90" w:type="dxa"/>
              <w:start w:w="100" w:type="dxa"/>
              <w:bottom w:w="90" w:type="dxa"/>
              <w:end w:w="100" w:type="dxa"/>
            </w:tcMar>
          </w:tcPr>
          <w:p>
            <w:pPr>
              <w:spacing w:after="0" w:line="259" w:lineRule="auto"/>
            </w:pPr>
            <w:r>
              <w:rPr>
                <w:rFonts w:ascii="Arial" w:hAnsi="Arial" w:eastAsia="Arial"/>
                <w:color w:val="111815"/>
                <w:sz w:val="15"/>
              </w:rPr>
              <w:t>Berth, gate, customs, seal, or dwell update</w:t>
            </w:r>
          </w:p>
        </w:tc>
        <w:tc>
          <w:tcPr>
            <w:tcW w:type="dxa" w:w="3528"/>
            <w:vAlign w:val="center"/>
            <w:tcMar>
              <w:top w:w="90" w:type="dxa"/>
              <w:start w:w="100" w:type="dxa"/>
              <w:bottom w:w="90" w:type="dxa"/>
              <w:end w:w="100" w:type="dxa"/>
            </w:tcMar>
          </w:tcPr>
          <w:p>
            <w:pPr>
              <w:spacing w:after="0" w:line="259" w:lineRule="auto"/>
            </w:pPr>
            <w:r>
              <w:rPr>
                <w:rFonts w:ascii="Arial" w:hAnsi="Arial" w:eastAsia="Arial"/>
                <w:color w:val="111815"/>
                <w:sz w:val="15"/>
              </w:rPr>
              <w:t>Operator identity, port role, signed timestamp, shipment key</w:t>
            </w:r>
          </w:p>
        </w:tc>
        <w:tc>
          <w:tcPr>
            <w:tcW w:type="dxa" w:w="2016"/>
            <w:vAlign w:val="center"/>
            <w:tcMar>
              <w:top w:w="90" w:type="dxa"/>
              <w:start w:w="100" w:type="dxa"/>
              <w:bottom w:w="90" w:type="dxa"/>
              <w:end w:w="100" w:type="dxa"/>
            </w:tcMar>
          </w:tcPr>
          <w:p>
            <w:pPr>
              <w:spacing w:after="0" w:line="259" w:lineRule="auto"/>
            </w:pPr>
            <w:r>
              <w:rPr>
                <w:rFonts w:ascii="Arial" w:hAnsi="Arial" w:eastAsia="Arial"/>
                <w:color w:val="111815"/>
                <w:sz w:val="15"/>
              </w:rPr>
              <w:t>LogisticsRadar and decision evidence</w:t>
            </w:r>
          </w:p>
        </w:tc>
      </w:tr>
      <w:tr>
        <w:trPr>
          <w:cantSplit/>
        </w:trPr>
        <w:tc>
          <w:tcPr>
            <w:tcW w:type="dxa" w:w="1440"/>
            <w:vAlign w:val="center"/>
            <w:tcMar>
              <w:top w:w="90" w:type="dxa"/>
              <w:start w:w="100" w:type="dxa"/>
              <w:bottom w:w="90" w:type="dxa"/>
              <w:end w:w="100" w:type="dxa"/>
            </w:tcMar>
            <w:shd w:fill="F4F5F1"/>
          </w:tcPr>
          <w:p>
            <w:pPr>
              <w:keepNext w:val="0"/>
              <w:spacing w:after="0" w:line="259" w:lineRule="auto"/>
            </w:pPr>
            <w:r>
              <w:rPr>
                <w:rFonts w:ascii="Arial" w:hAnsi="Arial" w:eastAsia="Arial"/>
                <w:color w:val="111815"/>
                <w:sz w:val="15"/>
              </w:rPr>
              <w:t>Cargo handler</w:t>
            </w:r>
          </w:p>
        </w:tc>
        <w:tc>
          <w:tcPr>
            <w:tcW w:type="dxa" w:w="2880"/>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QR custody scan or damage exception</w:t>
            </w:r>
          </w:p>
        </w:tc>
        <w:tc>
          <w:tcPr>
            <w:tcW w:type="dxa" w:w="3528"/>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GS1 identifier, device trust, chain-of-custody signature</w:t>
            </w:r>
          </w:p>
        </w:tc>
        <w:tc>
          <w:tcPr>
            <w:tcW w:type="dxa" w:w="2016"/>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QualityGenealogy and LogisticsRadar</w:t>
            </w:r>
          </w:p>
        </w:tc>
      </w:tr>
      <w:tr>
        <w:trPr>
          <w:cantSplit/>
        </w:trPr>
        <w:tc>
          <w:tcPr>
            <w:tcW w:type="dxa" w:w="1440"/>
            <w:vAlign w:val="center"/>
            <w:tcMar>
              <w:top w:w="90" w:type="dxa"/>
              <w:start w:w="100" w:type="dxa"/>
              <w:bottom w:w="90" w:type="dxa"/>
              <w:end w:w="100" w:type="dxa"/>
            </w:tcMar>
          </w:tcPr>
          <w:p>
            <w:pPr>
              <w:keepNext w:val="0"/>
              <w:spacing w:after="0" w:line="259" w:lineRule="auto"/>
            </w:pPr>
            <w:r>
              <w:rPr>
                <w:rFonts w:ascii="Arial" w:hAnsi="Arial" w:eastAsia="Arial"/>
                <w:color w:val="111815"/>
                <w:sz w:val="15"/>
              </w:rPr>
              <w:t>Supplier</w:t>
            </w:r>
          </w:p>
        </w:tc>
        <w:tc>
          <w:tcPr>
            <w:tcW w:type="dxa" w:w="2880"/>
            <w:vAlign w:val="center"/>
            <w:tcMar>
              <w:top w:w="90" w:type="dxa"/>
              <w:start w:w="100" w:type="dxa"/>
              <w:bottom w:w="90" w:type="dxa"/>
              <w:end w:w="100" w:type="dxa"/>
            </w:tcMar>
          </w:tcPr>
          <w:p>
            <w:pPr>
              <w:spacing w:after="0" w:line="259" w:lineRule="auto"/>
            </w:pPr>
            <w:r>
              <w:rPr>
                <w:rFonts w:ascii="Arial" w:hAnsi="Arial" w:eastAsia="Arial"/>
                <w:color w:val="111815"/>
                <w:sz w:val="15"/>
              </w:rPr>
              <w:t>Capacity, certificate, lead time, or shipment promise</w:t>
            </w:r>
          </w:p>
        </w:tc>
        <w:tc>
          <w:tcPr>
            <w:tcW w:type="dxa" w:w="3528"/>
            <w:vAlign w:val="center"/>
            <w:tcMar>
              <w:top w:w="90" w:type="dxa"/>
              <w:start w:w="100" w:type="dxa"/>
              <w:bottom w:w="90" w:type="dxa"/>
              <w:end w:w="100" w:type="dxa"/>
            </w:tcMar>
          </w:tcPr>
          <w:p>
            <w:pPr>
              <w:spacing w:after="0" w:line="259" w:lineRule="auto"/>
            </w:pPr>
            <w:r>
              <w:rPr>
                <w:rFonts w:ascii="Arial" w:hAnsi="Arial" w:eastAsia="Arial"/>
                <w:color w:val="111815"/>
                <w:sz w:val="15"/>
              </w:rPr>
              <w:t>Supplier tenant, approved portal, evidence attachment, version</w:t>
            </w:r>
          </w:p>
        </w:tc>
        <w:tc>
          <w:tcPr>
            <w:tcW w:type="dxa" w:w="2016"/>
            <w:vAlign w:val="center"/>
            <w:tcMar>
              <w:top w:w="90" w:type="dxa"/>
              <w:start w:w="100" w:type="dxa"/>
              <w:bottom w:w="90" w:type="dxa"/>
              <w:end w:w="100" w:type="dxa"/>
            </w:tcMar>
          </w:tcPr>
          <w:p>
            <w:pPr>
              <w:spacing w:after="0" w:line="259" w:lineRule="auto"/>
            </w:pPr>
            <w:r>
              <w:rPr>
                <w:rFonts w:ascii="Arial" w:hAnsi="Arial" w:eastAsia="Arial"/>
                <w:color w:val="111815"/>
                <w:sz w:val="15"/>
              </w:rPr>
              <w:t>SupplierGraph and RiskRadar</w:t>
            </w:r>
          </w:p>
        </w:tc>
      </w:tr>
      <w:tr>
        <w:trPr>
          <w:cantSplit/>
        </w:trPr>
        <w:tc>
          <w:tcPr>
            <w:tcW w:type="dxa" w:w="1440"/>
            <w:vAlign w:val="center"/>
            <w:tcMar>
              <w:top w:w="90" w:type="dxa"/>
              <w:start w:w="100" w:type="dxa"/>
              <w:bottom w:w="90" w:type="dxa"/>
              <w:end w:w="100" w:type="dxa"/>
            </w:tcMar>
            <w:shd w:fill="F4F5F1"/>
          </w:tcPr>
          <w:p>
            <w:pPr>
              <w:keepNext w:val="0"/>
              <w:spacing w:after="0" w:line="259" w:lineRule="auto"/>
            </w:pPr>
            <w:r>
              <w:rPr>
                <w:rFonts w:ascii="Arial" w:hAnsi="Arial" w:eastAsia="Arial"/>
                <w:color w:val="111815"/>
                <w:sz w:val="15"/>
              </w:rPr>
              <w:t>Factory or robot</w:t>
            </w:r>
          </w:p>
        </w:tc>
        <w:tc>
          <w:tcPr>
            <w:tcW w:type="dxa" w:w="2880"/>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Production count, state, downtime, quality or consumption event</w:t>
            </w:r>
          </w:p>
        </w:tc>
        <w:tc>
          <w:tcPr>
            <w:tcW w:type="dxa" w:w="3528"/>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Machine identity, event schema, clock quality, plant boundary</w:t>
            </w:r>
          </w:p>
        </w:tc>
        <w:tc>
          <w:tcPr>
            <w:tcW w:type="dxa" w:w="2016"/>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ManufacturingTwin and FlowLens</w:t>
            </w:r>
          </w:p>
        </w:tc>
      </w:tr>
      <w:tr>
        <w:trPr>
          <w:cantSplit/>
        </w:trPr>
        <w:tc>
          <w:tcPr>
            <w:tcW w:type="dxa" w:w="1440"/>
            <w:vAlign w:val="center"/>
            <w:tcMar>
              <w:top w:w="90" w:type="dxa"/>
              <w:start w:w="100" w:type="dxa"/>
              <w:bottom w:w="90" w:type="dxa"/>
              <w:end w:w="100" w:type="dxa"/>
            </w:tcMar>
          </w:tcPr>
          <w:p>
            <w:pPr>
              <w:keepNext w:val="0"/>
              <w:spacing w:after="0" w:line="259" w:lineRule="auto"/>
            </w:pPr>
            <w:r>
              <w:rPr>
                <w:rFonts w:ascii="Arial" w:hAnsi="Arial" w:eastAsia="Arial"/>
                <w:color w:val="111815"/>
                <w:sz w:val="15"/>
              </w:rPr>
              <w:t>Workforce lead</w:t>
            </w:r>
          </w:p>
        </w:tc>
        <w:tc>
          <w:tcPr>
            <w:tcW w:type="dxa" w:w="2880"/>
            <w:vAlign w:val="center"/>
            <w:tcMar>
              <w:top w:w="90" w:type="dxa"/>
              <w:start w:w="100" w:type="dxa"/>
              <w:bottom w:w="90" w:type="dxa"/>
              <w:end w:w="100" w:type="dxa"/>
            </w:tcMar>
          </w:tcPr>
          <w:p>
            <w:pPr>
              <w:spacing w:after="0" w:line="259" w:lineRule="auto"/>
            </w:pPr>
            <w:r>
              <w:rPr>
                <w:rFonts w:ascii="Arial" w:hAnsi="Arial" w:eastAsia="Arial"/>
                <w:color w:val="111815"/>
                <w:sz w:val="15"/>
              </w:rPr>
              <w:t>Shift, skill, certification, absence, or overtime update</w:t>
            </w:r>
          </w:p>
        </w:tc>
        <w:tc>
          <w:tcPr>
            <w:tcW w:type="dxa" w:w="3528"/>
            <w:vAlign w:val="center"/>
            <w:tcMar>
              <w:top w:w="90" w:type="dxa"/>
              <w:start w:w="100" w:type="dxa"/>
              <w:bottom w:w="90" w:type="dxa"/>
              <w:end w:w="100" w:type="dxa"/>
            </w:tcMar>
          </w:tcPr>
          <w:p>
            <w:pPr>
              <w:spacing w:after="0" w:line="259" w:lineRule="auto"/>
            </w:pPr>
            <w:r>
              <w:rPr>
                <w:rFonts w:ascii="Arial" w:hAnsi="Arial" w:eastAsia="Arial"/>
                <w:color w:val="111815"/>
                <w:sz w:val="15"/>
              </w:rPr>
              <w:t>Role-based access, minimal personal data, regional policy</w:t>
            </w:r>
          </w:p>
        </w:tc>
        <w:tc>
          <w:tcPr>
            <w:tcW w:type="dxa" w:w="2016"/>
            <w:vAlign w:val="center"/>
            <w:tcMar>
              <w:top w:w="90" w:type="dxa"/>
              <w:start w:w="100" w:type="dxa"/>
              <w:bottom w:w="90" w:type="dxa"/>
              <w:end w:w="100" w:type="dxa"/>
            </w:tcMar>
          </w:tcPr>
          <w:p>
            <w:pPr>
              <w:spacing w:after="0" w:line="259" w:lineRule="auto"/>
            </w:pPr>
            <w:r>
              <w:rPr>
                <w:rFonts w:ascii="Arial" w:hAnsi="Arial" w:eastAsia="Arial"/>
                <w:color w:val="111815"/>
                <w:sz w:val="15"/>
              </w:rPr>
              <w:t>WorkforceStudio and Network Optimizer</w:t>
            </w:r>
          </w:p>
        </w:tc>
      </w:tr>
    </w:tbl>
    <w:p>
      <w:pPr>
        <w:spacing w:after="0" w:before="0"/>
      </w:pPr>
    </w:p>
    <w:p>
      <w:r>
        <w:br w:type="page"/>
      </w:r>
    </w:p>
    <w:p>
      <w:pPr>
        <w:spacing w:after="100"/>
      </w:pPr>
      <w:r>
        <w:rPr>
          <w:rFonts w:ascii="Arial" w:hAnsi="Arial" w:eastAsia="Arial"/>
          <w:b/>
          <w:color w:val="FF6B35"/>
          <w:sz w:val="17"/>
        </w:rPr>
        <w:t>NETWORK OPERATIONS</w:t>
      </w:r>
    </w:p>
    <w:p>
      <w:pPr>
        <w:pStyle w:val="Heading1"/>
        <w:keepNext/>
      </w:pPr>
      <w:r>
        <w:t>Use Operations World</w:t>
      </w:r>
    </w:p>
    <w:p>
      <w:pPr>
        <w:spacing w:after="200"/>
      </w:pPr>
      <w:r>
        <w:t>Operations World is a synthetic operational radar with Global and Regional modes. Its pannable, zoomable map combines geography, routes, assets, cargo, transfers, time, scenarios, and project intake. In Regional mode, the region selector changes the map, KPIs, signals, cash, suppliers, movements, and evidence scope together.</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389"/>
        <w:gridCol w:w="3389"/>
        <w:gridCol w:w="3389"/>
      </w:tblGrid>
      <w:tr>
        <w:trPr>
          <w:tblHeader w:val="true"/>
          <w:cantSplit/>
        </w:trPr>
        <w:tc>
          <w:tcPr>
            <w:tcW w:type="dxa" w:w="1944"/>
            <w:vAlign w:val="center"/>
            <w:tcMar>
              <w:top w:w="90" w:type="dxa"/>
              <w:start w:w="100" w:type="dxa"/>
              <w:bottom w:w="90" w:type="dxa"/>
              <w:end w:w="100" w:type="dxa"/>
            </w:tcMar>
            <w:shd w:fill="111815"/>
          </w:tcPr>
          <w:p>
            <w:pPr>
              <w:spacing w:after="0" w:line="259" w:lineRule="auto"/>
            </w:pPr>
            <w:r>
              <w:rPr>
                <w:rFonts w:ascii="Arial" w:hAnsi="Arial" w:eastAsia="Arial"/>
                <w:b/>
                <w:color w:val="FFFFFF"/>
                <w:sz w:val="16"/>
              </w:rPr>
              <w:t>Control</w:t>
            </w:r>
          </w:p>
        </w:tc>
        <w:tc>
          <w:tcPr>
            <w:tcW w:type="dxa" w:w="3528"/>
            <w:vAlign w:val="center"/>
            <w:tcMar>
              <w:top w:w="90" w:type="dxa"/>
              <w:start w:w="100" w:type="dxa"/>
              <w:bottom w:w="90" w:type="dxa"/>
              <w:end w:w="100" w:type="dxa"/>
            </w:tcMar>
            <w:shd w:fill="111815"/>
          </w:tcPr>
          <w:p>
            <w:pPr>
              <w:spacing w:after="0" w:line="259" w:lineRule="auto"/>
            </w:pPr>
            <w:r>
              <w:rPr>
                <w:rFonts w:ascii="Arial" w:hAnsi="Arial" w:eastAsia="Arial"/>
                <w:b/>
                <w:color w:val="FFFFFF"/>
                <w:sz w:val="16"/>
              </w:rPr>
              <w:t>What changes</w:t>
            </w:r>
          </w:p>
        </w:tc>
        <w:tc>
          <w:tcPr>
            <w:tcW w:type="dxa" w:w="4392"/>
            <w:vAlign w:val="center"/>
            <w:tcMar>
              <w:top w:w="90" w:type="dxa"/>
              <w:start w:w="100" w:type="dxa"/>
              <w:bottom w:w="90" w:type="dxa"/>
              <w:end w:w="100" w:type="dxa"/>
            </w:tcMar>
            <w:shd w:fill="111815"/>
          </w:tcPr>
          <w:p>
            <w:pPr>
              <w:spacing w:after="0" w:line="259" w:lineRule="auto"/>
            </w:pPr>
            <w:r>
              <w:rPr>
                <w:rFonts w:ascii="Arial" w:hAnsi="Arial" w:eastAsia="Arial"/>
                <w:b/>
                <w:color w:val="FFFFFF"/>
                <w:sz w:val="16"/>
              </w:rPr>
              <w:t>What to inspect</w:t>
            </w:r>
          </w:p>
        </w:tc>
      </w:tr>
      <w:tr>
        <w:trPr>
          <w:cantSplit/>
        </w:trPr>
        <w:tc>
          <w:tcPr>
            <w:tcW w:type="dxa" w:w="1944"/>
            <w:vAlign w:val="center"/>
            <w:tcMar>
              <w:top w:w="90" w:type="dxa"/>
              <w:start w:w="100" w:type="dxa"/>
              <w:bottom w:w="90" w:type="dxa"/>
              <w:end w:w="100" w:type="dxa"/>
            </w:tcMar>
          </w:tcPr>
          <w:p>
            <w:pPr>
              <w:keepNext w:val="0"/>
              <w:spacing w:after="0" w:line="259" w:lineRule="auto"/>
            </w:pPr>
            <w:r>
              <w:rPr>
                <w:rFonts w:ascii="Arial" w:hAnsi="Arial" w:eastAsia="Arial"/>
                <w:color w:val="111815"/>
                <w:sz w:val="16"/>
              </w:rPr>
              <w:t>Global or Regional</w:t>
            </w:r>
          </w:p>
        </w:tc>
        <w:tc>
          <w:tcPr>
            <w:tcW w:type="dxa" w:w="3528"/>
            <w:vAlign w:val="center"/>
            <w:tcMar>
              <w:top w:w="90" w:type="dxa"/>
              <w:start w:w="100" w:type="dxa"/>
              <w:bottom w:w="90" w:type="dxa"/>
              <w:end w:w="100" w:type="dxa"/>
            </w:tcMar>
          </w:tcPr>
          <w:p>
            <w:pPr>
              <w:spacing w:after="0" w:line="259" w:lineRule="auto"/>
            </w:pPr>
            <w:r>
              <w:rPr>
                <w:rFonts w:ascii="Arial" w:hAnsi="Arial" w:eastAsia="Arial"/>
                <w:color w:val="111815"/>
                <w:sz w:val="16"/>
              </w:rPr>
              <w:t>Switches between the full network and a selected regional operating picture</w:t>
            </w:r>
          </w:p>
        </w:tc>
        <w:tc>
          <w:tcPr>
            <w:tcW w:type="dxa" w:w="4392"/>
            <w:vAlign w:val="center"/>
            <w:tcMar>
              <w:top w:w="90" w:type="dxa"/>
              <w:start w:w="100" w:type="dxa"/>
              <w:bottom w:w="90" w:type="dxa"/>
              <w:end w:w="100" w:type="dxa"/>
            </w:tcMar>
          </w:tcPr>
          <w:p>
            <w:pPr>
              <w:spacing w:after="0" w:line="259" w:lineRule="auto"/>
            </w:pPr>
            <w:r>
              <w:rPr>
                <w:rFonts w:ascii="Arial" w:hAnsi="Arial" w:eastAsia="Arial"/>
                <w:color w:val="111815"/>
                <w:sz w:val="16"/>
              </w:rPr>
              <w:t>Global totals or the selected APAC, Europe, Americas, or Middle East and Africa slice</w:t>
            </w:r>
          </w:p>
        </w:tc>
      </w:tr>
      <w:tr>
        <w:trPr>
          <w:cantSplit/>
        </w:trPr>
        <w:tc>
          <w:tcPr>
            <w:tcW w:type="dxa" w:w="1944"/>
            <w:vAlign w:val="center"/>
            <w:tcMar>
              <w:top w:w="90" w:type="dxa"/>
              <w:start w:w="100" w:type="dxa"/>
              <w:bottom w:w="90" w:type="dxa"/>
              <w:end w:w="100" w:type="dxa"/>
            </w:tcMar>
            <w:shd w:fill="F4F5F1"/>
          </w:tcPr>
          <w:p>
            <w:pPr>
              <w:keepNext w:val="0"/>
              <w:spacing w:after="0" w:line="259" w:lineRule="auto"/>
            </w:pPr>
            <w:r>
              <w:rPr>
                <w:rFonts w:ascii="Arial" w:hAnsi="Arial" w:eastAsia="Arial"/>
                <w:color w:val="111815"/>
                <w:sz w:val="16"/>
              </w:rPr>
              <w:t>Pan and zoom</w:t>
            </w:r>
          </w:p>
        </w:tc>
        <w:tc>
          <w:tcPr>
            <w:tcW w:type="dxa" w:w="3528"/>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Changes the viewport while preserving filters</w:t>
            </w:r>
          </w:p>
        </w:tc>
        <w:tc>
          <w:tcPr>
            <w:tcW w:type="dxa" w:w="4392"/>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Dense corridors and local handoffs at higher zoom</w:t>
            </w:r>
          </w:p>
        </w:tc>
      </w:tr>
      <w:tr>
        <w:trPr>
          <w:cantSplit/>
        </w:trPr>
        <w:tc>
          <w:tcPr>
            <w:tcW w:type="dxa" w:w="1944"/>
            <w:vAlign w:val="center"/>
            <w:tcMar>
              <w:top w:w="90" w:type="dxa"/>
              <w:start w:w="100" w:type="dxa"/>
              <w:bottom w:w="90" w:type="dxa"/>
              <w:end w:w="100" w:type="dxa"/>
            </w:tcMar>
          </w:tcPr>
          <w:p>
            <w:pPr>
              <w:keepNext w:val="0"/>
              <w:spacing w:after="0" w:line="259" w:lineRule="auto"/>
            </w:pPr>
            <w:r>
              <w:rPr>
                <w:rFonts w:ascii="Arial" w:hAnsi="Arial" w:eastAsia="Arial"/>
                <w:color w:val="111815"/>
                <w:sz w:val="16"/>
              </w:rPr>
              <w:t>Time frame</w:t>
            </w:r>
          </w:p>
        </w:tc>
        <w:tc>
          <w:tcPr>
            <w:tcW w:type="dxa" w:w="3528"/>
            <w:vAlign w:val="center"/>
            <w:tcMar>
              <w:top w:w="90" w:type="dxa"/>
              <w:start w:w="100" w:type="dxa"/>
              <w:bottom w:w="90" w:type="dxa"/>
              <w:end w:w="100" w:type="dxa"/>
            </w:tcMar>
          </w:tcPr>
          <w:p>
            <w:pPr>
              <w:spacing w:after="0" w:line="259" w:lineRule="auto"/>
            </w:pPr>
            <w:r>
              <w:rPr>
                <w:rFonts w:ascii="Arial" w:hAnsi="Arial" w:eastAsia="Arial"/>
                <w:color w:val="111815"/>
                <w:sz w:val="16"/>
              </w:rPr>
              <w:t>Moves from historical fixture frames through Now and future scenario frames</w:t>
            </w:r>
          </w:p>
        </w:tc>
        <w:tc>
          <w:tcPr>
            <w:tcW w:type="dxa" w:w="4392"/>
            <w:vAlign w:val="center"/>
            <w:tcMar>
              <w:top w:w="90" w:type="dxa"/>
              <w:start w:w="100" w:type="dxa"/>
              <w:bottom w:w="90" w:type="dxa"/>
              <w:end w:w="100" w:type="dxa"/>
            </w:tcMar>
          </w:tcPr>
          <w:p>
            <w:pPr>
              <w:spacing w:after="0" w:line="259" w:lineRule="auto"/>
            </w:pPr>
            <w:r>
              <w:rPr>
                <w:rFonts w:ascii="Arial" w:hAnsi="Arial" w:eastAsia="Arial"/>
                <w:color w:val="111815"/>
                <w:sz w:val="16"/>
              </w:rPr>
              <w:t>Position, arrival state, ETA, delay, cost, volume, and exposure changes</w:t>
            </w:r>
          </w:p>
        </w:tc>
      </w:tr>
      <w:tr>
        <w:trPr>
          <w:cantSplit/>
        </w:trPr>
        <w:tc>
          <w:tcPr>
            <w:tcW w:type="dxa" w:w="1944"/>
            <w:vAlign w:val="center"/>
            <w:tcMar>
              <w:top w:w="90" w:type="dxa"/>
              <w:start w:w="100" w:type="dxa"/>
              <w:bottom w:w="90" w:type="dxa"/>
              <w:end w:w="100" w:type="dxa"/>
            </w:tcMar>
            <w:shd w:fill="F4F5F1"/>
          </w:tcPr>
          <w:p>
            <w:pPr>
              <w:keepNext w:val="0"/>
              <w:spacing w:after="0" w:line="259" w:lineRule="auto"/>
            </w:pPr>
            <w:r>
              <w:rPr>
                <w:rFonts w:ascii="Arial" w:hAnsi="Arial" w:eastAsia="Arial"/>
                <w:color w:val="111815"/>
                <w:sz w:val="16"/>
              </w:rPr>
              <w:t>Scenario</w:t>
            </w:r>
          </w:p>
        </w:tc>
        <w:tc>
          <w:tcPr>
            <w:tcW w:type="dxa" w:w="3528"/>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Changes trajectory assumptions such as baseline or disruption</w:t>
            </w:r>
          </w:p>
        </w:tc>
        <w:tc>
          <w:tcPr>
            <w:tcW w:type="dxa" w:w="4392"/>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Route geometry, predicted delay, committed quantity, value exposure, and service risk</w:t>
            </w:r>
          </w:p>
        </w:tc>
      </w:tr>
      <w:tr>
        <w:trPr>
          <w:cantSplit/>
        </w:trPr>
        <w:tc>
          <w:tcPr>
            <w:tcW w:type="dxa" w:w="1944"/>
            <w:vAlign w:val="center"/>
            <w:tcMar>
              <w:top w:w="90" w:type="dxa"/>
              <w:start w:w="100" w:type="dxa"/>
              <w:bottom w:w="90" w:type="dxa"/>
              <w:end w:w="100" w:type="dxa"/>
            </w:tcMar>
          </w:tcPr>
          <w:p>
            <w:pPr>
              <w:keepNext w:val="0"/>
              <w:spacing w:after="0" w:line="259" w:lineRule="auto"/>
            </w:pPr>
            <w:r>
              <w:rPr>
                <w:rFonts w:ascii="Arial" w:hAnsi="Arial" w:eastAsia="Arial"/>
                <w:color w:val="111815"/>
                <w:sz w:val="16"/>
              </w:rPr>
              <w:t>Layers</w:t>
            </w:r>
          </w:p>
        </w:tc>
        <w:tc>
          <w:tcPr>
            <w:tcW w:type="dxa" w:w="3528"/>
            <w:vAlign w:val="center"/>
            <w:tcMar>
              <w:top w:w="90" w:type="dxa"/>
              <w:start w:w="100" w:type="dxa"/>
              <w:bottom w:w="90" w:type="dxa"/>
              <w:end w:w="100" w:type="dxa"/>
            </w:tcMar>
          </w:tcPr>
          <w:p>
            <w:pPr>
              <w:spacing w:after="0" w:line="259" w:lineRule="auto"/>
            </w:pPr>
            <w:r>
              <w:rPr>
                <w:rFonts w:ascii="Arial" w:hAnsi="Arial" w:eastAsia="Arial"/>
                <w:color w:val="111815"/>
                <w:sz w:val="16"/>
              </w:rPr>
              <w:t>Shows or hides ocean, air, road, rail, transfer, asset, cargo, and location records</w:t>
            </w:r>
          </w:p>
        </w:tc>
        <w:tc>
          <w:tcPr>
            <w:tcW w:type="dxa" w:w="4392"/>
            <w:vAlign w:val="center"/>
            <w:tcMar>
              <w:top w:w="90" w:type="dxa"/>
              <w:start w:w="100" w:type="dxa"/>
              <w:bottom w:w="90" w:type="dxa"/>
              <w:end w:w="100" w:type="dxa"/>
            </w:tcMar>
          </w:tcPr>
          <w:p>
            <w:pPr>
              <w:spacing w:after="0" w:line="259" w:lineRule="auto"/>
            </w:pPr>
            <w:r>
              <w:rPr>
                <w:rFonts w:ascii="Arial" w:hAnsi="Arial" w:eastAsia="Arial"/>
                <w:color w:val="111815"/>
                <w:sz w:val="16"/>
              </w:rPr>
              <w:t>Use the smallest layer set that answers the question</w:t>
            </w:r>
          </w:p>
        </w:tc>
      </w:tr>
      <w:tr>
        <w:trPr>
          <w:cantSplit/>
        </w:trPr>
        <w:tc>
          <w:tcPr>
            <w:tcW w:type="dxa" w:w="1944"/>
            <w:vAlign w:val="center"/>
            <w:tcMar>
              <w:top w:w="90" w:type="dxa"/>
              <w:start w:w="100" w:type="dxa"/>
              <w:bottom w:w="90" w:type="dxa"/>
              <w:end w:w="100" w:type="dxa"/>
            </w:tcMar>
            <w:shd w:fill="F4F5F1"/>
          </w:tcPr>
          <w:p>
            <w:pPr>
              <w:keepNext w:val="0"/>
              <w:spacing w:after="0" w:line="259" w:lineRule="auto"/>
            </w:pPr>
            <w:r>
              <w:rPr>
                <w:rFonts w:ascii="Arial" w:hAnsi="Arial" w:eastAsia="Arial"/>
                <w:color w:val="111815"/>
                <w:sz w:val="16"/>
              </w:rPr>
              <w:t>Hover and keyboard focus</w:t>
            </w:r>
          </w:p>
        </w:tc>
        <w:tc>
          <w:tcPr>
            <w:tcW w:type="dxa" w:w="3528"/>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Shows compact identity, quantity, value, price, status, owner, origin, destination, or personnel details</w:t>
            </w:r>
          </w:p>
        </w:tc>
        <w:tc>
          <w:tcPr>
            <w:tcW w:type="dxa" w:w="4392"/>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No click is required for a quick check</w:t>
            </w:r>
          </w:p>
        </w:tc>
      </w:tr>
      <w:tr>
        <w:trPr>
          <w:cantSplit/>
        </w:trPr>
        <w:tc>
          <w:tcPr>
            <w:tcW w:type="dxa" w:w="1944"/>
            <w:vAlign w:val="center"/>
            <w:tcMar>
              <w:top w:w="90" w:type="dxa"/>
              <w:start w:w="100" w:type="dxa"/>
              <w:bottom w:w="90" w:type="dxa"/>
              <w:end w:w="100" w:type="dxa"/>
            </w:tcMar>
          </w:tcPr>
          <w:p>
            <w:pPr>
              <w:keepNext w:val="0"/>
              <w:spacing w:after="0" w:line="259" w:lineRule="auto"/>
            </w:pPr>
            <w:r>
              <w:rPr>
                <w:rFonts w:ascii="Arial" w:hAnsi="Arial" w:eastAsia="Arial"/>
                <w:color w:val="111815"/>
                <w:sz w:val="16"/>
              </w:rPr>
              <w:t>Pin selection</w:t>
            </w:r>
          </w:p>
        </w:tc>
        <w:tc>
          <w:tcPr>
            <w:tcW w:type="dxa" w:w="3528"/>
            <w:vAlign w:val="center"/>
            <w:tcMar>
              <w:top w:w="90" w:type="dxa"/>
              <w:start w:w="100" w:type="dxa"/>
              <w:bottom w:w="90" w:type="dxa"/>
              <w:end w:w="100" w:type="dxa"/>
            </w:tcMar>
          </w:tcPr>
          <w:p>
            <w:pPr>
              <w:spacing w:after="0" w:line="259" w:lineRule="auto"/>
            </w:pPr>
            <w:r>
              <w:rPr>
                <w:rFonts w:ascii="Arial" w:hAnsi="Arial" w:eastAsia="Arial"/>
                <w:color w:val="111815"/>
                <w:sz w:val="16"/>
              </w:rPr>
              <w:t>Opens the detailed inspector and retains the canonical entity key</w:t>
            </w:r>
          </w:p>
        </w:tc>
        <w:tc>
          <w:tcPr>
            <w:tcW w:type="dxa" w:w="4392"/>
            <w:vAlign w:val="center"/>
            <w:tcMar>
              <w:top w:w="90" w:type="dxa"/>
              <w:start w:w="100" w:type="dxa"/>
              <w:bottom w:w="90" w:type="dxa"/>
              <w:end w:w="100" w:type="dxa"/>
            </w:tcMar>
          </w:tcPr>
          <w:p>
            <w:pPr>
              <w:spacing w:after="0" w:line="259" w:lineRule="auto"/>
            </w:pPr>
            <w:r>
              <w:rPr>
                <w:rFonts w:ascii="Arial" w:hAnsi="Arial" w:eastAsia="Arial"/>
                <w:color w:val="111815"/>
                <w:sz w:val="16"/>
              </w:rPr>
              <w:t>Evidence, current state, related facts, and project intake context</w:t>
            </w:r>
          </w:p>
        </w:tc>
      </w:tr>
      <w:tr>
        <w:trPr>
          <w:cantSplit/>
        </w:trPr>
        <w:tc>
          <w:tcPr>
            <w:tcW w:type="dxa" w:w="1944"/>
            <w:vAlign w:val="center"/>
            <w:tcMar>
              <w:top w:w="90" w:type="dxa"/>
              <w:start w:w="100" w:type="dxa"/>
              <w:bottom w:w="90" w:type="dxa"/>
              <w:end w:w="100" w:type="dxa"/>
            </w:tcMar>
            <w:shd w:fill="F4F5F1"/>
          </w:tcPr>
          <w:p>
            <w:pPr>
              <w:keepNext w:val="0"/>
              <w:spacing w:after="0" w:line="259" w:lineRule="auto"/>
            </w:pPr>
            <w:r>
              <w:rPr>
                <w:rFonts w:ascii="Arial" w:hAnsi="Arial" w:eastAsia="Arial"/>
                <w:color w:val="111815"/>
                <w:sz w:val="16"/>
              </w:rPr>
              <w:t>Dependency intake</w:t>
            </w:r>
          </w:p>
        </w:tc>
        <w:tc>
          <w:tcPr>
            <w:tcW w:type="dxa" w:w="3528"/>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Carries the selected dependency, entity ID, frame, scenario, and evidence key into New project</w:t>
            </w:r>
          </w:p>
        </w:tc>
        <w:tc>
          <w:tcPr>
            <w:tcW w:type="dxa" w:w="4392"/>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Creates an empty governed project shell; no case or dataset is fabricated</w:t>
            </w:r>
          </w:p>
        </w:tc>
      </w:tr>
      <w:tr>
        <w:trPr>
          <w:cantSplit/>
        </w:trPr>
        <w:tc>
          <w:tcPr>
            <w:tcW w:type="dxa" w:w="1944"/>
            <w:vAlign w:val="center"/>
            <w:tcMar>
              <w:top w:w="90" w:type="dxa"/>
              <w:start w:w="100" w:type="dxa"/>
              <w:bottom w:w="90" w:type="dxa"/>
              <w:end w:w="100" w:type="dxa"/>
            </w:tcMar>
          </w:tcPr>
          <w:p>
            <w:pPr>
              <w:keepNext w:val="0"/>
              <w:spacing w:after="0" w:line="259" w:lineRule="auto"/>
            </w:pPr>
            <w:r>
              <w:rPr>
                <w:rFonts w:ascii="Arial" w:hAnsi="Arial" w:eastAsia="Arial"/>
                <w:color w:val="111815"/>
                <w:sz w:val="16"/>
              </w:rPr>
              <w:t>Route intake</w:t>
            </w:r>
          </w:p>
        </w:tc>
        <w:tc>
          <w:tcPr>
            <w:tcW w:type="dxa" w:w="3528"/>
            <w:vAlign w:val="center"/>
            <w:tcMar>
              <w:top w:w="90" w:type="dxa"/>
              <w:start w:w="100" w:type="dxa"/>
              <w:bottom w:w="90" w:type="dxa"/>
              <w:end w:w="100" w:type="dxa"/>
            </w:tcMar>
          </w:tcPr>
          <w:p>
            <w:pPr>
              <w:spacing w:after="0" w:line="259" w:lineRule="auto"/>
            </w:pPr>
            <w:r>
              <w:rPr>
                <w:rFonts w:ascii="Arial" w:hAnsi="Arial" w:eastAsia="Arial"/>
                <w:color w:val="111815"/>
                <w:sz w:val="16"/>
              </w:rPr>
              <w:t>Carries the selected corridor or movement and route-planning context into New project</w:t>
            </w:r>
          </w:p>
        </w:tc>
        <w:tc>
          <w:tcPr>
            <w:tcW w:type="dxa" w:w="4392"/>
            <w:vAlign w:val="center"/>
            <w:tcMar>
              <w:top w:w="90" w:type="dxa"/>
              <w:start w:w="100" w:type="dxa"/>
              <w:bottom w:w="90" w:type="dxa"/>
              <w:end w:w="100" w:type="dxa"/>
            </w:tcMar>
          </w:tcPr>
          <w:p>
            <w:pPr>
              <w:spacing w:after="0" w:line="259" w:lineRule="auto"/>
            </w:pPr>
            <w:r>
              <w:rPr>
                <w:rFonts w:ascii="Arial" w:hAnsi="Arial" w:eastAsia="Arial"/>
                <w:color w:val="111815"/>
                <w:sz w:val="16"/>
              </w:rPr>
              <w:t>Creates a traceable route-intake record</w:t>
            </w:r>
          </w:p>
        </w:tc>
      </w:tr>
      <w:tr>
        <w:trPr>
          <w:cantSplit/>
        </w:trPr>
        <w:tc>
          <w:tcPr>
            <w:tcW w:type="dxa" w:w="1944"/>
            <w:vAlign w:val="center"/>
            <w:tcMar>
              <w:top w:w="90" w:type="dxa"/>
              <w:start w:w="100" w:type="dxa"/>
              <w:bottom w:w="90" w:type="dxa"/>
              <w:end w:w="100" w:type="dxa"/>
            </w:tcMar>
            <w:shd w:fill="F4F5F1"/>
          </w:tcPr>
          <w:p>
            <w:pPr>
              <w:keepNext w:val="0"/>
              <w:spacing w:after="0" w:line="259" w:lineRule="auto"/>
            </w:pPr>
            <w:r>
              <w:rPr>
                <w:rFonts w:ascii="Arial" w:hAnsi="Arial" w:eastAsia="Arial"/>
                <w:color w:val="111815"/>
                <w:sz w:val="16"/>
              </w:rPr>
              <w:t>Value intake</w:t>
            </w:r>
          </w:p>
        </w:tc>
        <w:tc>
          <w:tcPr>
            <w:tcW w:type="dxa" w:w="3528"/>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Carries the selected entity and value-protection context into New project</w:t>
            </w:r>
          </w:p>
        </w:tc>
        <w:tc>
          <w:tcPr>
            <w:tcW w:type="dxa" w:w="4392"/>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Creates a traceable value-intake record</w:t>
            </w:r>
          </w:p>
        </w:tc>
      </w:tr>
    </w:tbl>
    <w:p>
      <w:pPr>
        <w:spacing w:after="0" w:before="0"/>
      </w:pPr>
    </w:p>
    <w:p>
      <w:pPr>
        <w:pStyle w:val="Heading2"/>
        <w:keepNext/>
      </w:pPr>
      <w:r>
        <w:t>Map truth boundary</w:t>
      </w:r>
    </w:p>
    <w:p>
      <w:r>
        <w:t>The map uses a local Natural Earth basemap and deterministic route, asset, cargo, transfer, and location fixtures. It does not call Google 3D Tiles, Cesium ion, OpenSky, ADS-B Exchange, AIS, CCTV, traffic, satellite, seismic, or weather services. Production use requires provider terms, attribution, licensing, privacy, retention, and security review in addition to connector engineering.</w:t>
      </w:r>
    </w:p>
    <w:p>
      <w:r>
        <w:br w:type="page"/>
      </w:r>
    </w:p>
    <w:p>
      <w:pPr>
        <w:spacing w:after="100"/>
      </w:pPr>
      <w:r>
        <w:rPr>
          <w:rFonts w:ascii="Arial" w:hAnsi="Arial" w:eastAsia="Arial"/>
          <w:b/>
          <w:color w:val="FF6B35"/>
          <w:sz w:val="17"/>
        </w:rPr>
        <w:t>OPERATIONS RESEARCH</w:t>
      </w:r>
    </w:p>
    <w:p>
      <w:pPr>
        <w:pStyle w:val="Heading1"/>
        <w:keepNext/>
      </w:pPr>
      <w:r>
        <w:t>Use the optimization workbench</w:t>
      </w:r>
    </w:p>
    <w:p>
      <w:pPr>
        <w:spacing w:after="200"/>
      </w:pPr>
      <w:r>
        <w:t>Network Optimizer separates problem framing from calculation, comparison, validation, and release. The current experience runs a deterministic response calculator; it does not execute a mathematical solver or claim optimality.</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389"/>
        <w:gridCol w:w="3389"/>
        <w:gridCol w:w="3389"/>
      </w:tblGrid>
      <w:tr>
        <w:trPr>
          <w:tblHeader w:val="true"/>
          <w:cantSplit/>
        </w:trPr>
        <w:tc>
          <w:tcPr>
            <w:tcW w:type="dxa" w:w="2088"/>
            <w:vAlign w:val="center"/>
            <w:tcMar>
              <w:top w:w="90" w:type="dxa"/>
              <w:start w:w="100" w:type="dxa"/>
              <w:bottom w:w="90" w:type="dxa"/>
              <w:end w:w="100" w:type="dxa"/>
            </w:tcMar>
            <w:shd w:fill="111815"/>
          </w:tcPr>
          <w:p>
            <w:pPr>
              <w:spacing w:after="0" w:line="259" w:lineRule="auto"/>
            </w:pPr>
            <w:r>
              <w:rPr>
                <w:rFonts w:ascii="Arial" w:hAnsi="Arial" w:eastAsia="Arial"/>
                <w:b/>
                <w:color w:val="FFFFFF"/>
                <w:sz w:val="16"/>
              </w:rPr>
              <w:t>Workbench area</w:t>
            </w:r>
          </w:p>
        </w:tc>
        <w:tc>
          <w:tcPr>
            <w:tcW w:type="dxa" w:w="4608"/>
            <w:vAlign w:val="center"/>
            <w:tcMar>
              <w:top w:w="90" w:type="dxa"/>
              <w:start w:w="100" w:type="dxa"/>
              <w:bottom w:w="90" w:type="dxa"/>
              <w:end w:w="100" w:type="dxa"/>
            </w:tcMar>
            <w:shd w:fill="111815"/>
          </w:tcPr>
          <w:p>
            <w:pPr>
              <w:spacing w:after="0" w:line="259" w:lineRule="auto"/>
            </w:pPr>
            <w:r>
              <w:rPr>
                <w:rFonts w:ascii="Arial" w:hAnsi="Arial" w:eastAsia="Arial"/>
                <w:b/>
                <w:color w:val="FFFFFF"/>
                <w:sz w:val="16"/>
              </w:rPr>
              <w:t>Purpose</w:t>
            </w:r>
          </w:p>
        </w:tc>
        <w:tc>
          <w:tcPr>
            <w:tcW w:type="dxa" w:w="3168"/>
            <w:vAlign w:val="center"/>
            <w:tcMar>
              <w:top w:w="90" w:type="dxa"/>
              <w:start w:w="100" w:type="dxa"/>
              <w:bottom w:w="90" w:type="dxa"/>
              <w:end w:w="100" w:type="dxa"/>
            </w:tcMar>
            <w:shd w:fill="111815"/>
          </w:tcPr>
          <w:p>
            <w:pPr>
              <w:spacing w:after="0" w:line="259" w:lineRule="auto"/>
            </w:pPr>
            <w:r>
              <w:rPr>
                <w:rFonts w:ascii="Arial" w:hAnsi="Arial" w:eastAsia="Arial"/>
                <w:b/>
                <w:color w:val="FFFFFF"/>
                <w:sz w:val="16"/>
              </w:rPr>
              <w:t>Evidence to retain</w:t>
            </w:r>
          </w:p>
        </w:tc>
      </w:tr>
      <w:tr>
        <w:trPr>
          <w:cantSplit/>
        </w:trPr>
        <w:tc>
          <w:tcPr>
            <w:tcW w:type="dxa" w:w="2088"/>
            <w:vAlign w:val="center"/>
            <w:tcMar>
              <w:top w:w="90" w:type="dxa"/>
              <w:start w:w="100" w:type="dxa"/>
              <w:bottom w:w="90" w:type="dxa"/>
              <w:end w:w="100" w:type="dxa"/>
            </w:tcMar>
          </w:tcPr>
          <w:p>
            <w:pPr>
              <w:keepNext w:val="0"/>
              <w:spacing w:after="0" w:line="259" w:lineRule="auto"/>
            </w:pPr>
            <w:r>
              <w:rPr>
                <w:rFonts w:ascii="Arial" w:hAnsi="Arial" w:eastAsia="Arial"/>
                <w:color w:val="111815"/>
                <w:sz w:val="16"/>
              </w:rPr>
              <w:t>Decision contract</w:t>
            </w:r>
          </w:p>
        </w:tc>
        <w:tc>
          <w:tcPr>
            <w:tcW w:type="dxa" w:w="4608"/>
            <w:vAlign w:val="center"/>
            <w:tcMar>
              <w:top w:w="90" w:type="dxa"/>
              <w:start w:w="100" w:type="dxa"/>
              <w:bottom w:w="90" w:type="dxa"/>
              <w:end w:w="100" w:type="dxa"/>
            </w:tcMar>
          </w:tcPr>
          <w:p>
            <w:pPr>
              <w:spacing w:after="0" w:line="259" w:lineRule="auto"/>
            </w:pPr>
            <w:r>
              <w:rPr>
                <w:rFonts w:ascii="Arial" w:hAnsi="Arial" w:eastAsia="Arial"/>
                <w:color w:val="111815"/>
                <w:sz w:val="16"/>
              </w:rPr>
              <w:t>Define decision, horizon, selected entity, decision pattern, objective hierarchy, and assumptions</w:t>
            </w:r>
          </w:p>
        </w:tc>
        <w:tc>
          <w:tcPr>
            <w:tcW w:type="dxa" w:w="3168"/>
            <w:vAlign w:val="center"/>
            <w:tcMar>
              <w:top w:w="90" w:type="dxa"/>
              <w:start w:w="100" w:type="dxa"/>
              <w:bottom w:w="90" w:type="dxa"/>
              <w:end w:w="100" w:type="dxa"/>
            </w:tcMar>
          </w:tcPr>
          <w:p>
            <w:pPr>
              <w:spacing w:after="0" w:line="259" w:lineRule="auto"/>
            </w:pPr>
            <w:r>
              <w:rPr>
                <w:rFonts w:ascii="Arial" w:hAnsi="Arial" w:eastAsia="Arial"/>
                <w:color w:val="111815"/>
                <w:sz w:val="16"/>
              </w:rPr>
              <w:t>Project, decision, user, timestamp, variable and constraint version</w:t>
            </w:r>
          </w:p>
        </w:tc>
      </w:tr>
      <w:tr>
        <w:trPr>
          <w:cantSplit/>
        </w:trPr>
        <w:tc>
          <w:tcPr>
            <w:tcW w:type="dxa" w:w="2088"/>
            <w:vAlign w:val="center"/>
            <w:tcMar>
              <w:top w:w="90" w:type="dxa"/>
              <w:start w:w="100" w:type="dxa"/>
              <w:bottom w:w="90" w:type="dxa"/>
              <w:end w:w="100" w:type="dxa"/>
            </w:tcMar>
            <w:shd w:fill="F4F5F1"/>
          </w:tcPr>
          <w:p>
            <w:pPr>
              <w:keepNext w:val="0"/>
              <w:spacing w:after="0" w:line="259" w:lineRule="auto"/>
            </w:pPr>
            <w:r>
              <w:rPr>
                <w:rFonts w:ascii="Arial" w:hAnsi="Arial" w:eastAsia="Arial"/>
                <w:color w:val="111815"/>
                <w:sz w:val="16"/>
              </w:rPr>
              <w:t>Variable registry</w:t>
            </w:r>
          </w:p>
        </w:tc>
        <w:tc>
          <w:tcPr>
            <w:tcW w:type="dxa" w:w="4608"/>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Bind canonical L0 variables to units, grain, domain, source contract, and decision role</w:t>
            </w:r>
          </w:p>
        </w:tc>
        <w:tc>
          <w:tcPr>
            <w:tcW w:type="dxa" w:w="3168"/>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Variable IDs, bounds, type, unit, missingness, transformations</w:t>
            </w:r>
          </w:p>
        </w:tc>
      </w:tr>
      <w:tr>
        <w:trPr>
          <w:cantSplit/>
        </w:trPr>
        <w:tc>
          <w:tcPr>
            <w:tcW w:type="dxa" w:w="2088"/>
            <w:vAlign w:val="center"/>
            <w:tcMar>
              <w:top w:w="90" w:type="dxa"/>
              <w:start w:w="100" w:type="dxa"/>
              <w:bottom w:w="90" w:type="dxa"/>
              <w:end w:w="100" w:type="dxa"/>
            </w:tcMar>
          </w:tcPr>
          <w:p>
            <w:pPr>
              <w:keepNext w:val="0"/>
              <w:spacing w:after="0" w:line="259" w:lineRule="auto"/>
            </w:pPr>
            <w:r>
              <w:rPr>
                <w:rFonts w:ascii="Arial" w:hAnsi="Arial" w:eastAsia="Arial"/>
                <w:color w:val="111815"/>
                <w:sz w:val="16"/>
              </w:rPr>
              <w:t>Constraint library</w:t>
            </w:r>
          </w:p>
        </w:tc>
        <w:tc>
          <w:tcPr>
            <w:tcW w:type="dxa" w:w="4608"/>
            <w:vAlign w:val="center"/>
            <w:tcMar>
              <w:top w:w="90" w:type="dxa"/>
              <w:start w:w="100" w:type="dxa"/>
              <w:bottom w:w="90" w:type="dxa"/>
              <w:end w:w="100" w:type="dxa"/>
            </w:tcMar>
          </w:tcPr>
          <w:p>
            <w:pPr>
              <w:spacing w:after="0" w:line="259" w:lineRule="auto"/>
            </w:pPr>
            <w:r>
              <w:rPr>
                <w:rFonts w:ascii="Arial" w:hAnsi="Arial" w:eastAsia="Arial"/>
                <w:color w:val="111815"/>
                <w:sz w:val="16"/>
              </w:rPr>
              <w:t>Classify hard, binding, advisory, and violated constraints</w:t>
            </w:r>
          </w:p>
        </w:tc>
        <w:tc>
          <w:tcPr>
            <w:tcW w:type="dxa" w:w="3168"/>
            <w:vAlign w:val="center"/>
            <w:tcMar>
              <w:top w:w="90" w:type="dxa"/>
              <w:start w:w="100" w:type="dxa"/>
              <w:bottom w:w="90" w:type="dxa"/>
              <w:end w:w="100" w:type="dxa"/>
            </w:tcMar>
          </w:tcPr>
          <w:p>
            <w:pPr>
              <w:spacing w:after="0" w:line="259" w:lineRule="auto"/>
            </w:pPr>
            <w:r>
              <w:rPr>
                <w:rFonts w:ascii="Arial" w:hAnsi="Arial" w:eastAsia="Arial"/>
                <w:color w:val="111815"/>
                <w:sz w:val="16"/>
              </w:rPr>
              <w:t>Expression, tolerance, origin, owner, relaxation authority</w:t>
            </w:r>
          </w:p>
        </w:tc>
      </w:tr>
      <w:tr>
        <w:trPr>
          <w:cantSplit/>
        </w:trPr>
        <w:tc>
          <w:tcPr>
            <w:tcW w:type="dxa" w:w="2088"/>
            <w:vAlign w:val="center"/>
            <w:tcMar>
              <w:top w:w="90" w:type="dxa"/>
              <w:start w:w="100" w:type="dxa"/>
              <w:bottom w:w="90" w:type="dxa"/>
              <w:end w:w="100" w:type="dxa"/>
            </w:tcMar>
            <w:shd w:fill="F4F5F1"/>
          </w:tcPr>
          <w:p>
            <w:pPr>
              <w:keepNext w:val="0"/>
              <w:spacing w:after="0" w:line="259" w:lineRule="auto"/>
            </w:pPr>
            <w:r>
              <w:rPr>
                <w:rFonts w:ascii="Arial" w:hAnsi="Arial" w:eastAsia="Arial"/>
                <w:color w:val="111815"/>
                <w:sz w:val="16"/>
              </w:rPr>
              <w:t>Method library</w:t>
            </w:r>
          </w:p>
        </w:tc>
        <w:tc>
          <w:tcPr>
            <w:tcW w:type="dxa" w:w="4608"/>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Choose a primary and fallback stack from the 30 handbook methods</w:t>
            </w:r>
          </w:p>
        </w:tc>
        <w:tc>
          <w:tcPr>
            <w:tcW w:type="dxa" w:w="3168"/>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Selection rationale, applicability, validation and fallback</w:t>
            </w:r>
          </w:p>
        </w:tc>
      </w:tr>
      <w:tr>
        <w:trPr>
          <w:cantSplit/>
        </w:trPr>
        <w:tc>
          <w:tcPr>
            <w:tcW w:type="dxa" w:w="2088"/>
            <w:vAlign w:val="center"/>
            <w:tcMar>
              <w:top w:w="90" w:type="dxa"/>
              <w:start w:w="100" w:type="dxa"/>
              <w:bottom w:w="90" w:type="dxa"/>
              <w:end w:w="100" w:type="dxa"/>
            </w:tcMar>
          </w:tcPr>
          <w:p>
            <w:pPr>
              <w:keepNext w:val="0"/>
              <w:spacing w:after="0" w:line="259" w:lineRule="auto"/>
            </w:pPr>
            <w:r>
              <w:rPr>
                <w:rFonts w:ascii="Arial" w:hAnsi="Arial" w:eastAsia="Arial"/>
                <w:color w:val="111815"/>
                <w:sz w:val="16"/>
              </w:rPr>
              <w:t>Scenario lab</w:t>
            </w:r>
          </w:p>
        </w:tc>
        <w:tc>
          <w:tcPr>
            <w:tcW w:type="dxa" w:w="4608"/>
            <w:vAlign w:val="center"/>
            <w:tcMar>
              <w:top w:w="90" w:type="dxa"/>
              <w:start w:w="100" w:type="dxa"/>
              <w:bottom w:w="90" w:type="dxa"/>
              <w:end w:w="100" w:type="dxa"/>
            </w:tcMar>
          </w:tcPr>
          <w:p>
            <w:pPr>
              <w:spacing w:after="0" w:line="259" w:lineRule="auto"/>
            </w:pPr>
            <w:r>
              <w:rPr>
                <w:rFonts w:ascii="Arial" w:hAnsi="Arial" w:eastAsia="Arial"/>
                <w:color w:val="111815"/>
                <w:sz w:val="16"/>
              </w:rPr>
              <w:t>Represent joint uncertainty, probability, path, severity, and recourse</w:t>
            </w:r>
          </w:p>
        </w:tc>
        <w:tc>
          <w:tcPr>
            <w:tcW w:type="dxa" w:w="3168"/>
            <w:vAlign w:val="center"/>
            <w:tcMar>
              <w:top w:w="90" w:type="dxa"/>
              <w:start w:w="100" w:type="dxa"/>
              <w:bottom w:w="90" w:type="dxa"/>
              <w:end w:w="100" w:type="dxa"/>
            </w:tcMar>
          </w:tcPr>
          <w:p>
            <w:pPr>
              <w:spacing w:after="0" w:line="259" w:lineRule="auto"/>
            </w:pPr>
            <w:r>
              <w:rPr>
                <w:rFonts w:ascii="Arial" w:hAnsi="Arial" w:eastAsia="Arial"/>
                <w:color w:val="111815"/>
                <w:sz w:val="16"/>
              </w:rPr>
              <w:t>Scenario set ID, probabilities, input versions, policy changes</w:t>
            </w:r>
          </w:p>
        </w:tc>
      </w:tr>
      <w:tr>
        <w:trPr>
          <w:cantSplit/>
        </w:trPr>
        <w:tc>
          <w:tcPr>
            <w:tcW w:type="dxa" w:w="2088"/>
            <w:vAlign w:val="center"/>
            <w:tcMar>
              <w:top w:w="90" w:type="dxa"/>
              <w:start w:w="100" w:type="dxa"/>
              <w:bottom w:w="90" w:type="dxa"/>
              <w:end w:w="100" w:type="dxa"/>
            </w:tcMar>
            <w:shd w:fill="F4F5F1"/>
          </w:tcPr>
          <w:p>
            <w:pPr>
              <w:keepNext w:val="0"/>
              <w:spacing w:after="0" w:line="259" w:lineRule="auto"/>
            </w:pPr>
            <w:r>
              <w:rPr>
                <w:rFonts w:ascii="Arial" w:hAnsi="Arial" w:eastAsia="Arial"/>
                <w:color w:val="111815"/>
                <w:sz w:val="16"/>
              </w:rPr>
              <w:t>Candidate comparison</w:t>
            </w:r>
          </w:p>
        </w:tc>
        <w:tc>
          <w:tcPr>
            <w:tcW w:type="dxa" w:w="4608"/>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Compare cost, service, cash, risk, carbon, and constraint state</w:t>
            </w:r>
          </w:p>
        </w:tc>
        <w:tc>
          <w:tcPr>
            <w:tcW w:type="dxa" w:w="3168"/>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Candidate ID, feasibility, dominance, assumptions, rejected reasons</w:t>
            </w:r>
          </w:p>
        </w:tc>
      </w:tr>
      <w:tr>
        <w:trPr>
          <w:cantSplit/>
        </w:trPr>
        <w:tc>
          <w:tcPr>
            <w:tcW w:type="dxa" w:w="2088"/>
            <w:vAlign w:val="center"/>
            <w:tcMar>
              <w:top w:w="90" w:type="dxa"/>
              <w:start w:w="100" w:type="dxa"/>
              <w:bottom w:w="90" w:type="dxa"/>
              <w:end w:w="100" w:type="dxa"/>
            </w:tcMar>
          </w:tcPr>
          <w:p>
            <w:pPr>
              <w:keepNext w:val="0"/>
              <w:spacing w:after="0" w:line="259" w:lineRule="auto"/>
            </w:pPr>
            <w:r>
              <w:rPr>
                <w:rFonts w:ascii="Arial" w:hAnsi="Arial" w:eastAsia="Arial"/>
                <w:color w:val="111815"/>
                <w:sz w:val="16"/>
              </w:rPr>
              <w:t>Reproducibility manifest</w:t>
            </w:r>
          </w:p>
        </w:tc>
        <w:tc>
          <w:tcPr>
            <w:tcW w:type="dxa" w:w="4608"/>
            <w:vAlign w:val="center"/>
            <w:tcMar>
              <w:top w:w="90" w:type="dxa"/>
              <w:start w:w="100" w:type="dxa"/>
              <w:bottom w:w="90" w:type="dxa"/>
              <w:end w:w="100" w:type="dxa"/>
            </w:tcMar>
          </w:tcPr>
          <w:p>
            <w:pPr>
              <w:spacing w:after="0" w:line="259" w:lineRule="auto"/>
            </w:pPr>
            <w:r>
              <w:rPr>
                <w:rFonts w:ascii="Arial" w:hAnsi="Arial" w:eastAsia="Arial"/>
                <w:color w:val="111815"/>
                <w:sz w:val="16"/>
              </w:rPr>
              <w:t>Bind the output to the exact context used</w:t>
            </w:r>
          </w:p>
        </w:tc>
        <w:tc>
          <w:tcPr>
            <w:tcW w:type="dxa" w:w="3168"/>
            <w:vAlign w:val="center"/>
            <w:tcMar>
              <w:top w:w="90" w:type="dxa"/>
              <w:start w:w="100" w:type="dxa"/>
              <w:bottom w:w="90" w:type="dxa"/>
              <w:end w:w="100" w:type="dxa"/>
            </w:tcMar>
          </w:tcPr>
          <w:p>
            <w:pPr>
              <w:spacing w:after="0" w:line="259" w:lineRule="auto"/>
            </w:pPr>
            <w:r>
              <w:rPr>
                <w:rFonts w:ascii="Arial" w:hAnsi="Arial" w:eastAsia="Arial"/>
                <w:color w:val="111815"/>
                <w:sz w:val="16"/>
              </w:rPr>
              <w:t>Run ID, model and data version, input fingerprint, method stack, scenario set</w:t>
            </w:r>
          </w:p>
        </w:tc>
      </w:tr>
      <w:tr>
        <w:trPr>
          <w:cantSplit/>
        </w:trPr>
        <w:tc>
          <w:tcPr>
            <w:tcW w:type="dxa" w:w="2088"/>
            <w:vAlign w:val="center"/>
            <w:tcMar>
              <w:top w:w="90" w:type="dxa"/>
              <w:start w:w="100" w:type="dxa"/>
              <w:bottom w:w="90" w:type="dxa"/>
              <w:end w:w="100" w:type="dxa"/>
            </w:tcMar>
            <w:shd w:fill="F4F5F1"/>
          </w:tcPr>
          <w:p>
            <w:pPr>
              <w:keepNext w:val="0"/>
              <w:spacing w:after="0" w:line="259" w:lineRule="auto"/>
            </w:pPr>
            <w:r>
              <w:rPr>
                <w:rFonts w:ascii="Arial" w:hAnsi="Arial" w:eastAsia="Arial"/>
                <w:color w:val="111815"/>
                <w:sz w:val="16"/>
              </w:rPr>
              <w:t>Release gate</w:t>
            </w:r>
          </w:p>
        </w:tc>
        <w:tc>
          <w:tcPr>
            <w:tcW w:type="dxa" w:w="4608"/>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Require evidence and named human authority before operational handoff</w:t>
            </w:r>
          </w:p>
        </w:tc>
        <w:tc>
          <w:tcPr>
            <w:tcW w:type="dxa" w:w="3168"/>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Approval, scope, expiry, fallback, write-back receipt</w:t>
            </w:r>
          </w:p>
        </w:tc>
      </w:tr>
    </w:tbl>
    <w:p>
      <w:pPr>
        <w:spacing w:after="0" w:before="0"/>
      </w:pPr>
    </w:p>
    <w:p>
      <w:pPr>
        <w:pStyle w:val="Heading2"/>
        <w:keepNext/>
      </w:pPr>
      <w:r>
        <w:t>Method families in the handbook</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389"/>
        <w:gridCol w:w="3389"/>
        <w:gridCol w:w="3389"/>
      </w:tblGrid>
      <w:tr>
        <w:trPr>
          <w:tblHeader w:val="true"/>
          <w:cantSplit/>
        </w:trPr>
        <w:tc>
          <w:tcPr>
            <w:tcW w:type="dxa" w:w="1656"/>
            <w:vAlign w:val="center"/>
            <w:tcMar>
              <w:top w:w="90" w:type="dxa"/>
              <w:start w:w="100" w:type="dxa"/>
              <w:bottom w:w="90" w:type="dxa"/>
              <w:end w:w="100" w:type="dxa"/>
            </w:tcMar>
            <w:shd w:fill="111815"/>
          </w:tcPr>
          <w:p>
            <w:pPr>
              <w:spacing w:after="0" w:line="259" w:lineRule="auto"/>
            </w:pPr>
            <w:r>
              <w:rPr>
                <w:rFonts w:ascii="Arial" w:hAnsi="Arial" w:eastAsia="Arial"/>
                <w:b/>
                <w:color w:val="FFFFFF"/>
                <w:sz w:val="16"/>
              </w:rPr>
              <w:t>Codes</w:t>
            </w:r>
          </w:p>
        </w:tc>
        <w:tc>
          <w:tcPr>
            <w:tcW w:type="dxa" w:w="3168"/>
            <w:vAlign w:val="center"/>
            <w:tcMar>
              <w:top w:w="90" w:type="dxa"/>
              <w:start w:w="100" w:type="dxa"/>
              <w:bottom w:w="90" w:type="dxa"/>
              <w:end w:w="100" w:type="dxa"/>
            </w:tcMar>
            <w:shd w:fill="111815"/>
          </w:tcPr>
          <w:p>
            <w:pPr>
              <w:spacing w:after="0" w:line="259" w:lineRule="auto"/>
            </w:pPr>
            <w:r>
              <w:rPr>
                <w:rFonts w:ascii="Arial" w:hAnsi="Arial" w:eastAsia="Arial"/>
                <w:b/>
                <w:color w:val="FFFFFF"/>
                <w:sz w:val="16"/>
              </w:rPr>
              <w:t>Family</w:t>
            </w:r>
          </w:p>
        </w:tc>
        <w:tc>
          <w:tcPr>
            <w:tcW w:type="dxa" w:w="5040"/>
            <w:vAlign w:val="center"/>
            <w:tcMar>
              <w:top w:w="90" w:type="dxa"/>
              <w:start w:w="100" w:type="dxa"/>
              <w:bottom w:w="90" w:type="dxa"/>
              <w:end w:w="100" w:type="dxa"/>
            </w:tcMar>
            <w:shd w:fill="111815"/>
          </w:tcPr>
          <w:p>
            <w:pPr>
              <w:spacing w:after="0" w:line="259" w:lineRule="auto"/>
            </w:pPr>
            <w:r>
              <w:rPr>
                <w:rFonts w:ascii="Arial" w:hAnsi="Arial" w:eastAsia="Arial"/>
                <w:b/>
                <w:color w:val="FFFFFF"/>
                <w:sz w:val="16"/>
              </w:rPr>
              <w:t>Representative use</w:t>
            </w:r>
          </w:p>
        </w:tc>
      </w:tr>
      <w:tr>
        <w:trPr>
          <w:cantSplit/>
        </w:trPr>
        <w:tc>
          <w:tcPr>
            <w:tcW w:type="dxa" w:w="1656"/>
            <w:vAlign w:val="center"/>
            <w:tcMar>
              <w:top w:w="90" w:type="dxa"/>
              <w:start w:w="100" w:type="dxa"/>
              <w:bottom w:w="90" w:type="dxa"/>
              <w:end w:w="100" w:type="dxa"/>
            </w:tcMar>
          </w:tcPr>
          <w:p>
            <w:pPr>
              <w:keepNext w:val="0"/>
              <w:spacing w:after="0" w:line="259" w:lineRule="auto"/>
            </w:pPr>
            <w:r>
              <w:rPr>
                <w:rFonts w:ascii="Arial" w:hAnsi="Arial" w:eastAsia="Arial"/>
                <w:color w:val="111815"/>
                <w:sz w:val="16"/>
              </w:rPr>
              <w:t>M-01 to M-04</w:t>
            </w:r>
          </w:p>
        </w:tc>
        <w:tc>
          <w:tcPr>
            <w:tcW w:type="dxa" w:w="3168"/>
            <w:vAlign w:val="center"/>
            <w:tcMar>
              <w:top w:w="90" w:type="dxa"/>
              <w:start w:w="100" w:type="dxa"/>
              <w:bottom w:w="90" w:type="dxa"/>
              <w:end w:w="100" w:type="dxa"/>
            </w:tcMar>
          </w:tcPr>
          <w:p>
            <w:pPr>
              <w:spacing w:after="0" w:line="259" w:lineRule="auto"/>
            </w:pPr>
            <w:r>
              <w:rPr>
                <w:rFonts w:ascii="Arial" w:hAnsi="Arial" w:eastAsia="Arial"/>
                <w:color w:val="111815"/>
                <w:sz w:val="16"/>
              </w:rPr>
              <w:t>Forecasting and uncertainty</w:t>
            </w:r>
          </w:p>
        </w:tc>
        <w:tc>
          <w:tcPr>
            <w:tcW w:type="dxa" w:w="5040"/>
            <w:vAlign w:val="center"/>
            <w:tcMar>
              <w:top w:w="90" w:type="dxa"/>
              <w:start w:w="100" w:type="dxa"/>
              <w:bottom w:w="90" w:type="dxa"/>
              <w:end w:w="100" w:type="dxa"/>
            </w:tcMar>
          </w:tcPr>
          <w:p>
            <w:pPr>
              <w:spacing w:after="0" w:line="259" w:lineRule="auto"/>
            </w:pPr>
            <w:r>
              <w:rPr>
                <w:rFonts w:ascii="Arial" w:hAnsi="Arial" w:eastAsia="Arial"/>
                <w:color w:val="111815"/>
                <w:sz w:val="16"/>
              </w:rPr>
              <w:t>Time series, causal drivers, ensembles, Bayesian updates</w:t>
            </w:r>
          </w:p>
        </w:tc>
      </w:tr>
      <w:tr>
        <w:trPr>
          <w:cantSplit/>
        </w:trPr>
        <w:tc>
          <w:tcPr>
            <w:tcW w:type="dxa" w:w="1656"/>
            <w:vAlign w:val="center"/>
            <w:tcMar>
              <w:top w:w="90" w:type="dxa"/>
              <w:start w:w="100" w:type="dxa"/>
              <w:bottom w:w="90" w:type="dxa"/>
              <w:end w:w="100" w:type="dxa"/>
            </w:tcMar>
            <w:shd w:fill="F4F5F1"/>
          </w:tcPr>
          <w:p>
            <w:pPr>
              <w:keepNext w:val="0"/>
              <w:spacing w:after="0" w:line="259" w:lineRule="auto"/>
            </w:pPr>
            <w:r>
              <w:rPr>
                <w:rFonts w:ascii="Arial" w:hAnsi="Arial" w:eastAsia="Arial"/>
                <w:color w:val="111815"/>
                <w:sz w:val="16"/>
              </w:rPr>
              <w:t>M-05 to M-08</w:t>
            </w:r>
          </w:p>
        </w:tc>
        <w:tc>
          <w:tcPr>
            <w:tcW w:type="dxa" w:w="3168"/>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Mathematical programming</w:t>
            </w:r>
          </w:p>
        </w:tc>
        <w:tc>
          <w:tcPr>
            <w:tcW w:type="dxa" w:w="5040"/>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Linear, mixed integer, nonlinear, goal and multiobjective models</w:t>
            </w:r>
          </w:p>
        </w:tc>
      </w:tr>
      <w:tr>
        <w:trPr>
          <w:cantSplit/>
        </w:trPr>
        <w:tc>
          <w:tcPr>
            <w:tcW w:type="dxa" w:w="1656"/>
            <w:vAlign w:val="center"/>
            <w:tcMar>
              <w:top w:w="90" w:type="dxa"/>
              <w:start w:w="100" w:type="dxa"/>
              <w:bottom w:w="90" w:type="dxa"/>
              <w:end w:w="100" w:type="dxa"/>
            </w:tcMar>
          </w:tcPr>
          <w:p>
            <w:pPr>
              <w:keepNext w:val="0"/>
              <w:spacing w:after="0" w:line="259" w:lineRule="auto"/>
            </w:pPr>
            <w:r>
              <w:rPr>
                <w:rFonts w:ascii="Arial" w:hAnsi="Arial" w:eastAsia="Arial"/>
                <w:color w:val="111815"/>
                <w:sz w:val="16"/>
              </w:rPr>
              <w:t>M-09 to M-12</w:t>
            </w:r>
          </w:p>
        </w:tc>
        <w:tc>
          <w:tcPr>
            <w:tcW w:type="dxa" w:w="3168"/>
            <w:vAlign w:val="center"/>
            <w:tcMar>
              <w:top w:w="90" w:type="dxa"/>
              <w:start w:w="100" w:type="dxa"/>
              <w:bottom w:w="90" w:type="dxa"/>
              <w:end w:w="100" w:type="dxa"/>
            </w:tcMar>
          </w:tcPr>
          <w:p>
            <w:pPr>
              <w:spacing w:after="0" w:line="259" w:lineRule="auto"/>
            </w:pPr>
            <w:r>
              <w:rPr>
                <w:rFonts w:ascii="Arial" w:hAnsi="Arial" w:eastAsia="Arial"/>
                <w:color w:val="111815"/>
                <w:sz w:val="16"/>
              </w:rPr>
              <w:t>Network and routing</w:t>
            </w:r>
          </w:p>
        </w:tc>
        <w:tc>
          <w:tcPr>
            <w:tcW w:type="dxa" w:w="5040"/>
            <w:vAlign w:val="center"/>
            <w:tcMar>
              <w:top w:w="90" w:type="dxa"/>
              <w:start w:w="100" w:type="dxa"/>
              <w:bottom w:w="90" w:type="dxa"/>
              <w:end w:w="100" w:type="dxa"/>
            </w:tcMar>
          </w:tcPr>
          <w:p>
            <w:pPr>
              <w:spacing w:after="0" w:line="259" w:lineRule="auto"/>
            </w:pPr>
            <w:r>
              <w:rPr>
                <w:rFonts w:ascii="Arial" w:hAnsi="Arial" w:eastAsia="Arial"/>
                <w:color w:val="111815"/>
                <w:sz w:val="16"/>
              </w:rPr>
              <w:t>Flows, vehicle routing, multimodal paths, location allocation</w:t>
            </w:r>
          </w:p>
        </w:tc>
      </w:tr>
      <w:tr>
        <w:trPr>
          <w:cantSplit/>
        </w:trPr>
        <w:tc>
          <w:tcPr>
            <w:tcW w:type="dxa" w:w="1656"/>
            <w:vAlign w:val="center"/>
            <w:tcMar>
              <w:top w:w="90" w:type="dxa"/>
              <w:start w:w="100" w:type="dxa"/>
              <w:bottom w:w="90" w:type="dxa"/>
              <w:end w:w="100" w:type="dxa"/>
            </w:tcMar>
            <w:shd w:fill="F4F5F1"/>
          </w:tcPr>
          <w:p>
            <w:pPr>
              <w:keepNext w:val="0"/>
              <w:spacing w:after="0" w:line="259" w:lineRule="auto"/>
            </w:pPr>
            <w:r>
              <w:rPr>
                <w:rFonts w:ascii="Arial" w:hAnsi="Arial" w:eastAsia="Arial"/>
                <w:color w:val="111815"/>
                <w:sz w:val="16"/>
              </w:rPr>
              <w:t>M-13 to M-17</w:t>
            </w:r>
          </w:p>
        </w:tc>
        <w:tc>
          <w:tcPr>
            <w:tcW w:type="dxa" w:w="3168"/>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Inventory scheduling and queues</w:t>
            </w:r>
          </w:p>
        </w:tc>
        <w:tc>
          <w:tcPr>
            <w:tcW w:type="dxa" w:w="5040"/>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Safety stock, allocation, sequencing, simulation and queueing</w:t>
            </w:r>
          </w:p>
        </w:tc>
      </w:tr>
      <w:tr>
        <w:trPr>
          <w:cantSplit/>
        </w:trPr>
        <w:tc>
          <w:tcPr>
            <w:tcW w:type="dxa" w:w="1656"/>
            <w:vAlign w:val="center"/>
            <w:tcMar>
              <w:top w:w="90" w:type="dxa"/>
              <w:start w:w="100" w:type="dxa"/>
              <w:bottom w:w="90" w:type="dxa"/>
              <w:end w:w="100" w:type="dxa"/>
            </w:tcMar>
          </w:tcPr>
          <w:p>
            <w:pPr>
              <w:keepNext w:val="0"/>
              <w:spacing w:after="0" w:line="259" w:lineRule="auto"/>
            </w:pPr>
            <w:r>
              <w:rPr>
                <w:rFonts w:ascii="Arial" w:hAnsi="Arial" w:eastAsia="Arial"/>
                <w:color w:val="111815"/>
                <w:sz w:val="16"/>
              </w:rPr>
              <w:t>M-18 to M-21</w:t>
            </w:r>
          </w:p>
        </w:tc>
        <w:tc>
          <w:tcPr>
            <w:tcW w:type="dxa" w:w="3168"/>
            <w:vAlign w:val="center"/>
            <w:tcMar>
              <w:top w:w="90" w:type="dxa"/>
              <w:start w:w="100" w:type="dxa"/>
              <w:bottom w:w="90" w:type="dxa"/>
              <w:end w:w="100" w:type="dxa"/>
            </w:tcMar>
          </w:tcPr>
          <w:p>
            <w:pPr>
              <w:spacing w:after="0" w:line="259" w:lineRule="auto"/>
            </w:pPr>
            <w:r>
              <w:rPr>
                <w:rFonts w:ascii="Arial" w:hAnsi="Arial" w:eastAsia="Arial"/>
                <w:color w:val="111815"/>
                <w:sz w:val="16"/>
              </w:rPr>
              <w:t>Risk probability and decision analysis</w:t>
            </w:r>
          </w:p>
        </w:tc>
        <w:tc>
          <w:tcPr>
            <w:tcW w:type="dxa" w:w="5040"/>
            <w:vAlign w:val="center"/>
            <w:tcMar>
              <w:top w:w="90" w:type="dxa"/>
              <w:start w:w="100" w:type="dxa"/>
              <w:bottom w:w="90" w:type="dxa"/>
              <w:end w:w="100" w:type="dxa"/>
            </w:tcMar>
          </w:tcPr>
          <w:p>
            <w:pPr>
              <w:spacing w:after="0" w:line="259" w:lineRule="auto"/>
            </w:pPr>
            <w:r>
              <w:rPr>
                <w:rFonts w:ascii="Arial" w:hAnsi="Arial" w:eastAsia="Arial"/>
                <w:color w:val="111815"/>
                <w:sz w:val="16"/>
              </w:rPr>
              <w:t>Reliability, stochastic risk, Monte Carlo, decision trees</w:t>
            </w:r>
          </w:p>
        </w:tc>
      </w:tr>
      <w:tr>
        <w:trPr>
          <w:cantSplit/>
        </w:trPr>
        <w:tc>
          <w:tcPr>
            <w:tcW w:type="dxa" w:w="1656"/>
            <w:vAlign w:val="center"/>
            <w:tcMar>
              <w:top w:w="90" w:type="dxa"/>
              <w:start w:w="100" w:type="dxa"/>
              <w:bottom w:w="90" w:type="dxa"/>
              <w:end w:w="100" w:type="dxa"/>
            </w:tcMar>
            <w:shd w:fill="F4F5F1"/>
          </w:tcPr>
          <w:p>
            <w:pPr>
              <w:keepNext w:val="0"/>
              <w:spacing w:after="0" w:line="259" w:lineRule="auto"/>
            </w:pPr>
            <w:r>
              <w:rPr>
                <w:rFonts w:ascii="Arial" w:hAnsi="Arial" w:eastAsia="Arial"/>
                <w:color w:val="111815"/>
                <w:sz w:val="16"/>
              </w:rPr>
              <w:t>M-22 to M-25</w:t>
            </w:r>
          </w:p>
        </w:tc>
        <w:tc>
          <w:tcPr>
            <w:tcW w:type="dxa" w:w="3168"/>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Robustness decomposition and search</w:t>
            </w:r>
          </w:p>
        </w:tc>
        <w:tc>
          <w:tcPr>
            <w:tcW w:type="dxa" w:w="5040"/>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Robust optimization, decomposition, heuristics, metaheuristics</w:t>
            </w:r>
          </w:p>
        </w:tc>
      </w:tr>
      <w:tr>
        <w:trPr>
          <w:cantSplit/>
        </w:trPr>
        <w:tc>
          <w:tcPr>
            <w:tcW w:type="dxa" w:w="1656"/>
            <w:vAlign w:val="center"/>
            <w:tcMar>
              <w:top w:w="90" w:type="dxa"/>
              <w:start w:w="100" w:type="dxa"/>
              <w:bottom w:w="90" w:type="dxa"/>
              <w:end w:w="100" w:type="dxa"/>
            </w:tcMar>
          </w:tcPr>
          <w:p>
            <w:pPr>
              <w:keepNext w:val="0"/>
              <w:spacing w:after="0" w:line="259" w:lineRule="auto"/>
            </w:pPr>
            <w:r>
              <w:rPr>
                <w:rFonts w:ascii="Arial" w:hAnsi="Arial" w:eastAsia="Arial"/>
                <w:color w:val="111815"/>
                <w:sz w:val="16"/>
              </w:rPr>
              <w:t>M-26 to M-30</w:t>
            </w:r>
          </w:p>
        </w:tc>
        <w:tc>
          <w:tcPr>
            <w:tcW w:type="dxa" w:w="3168"/>
            <w:vAlign w:val="center"/>
            <w:tcMar>
              <w:top w:w="90" w:type="dxa"/>
              <w:start w:w="100" w:type="dxa"/>
              <w:bottom w:w="90" w:type="dxa"/>
              <w:end w:w="100" w:type="dxa"/>
            </w:tcMar>
          </w:tcPr>
          <w:p>
            <w:pPr>
              <w:spacing w:after="0" w:line="259" w:lineRule="auto"/>
            </w:pPr>
            <w:r>
              <w:rPr>
                <w:rFonts w:ascii="Arial" w:hAnsi="Arial" w:eastAsia="Arial"/>
                <w:color w:val="111815"/>
                <w:sz w:val="16"/>
              </w:rPr>
              <w:t>Learning control and validation</w:t>
            </w:r>
          </w:p>
        </w:tc>
        <w:tc>
          <w:tcPr>
            <w:tcW w:type="dxa" w:w="5040"/>
            <w:vAlign w:val="center"/>
            <w:tcMar>
              <w:top w:w="90" w:type="dxa"/>
              <w:start w:w="100" w:type="dxa"/>
              <w:bottom w:w="90" w:type="dxa"/>
              <w:end w:w="100" w:type="dxa"/>
            </w:tcMar>
          </w:tcPr>
          <w:p>
            <w:pPr>
              <w:spacing w:after="0" w:line="259" w:lineRule="auto"/>
            </w:pPr>
            <w:r>
              <w:rPr>
                <w:rFonts w:ascii="Arial" w:hAnsi="Arial" w:eastAsia="Arial"/>
                <w:color w:val="111815"/>
                <w:sz w:val="16"/>
              </w:rPr>
              <w:t>Reinforcement learning, control, digital twins, causal validation, human factors</w:t>
            </w:r>
          </w:p>
        </w:tc>
      </w:tr>
    </w:tbl>
    <w:p>
      <w:pPr>
        <w:spacing w:after="0" w:before="0"/>
      </w:pPr>
    </w:p>
    <w:p>
      <w:r>
        <w:br w:type="page"/>
      </w:r>
    </w:p>
    <w:p>
      <w:pPr>
        <w:spacing w:after="100"/>
      </w:pPr>
      <w:r>
        <w:rPr>
          <w:rFonts w:ascii="Arial" w:hAnsi="Arial" w:eastAsia="Arial"/>
          <w:b/>
          <w:color w:val="FF6B35"/>
          <w:sz w:val="17"/>
        </w:rPr>
        <w:t>END TO END STORY</w:t>
      </w:r>
    </w:p>
    <w:p>
      <w:pPr>
        <w:pStyle w:val="Heading1"/>
        <w:keepNext/>
      </w:pPr>
      <w:r>
        <w:t>Walk Anode Shield from evidence to review</w:t>
      </w:r>
    </w:p>
    <w:p>
      <w:pPr>
        <w:spacing w:after="200"/>
      </w:pPr>
      <w:r>
        <w:t>Use this storyline when demonstrating how one project combines apps, agents, OR methods, evidence, and human expertise.</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541"/>
        <w:gridCol w:w="2541"/>
        <w:gridCol w:w="2541"/>
        <w:gridCol w:w="2541"/>
      </w:tblGrid>
      <w:tr>
        <w:trPr>
          <w:tblHeader w:val="true"/>
          <w:cantSplit/>
        </w:trPr>
        <w:tc>
          <w:tcPr>
            <w:tcW w:type="dxa" w:w="648"/>
            <w:vAlign w:val="center"/>
            <w:tcMar>
              <w:top w:w="90" w:type="dxa"/>
              <w:start w:w="100" w:type="dxa"/>
              <w:bottom w:w="90" w:type="dxa"/>
              <w:end w:w="100" w:type="dxa"/>
            </w:tcMar>
            <w:shd w:fill="111815"/>
          </w:tcPr>
          <w:p>
            <w:pPr>
              <w:spacing w:after="0" w:line="259" w:lineRule="auto"/>
            </w:pPr>
            <w:r>
              <w:rPr>
                <w:rFonts w:ascii="Arial" w:hAnsi="Arial" w:eastAsia="Arial"/>
                <w:b/>
                <w:color w:val="FFFFFF"/>
                <w:sz w:val="16"/>
              </w:rPr>
              <w:t>Step</w:t>
            </w:r>
          </w:p>
        </w:tc>
        <w:tc>
          <w:tcPr>
            <w:tcW w:type="dxa" w:w="2880"/>
            <w:vAlign w:val="center"/>
            <w:tcMar>
              <w:top w:w="90" w:type="dxa"/>
              <w:start w:w="100" w:type="dxa"/>
              <w:bottom w:w="90" w:type="dxa"/>
              <w:end w:w="100" w:type="dxa"/>
            </w:tcMar>
            <w:shd w:fill="111815"/>
          </w:tcPr>
          <w:p>
            <w:pPr>
              <w:spacing w:after="0" w:line="259" w:lineRule="auto"/>
            </w:pPr>
            <w:r>
              <w:rPr>
                <w:rFonts w:ascii="Arial" w:hAnsi="Arial" w:eastAsia="Arial"/>
                <w:b/>
                <w:color w:val="FFFFFF"/>
                <w:sz w:val="16"/>
              </w:rPr>
              <w:t>Action</w:t>
            </w:r>
          </w:p>
        </w:tc>
        <w:tc>
          <w:tcPr>
            <w:tcW w:type="dxa" w:w="4464"/>
            <w:vAlign w:val="center"/>
            <w:tcMar>
              <w:top w:w="90" w:type="dxa"/>
              <w:start w:w="100" w:type="dxa"/>
              <w:bottom w:w="90" w:type="dxa"/>
              <w:end w:w="100" w:type="dxa"/>
            </w:tcMar>
            <w:shd w:fill="111815"/>
          </w:tcPr>
          <w:p>
            <w:pPr>
              <w:spacing w:after="0" w:line="259" w:lineRule="auto"/>
            </w:pPr>
            <w:r>
              <w:rPr>
                <w:rFonts w:ascii="Arial" w:hAnsi="Arial" w:eastAsia="Arial"/>
                <w:b/>
                <w:color w:val="FFFFFF"/>
                <w:sz w:val="16"/>
              </w:rPr>
              <w:t>Narration</w:t>
            </w:r>
          </w:p>
        </w:tc>
        <w:tc>
          <w:tcPr>
            <w:tcW w:type="dxa" w:w="1872"/>
            <w:vAlign w:val="center"/>
            <w:tcMar>
              <w:top w:w="90" w:type="dxa"/>
              <w:start w:w="100" w:type="dxa"/>
              <w:bottom w:w="90" w:type="dxa"/>
              <w:end w:w="100" w:type="dxa"/>
            </w:tcMar>
            <w:shd w:fill="111815"/>
          </w:tcPr>
          <w:p>
            <w:pPr>
              <w:spacing w:after="0" w:line="259" w:lineRule="auto"/>
            </w:pPr>
            <w:r>
              <w:rPr>
                <w:rFonts w:ascii="Arial" w:hAnsi="Arial" w:eastAsia="Arial"/>
                <w:b/>
                <w:color w:val="FFFFFF"/>
                <w:sz w:val="16"/>
              </w:rPr>
              <w:t>Visible proof</w:t>
            </w:r>
          </w:p>
        </w:tc>
      </w:tr>
      <w:tr>
        <w:trPr>
          <w:cantSplit/>
        </w:trPr>
        <w:tc>
          <w:tcPr>
            <w:tcW w:type="dxa" w:w="648"/>
            <w:vAlign w:val="center"/>
            <w:tcMar>
              <w:top w:w="90" w:type="dxa"/>
              <w:start w:w="100" w:type="dxa"/>
              <w:bottom w:w="90" w:type="dxa"/>
              <w:end w:w="100" w:type="dxa"/>
            </w:tcMar>
          </w:tcPr>
          <w:p>
            <w:pPr>
              <w:keepNext w:val="0"/>
              <w:spacing w:after="0" w:line="259" w:lineRule="auto"/>
            </w:pPr>
            <w:r>
              <w:rPr>
                <w:rFonts w:ascii="Arial" w:hAnsi="Arial" w:eastAsia="Arial"/>
                <w:color w:val="111815"/>
                <w:sz w:val="15"/>
              </w:rPr>
              <w:t>1</w:t>
            </w:r>
          </w:p>
        </w:tc>
        <w:tc>
          <w:tcPr>
            <w:tcW w:type="dxa" w:w="2880"/>
            <w:vAlign w:val="center"/>
            <w:tcMar>
              <w:top w:w="90" w:type="dxa"/>
              <w:start w:w="100" w:type="dxa"/>
              <w:bottom w:w="90" w:type="dxa"/>
              <w:end w:w="100" w:type="dxa"/>
            </w:tcMar>
          </w:tcPr>
          <w:p>
            <w:pPr>
              <w:spacing w:after="0" w:line="259" w:lineRule="auto"/>
            </w:pPr>
            <w:r>
              <w:rPr>
                <w:rFonts w:ascii="Arial" w:hAnsi="Arial" w:eastAsia="Arial"/>
                <w:color w:val="111815"/>
                <w:sz w:val="15"/>
              </w:rPr>
              <w:t>Select Mobility and EV, Apex Mobility, Anode Shield</w:t>
            </w:r>
          </w:p>
        </w:tc>
        <w:tc>
          <w:tcPr>
            <w:tcW w:type="dxa" w:w="4464"/>
            <w:vAlign w:val="center"/>
            <w:tcMar>
              <w:top w:w="90" w:type="dxa"/>
              <w:start w:w="100" w:type="dxa"/>
              <w:bottom w:w="90" w:type="dxa"/>
              <w:end w:w="100" w:type="dxa"/>
            </w:tcMar>
          </w:tcPr>
          <w:p>
            <w:pPr>
              <w:spacing w:after="0" w:line="259" w:lineRule="auto"/>
            </w:pPr>
            <w:r>
              <w:rPr>
                <w:rFonts w:ascii="Arial" w:hAnsi="Arial" w:eastAsia="Arial"/>
                <w:color w:val="111815"/>
                <w:sz w:val="15"/>
              </w:rPr>
              <w:t>The project owns the decision memory and access context.</w:t>
            </w:r>
          </w:p>
        </w:tc>
        <w:tc>
          <w:tcPr>
            <w:tcW w:type="dxa" w:w="1872"/>
            <w:vAlign w:val="center"/>
            <w:tcMar>
              <w:top w:w="90" w:type="dxa"/>
              <w:start w:w="100" w:type="dxa"/>
              <w:bottom w:w="90" w:type="dxa"/>
              <w:end w:w="100" w:type="dxa"/>
            </w:tcMar>
          </w:tcPr>
          <w:p>
            <w:pPr>
              <w:spacing w:after="0" w:line="259" w:lineRule="auto"/>
            </w:pPr>
            <w:r>
              <w:rPr>
                <w:rFonts w:ascii="Arial" w:hAnsi="Arial" w:eastAsia="Arial"/>
                <w:color w:val="111815"/>
                <w:sz w:val="15"/>
              </w:rPr>
              <w:t>P-001 header and project metrics</w:t>
            </w:r>
          </w:p>
        </w:tc>
      </w:tr>
      <w:tr>
        <w:trPr>
          <w:cantSplit/>
        </w:trPr>
        <w:tc>
          <w:tcPr>
            <w:tcW w:type="dxa" w:w="648"/>
            <w:vAlign w:val="center"/>
            <w:tcMar>
              <w:top w:w="90" w:type="dxa"/>
              <w:start w:w="100" w:type="dxa"/>
              <w:bottom w:w="90" w:type="dxa"/>
              <w:end w:w="100" w:type="dxa"/>
            </w:tcMar>
            <w:shd w:fill="F4F5F1"/>
          </w:tcPr>
          <w:p>
            <w:pPr>
              <w:keepNext w:val="0"/>
              <w:spacing w:after="0" w:line="259" w:lineRule="auto"/>
            </w:pPr>
            <w:r>
              <w:rPr>
                <w:rFonts w:ascii="Arial" w:hAnsi="Arial" w:eastAsia="Arial"/>
                <w:color w:val="111815"/>
                <w:sz w:val="15"/>
              </w:rPr>
              <w:t>2</w:t>
            </w:r>
          </w:p>
        </w:tc>
        <w:tc>
          <w:tcPr>
            <w:tcW w:type="dxa" w:w="2880"/>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Open Value at risk</w:t>
            </w:r>
          </w:p>
        </w:tc>
        <w:tc>
          <w:tcPr>
            <w:tcW w:type="dxa" w:w="4464"/>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The value is a simulated P90 contribution exposure, not a finance-system fact.</w:t>
            </w:r>
          </w:p>
        </w:tc>
        <w:tc>
          <w:tcPr>
            <w:tcW w:type="dxa" w:w="1872"/>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EV-001-01 receipt</w:t>
            </w:r>
          </w:p>
        </w:tc>
      </w:tr>
      <w:tr>
        <w:trPr>
          <w:cantSplit/>
        </w:trPr>
        <w:tc>
          <w:tcPr>
            <w:tcW w:type="dxa" w:w="648"/>
            <w:vAlign w:val="center"/>
            <w:tcMar>
              <w:top w:w="90" w:type="dxa"/>
              <w:start w:w="100" w:type="dxa"/>
              <w:bottom w:w="90" w:type="dxa"/>
              <w:end w:w="100" w:type="dxa"/>
            </w:tcMar>
          </w:tcPr>
          <w:p>
            <w:pPr>
              <w:keepNext w:val="0"/>
              <w:spacing w:after="0" w:line="259" w:lineRule="auto"/>
            </w:pPr>
            <w:r>
              <w:rPr>
                <w:rFonts w:ascii="Arial" w:hAnsi="Arial" w:eastAsia="Arial"/>
                <w:color w:val="111815"/>
                <w:sz w:val="15"/>
              </w:rPr>
              <w:t>3</w:t>
            </w:r>
          </w:p>
        </w:tc>
        <w:tc>
          <w:tcPr>
            <w:tcW w:type="dxa" w:w="2880"/>
            <w:vAlign w:val="center"/>
            <w:tcMar>
              <w:top w:w="90" w:type="dxa"/>
              <w:start w:w="100" w:type="dxa"/>
              <w:bottom w:w="90" w:type="dxa"/>
              <w:end w:w="100" w:type="dxa"/>
            </w:tcMar>
          </w:tcPr>
          <w:p>
            <w:pPr>
              <w:spacing w:after="0" w:line="259" w:lineRule="auto"/>
            </w:pPr>
            <w:r>
              <w:rPr>
                <w:rFonts w:ascii="Arial" w:hAnsi="Arial" w:eastAsia="Arial"/>
                <w:color w:val="111815"/>
                <w:sz w:val="15"/>
              </w:rPr>
              <w:t>Open Graph</w:t>
            </w:r>
          </w:p>
        </w:tc>
        <w:tc>
          <w:tcPr>
            <w:tcW w:type="dxa" w:w="4464"/>
            <w:vAlign w:val="center"/>
            <w:tcMar>
              <w:top w:w="90" w:type="dxa"/>
              <w:start w:w="100" w:type="dxa"/>
              <w:bottom w:w="90" w:type="dxa"/>
              <w:end w:w="100" w:type="dxa"/>
            </w:tcMar>
          </w:tcPr>
          <w:p>
            <w:pPr>
              <w:spacing w:after="0" w:line="259" w:lineRule="auto"/>
            </w:pPr>
            <w:r>
              <w:rPr>
                <w:rFonts w:ascii="Arial" w:hAnsi="Arial" w:eastAsia="Arial"/>
                <w:color w:val="111815"/>
                <w:sz w:val="15"/>
              </w:rPr>
              <w:t>The trace connects project evidence to supplier, material, route, plant, product, and decision nodes.</w:t>
            </w:r>
          </w:p>
        </w:tc>
        <w:tc>
          <w:tcPr>
            <w:tcW w:type="dxa" w:w="1872"/>
            <w:vAlign w:val="center"/>
            <w:tcMar>
              <w:top w:w="90" w:type="dxa"/>
              <w:start w:w="100" w:type="dxa"/>
              <w:bottom w:w="90" w:type="dxa"/>
              <w:end w:w="100" w:type="dxa"/>
            </w:tcMar>
          </w:tcPr>
          <w:p>
            <w:pPr>
              <w:spacing w:after="0" w:line="259" w:lineRule="auto"/>
            </w:pPr>
            <w:r>
              <w:rPr>
                <w:rFonts w:ascii="Arial" w:hAnsi="Arial" w:eastAsia="Arial"/>
                <w:color w:val="111815"/>
                <w:sz w:val="15"/>
              </w:rPr>
              <w:t>Selectable nodes and trace steps</w:t>
            </w:r>
          </w:p>
        </w:tc>
      </w:tr>
      <w:tr>
        <w:trPr>
          <w:cantSplit/>
        </w:trPr>
        <w:tc>
          <w:tcPr>
            <w:tcW w:type="dxa" w:w="648"/>
            <w:vAlign w:val="center"/>
            <w:tcMar>
              <w:top w:w="90" w:type="dxa"/>
              <w:start w:w="100" w:type="dxa"/>
              <w:bottom w:w="90" w:type="dxa"/>
              <w:end w:w="100" w:type="dxa"/>
            </w:tcMar>
            <w:shd w:fill="F4F5F1"/>
          </w:tcPr>
          <w:p>
            <w:pPr>
              <w:keepNext w:val="0"/>
              <w:spacing w:after="0" w:line="259" w:lineRule="auto"/>
            </w:pPr>
            <w:r>
              <w:rPr>
                <w:rFonts w:ascii="Arial" w:hAnsi="Arial" w:eastAsia="Arial"/>
                <w:color w:val="111815"/>
                <w:sz w:val="15"/>
              </w:rPr>
              <w:t>4</w:t>
            </w:r>
          </w:p>
        </w:tc>
        <w:tc>
          <w:tcPr>
            <w:tcW w:type="dxa" w:w="2880"/>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Open Agents and select the OR specialist</w:t>
            </w:r>
          </w:p>
        </w:tc>
        <w:tc>
          <w:tcPr>
            <w:tcW w:type="dxa" w:w="4464"/>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The visible trace is a product execution log, not private reasoning.</w:t>
            </w:r>
          </w:p>
        </w:tc>
        <w:tc>
          <w:tcPr>
            <w:tcW w:type="dxa" w:w="1872"/>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Agent profile and prompt-bound trace</w:t>
            </w:r>
          </w:p>
        </w:tc>
      </w:tr>
      <w:tr>
        <w:trPr>
          <w:cantSplit/>
        </w:trPr>
        <w:tc>
          <w:tcPr>
            <w:tcW w:type="dxa" w:w="648"/>
            <w:vAlign w:val="center"/>
            <w:tcMar>
              <w:top w:w="90" w:type="dxa"/>
              <w:start w:w="100" w:type="dxa"/>
              <w:bottom w:w="90" w:type="dxa"/>
              <w:end w:w="100" w:type="dxa"/>
            </w:tcMar>
          </w:tcPr>
          <w:p>
            <w:pPr>
              <w:keepNext w:val="0"/>
              <w:spacing w:after="0" w:line="259" w:lineRule="auto"/>
            </w:pPr>
            <w:r>
              <w:rPr>
                <w:rFonts w:ascii="Arial" w:hAnsi="Arial" w:eastAsia="Arial"/>
                <w:color w:val="111815"/>
                <w:sz w:val="15"/>
              </w:rPr>
              <w:t>5</w:t>
            </w:r>
          </w:p>
        </w:tc>
        <w:tc>
          <w:tcPr>
            <w:tcW w:type="dxa" w:w="2880"/>
            <w:vAlign w:val="center"/>
            <w:tcMar>
              <w:top w:w="90" w:type="dxa"/>
              <w:start w:w="100" w:type="dxa"/>
              <w:bottom w:w="90" w:type="dxa"/>
              <w:end w:w="100" w:type="dxa"/>
            </w:tcMar>
          </w:tcPr>
          <w:p>
            <w:pPr>
              <w:spacing w:after="0" w:line="259" w:lineRule="auto"/>
            </w:pPr>
            <w:r>
              <w:rPr>
                <w:rFonts w:ascii="Arial" w:hAnsi="Arial" w:eastAsia="Arial"/>
                <w:color w:val="111815"/>
                <w:sz w:val="15"/>
              </w:rPr>
              <w:t>Steer with Preserve service floor and Require human review</w:t>
            </w:r>
          </w:p>
        </w:tc>
        <w:tc>
          <w:tcPr>
            <w:tcW w:type="dxa" w:w="4464"/>
            <w:vAlign w:val="center"/>
            <w:tcMar>
              <w:top w:w="90" w:type="dxa"/>
              <w:start w:w="100" w:type="dxa"/>
              <w:bottom w:w="90" w:type="dxa"/>
              <w:end w:w="100" w:type="dxa"/>
            </w:tcMar>
          </w:tcPr>
          <w:p>
            <w:pPr>
              <w:spacing w:after="0" w:line="259" w:lineRule="auto"/>
            </w:pPr>
            <w:r>
              <w:rPr>
                <w:rFonts w:ascii="Arial" w:hAnsi="Arial" w:eastAsia="Arial"/>
                <w:color w:val="111815"/>
                <w:sz w:val="15"/>
              </w:rPr>
              <w:t>The instruction becomes part of the current trace context.</w:t>
            </w:r>
          </w:p>
        </w:tc>
        <w:tc>
          <w:tcPr>
            <w:tcW w:type="dxa" w:w="1872"/>
            <w:vAlign w:val="center"/>
            <w:tcMar>
              <w:top w:w="90" w:type="dxa"/>
              <w:start w:w="100" w:type="dxa"/>
              <w:bottom w:w="90" w:type="dxa"/>
              <w:end w:w="100" w:type="dxa"/>
            </w:tcMar>
          </w:tcPr>
          <w:p>
            <w:pPr>
              <w:spacing w:after="0" w:line="259" w:lineRule="auto"/>
            </w:pPr>
            <w:r>
              <w:rPr>
                <w:rFonts w:ascii="Arial" w:hAnsi="Arial" w:eastAsia="Arial"/>
                <w:color w:val="111815"/>
                <w:sz w:val="15"/>
              </w:rPr>
              <w:t>Steering chips and trace state</w:t>
            </w:r>
          </w:p>
        </w:tc>
      </w:tr>
      <w:tr>
        <w:trPr>
          <w:cantSplit/>
        </w:trPr>
        <w:tc>
          <w:tcPr>
            <w:tcW w:type="dxa" w:w="648"/>
            <w:vAlign w:val="center"/>
            <w:tcMar>
              <w:top w:w="90" w:type="dxa"/>
              <w:start w:w="100" w:type="dxa"/>
              <w:bottom w:w="90" w:type="dxa"/>
              <w:end w:w="100" w:type="dxa"/>
            </w:tcMar>
            <w:shd w:fill="F4F5F1"/>
          </w:tcPr>
          <w:p>
            <w:pPr>
              <w:keepNext w:val="0"/>
              <w:spacing w:after="0" w:line="259" w:lineRule="auto"/>
            </w:pPr>
            <w:r>
              <w:rPr>
                <w:rFonts w:ascii="Arial" w:hAnsi="Arial" w:eastAsia="Arial"/>
                <w:color w:val="111815"/>
                <w:sz w:val="15"/>
              </w:rPr>
              <w:t>6</w:t>
            </w:r>
          </w:p>
        </w:tc>
        <w:tc>
          <w:tcPr>
            <w:tcW w:type="dxa" w:w="2880"/>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Open Network Optimizer</w:t>
            </w:r>
          </w:p>
        </w:tc>
        <w:tc>
          <w:tcPr>
            <w:tcW w:type="dxa" w:w="4464"/>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The app carries the same project and selected decision context into formulation and scenario comparison.</w:t>
            </w:r>
          </w:p>
        </w:tc>
        <w:tc>
          <w:tcPr>
            <w:tcW w:type="dxa" w:w="1872"/>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Project binding strip and command bar</w:t>
            </w:r>
          </w:p>
        </w:tc>
      </w:tr>
      <w:tr>
        <w:trPr>
          <w:cantSplit/>
        </w:trPr>
        <w:tc>
          <w:tcPr>
            <w:tcW w:type="dxa" w:w="648"/>
            <w:vAlign w:val="center"/>
            <w:tcMar>
              <w:top w:w="90" w:type="dxa"/>
              <w:start w:w="100" w:type="dxa"/>
              <w:bottom w:w="90" w:type="dxa"/>
              <w:end w:w="100" w:type="dxa"/>
            </w:tcMar>
          </w:tcPr>
          <w:p>
            <w:pPr>
              <w:keepNext w:val="0"/>
              <w:spacing w:after="0" w:line="259" w:lineRule="auto"/>
            </w:pPr>
            <w:r>
              <w:rPr>
                <w:rFonts w:ascii="Arial" w:hAnsi="Arial" w:eastAsia="Arial"/>
                <w:color w:val="111815"/>
                <w:sz w:val="15"/>
              </w:rPr>
              <w:t>7</w:t>
            </w:r>
          </w:p>
        </w:tc>
        <w:tc>
          <w:tcPr>
            <w:tcW w:type="dxa" w:w="2880"/>
            <w:vAlign w:val="center"/>
            <w:tcMar>
              <w:top w:w="90" w:type="dxa"/>
              <w:start w:w="100" w:type="dxa"/>
              <w:bottom w:w="90" w:type="dxa"/>
              <w:end w:w="100" w:type="dxa"/>
            </w:tcMar>
          </w:tcPr>
          <w:p>
            <w:pPr>
              <w:spacing w:after="0" w:line="259" w:lineRule="auto"/>
            </w:pPr>
            <w:r>
              <w:rPr>
                <w:rFonts w:ascii="Arial" w:hAnsi="Arial" w:eastAsia="Arial"/>
                <w:color w:val="111815"/>
                <w:sz w:val="15"/>
              </w:rPr>
              <w:t>Inspect method, data, KPI, and change receipts</w:t>
            </w:r>
          </w:p>
        </w:tc>
        <w:tc>
          <w:tcPr>
            <w:tcW w:type="dxa" w:w="4464"/>
            <w:vAlign w:val="center"/>
            <w:tcMar>
              <w:top w:w="90" w:type="dxa"/>
              <w:start w:w="100" w:type="dxa"/>
              <w:bottom w:w="90" w:type="dxa"/>
              <w:end w:w="100" w:type="dxa"/>
            </w:tcMar>
          </w:tcPr>
          <w:p>
            <w:pPr>
              <w:spacing w:after="0" w:line="259" w:lineRule="auto"/>
            </w:pPr>
            <w:r>
              <w:rPr>
                <w:rFonts w:ascii="Arial" w:hAnsi="Arial" w:eastAsia="Arial"/>
                <w:color w:val="111815"/>
                <w:sz w:val="15"/>
              </w:rPr>
              <w:t>Every app-level count and target says whether it is a catalog item, target contract, or fixture result.</w:t>
            </w:r>
          </w:p>
        </w:tc>
        <w:tc>
          <w:tcPr>
            <w:tcW w:type="dxa" w:w="1872"/>
            <w:vAlign w:val="center"/>
            <w:tcMar>
              <w:top w:w="90" w:type="dxa"/>
              <w:start w:w="100" w:type="dxa"/>
              <w:bottom w:w="90" w:type="dxa"/>
              <w:end w:w="100" w:type="dxa"/>
            </w:tcMar>
          </w:tcPr>
          <w:p>
            <w:pPr>
              <w:spacing w:after="0" w:line="259" w:lineRule="auto"/>
            </w:pPr>
            <w:r>
              <w:rPr>
                <w:rFonts w:ascii="Arial" w:hAnsi="Arial" w:eastAsia="Arial"/>
                <w:color w:val="111815"/>
                <w:sz w:val="15"/>
              </w:rPr>
              <w:t>Session receipt ledger</w:t>
            </w:r>
          </w:p>
        </w:tc>
      </w:tr>
      <w:tr>
        <w:trPr>
          <w:cantSplit/>
        </w:trPr>
        <w:tc>
          <w:tcPr>
            <w:tcW w:type="dxa" w:w="648"/>
            <w:vAlign w:val="center"/>
            <w:tcMar>
              <w:top w:w="90" w:type="dxa"/>
              <w:start w:w="100" w:type="dxa"/>
              <w:bottom w:w="90" w:type="dxa"/>
              <w:end w:w="100" w:type="dxa"/>
            </w:tcMar>
            <w:shd w:fill="F4F5F1"/>
          </w:tcPr>
          <w:p>
            <w:pPr>
              <w:keepNext w:val="0"/>
              <w:spacing w:after="0" w:line="259" w:lineRule="auto"/>
            </w:pPr>
            <w:r>
              <w:rPr>
                <w:rFonts w:ascii="Arial" w:hAnsi="Arial" w:eastAsia="Arial"/>
                <w:color w:val="111815"/>
                <w:sz w:val="15"/>
              </w:rPr>
              <w:t>8</w:t>
            </w:r>
          </w:p>
        </w:tc>
        <w:tc>
          <w:tcPr>
            <w:tcW w:type="dxa" w:w="2880"/>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Open Decisions and create expert review draft</w:t>
            </w:r>
          </w:p>
        </w:tc>
        <w:tc>
          <w:tcPr>
            <w:tcW w:type="dxa" w:w="4464"/>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The package binds D0 to D3 choices, L2 L1 L0 variables, methods, and evidence.</w:t>
            </w:r>
          </w:p>
        </w:tc>
        <w:tc>
          <w:tcPr>
            <w:tcW w:type="dxa" w:w="1872"/>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Review draft receipt</w:t>
            </w:r>
          </w:p>
        </w:tc>
      </w:tr>
      <w:tr>
        <w:trPr>
          <w:cantSplit/>
        </w:trPr>
        <w:tc>
          <w:tcPr>
            <w:tcW w:type="dxa" w:w="648"/>
            <w:vAlign w:val="center"/>
            <w:tcMar>
              <w:top w:w="90" w:type="dxa"/>
              <w:start w:w="100" w:type="dxa"/>
              <w:bottom w:w="90" w:type="dxa"/>
              <w:end w:w="100" w:type="dxa"/>
            </w:tcMar>
          </w:tcPr>
          <w:p>
            <w:pPr>
              <w:keepNext w:val="0"/>
              <w:spacing w:after="0" w:line="259" w:lineRule="auto"/>
            </w:pPr>
            <w:r>
              <w:rPr>
                <w:rFonts w:ascii="Arial" w:hAnsi="Arial" w:eastAsia="Arial"/>
                <w:color w:val="111815"/>
                <w:sz w:val="15"/>
              </w:rPr>
              <w:t>9</w:t>
            </w:r>
          </w:p>
        </w:tc>
        <w:tc>
          <w:tcPr>
            <w:tcW w:type="dxa" w:w="2880"/>
            <w:vAlign w:val="center"/>
            <w:tcMar>
              <w:top w:w="90" w:type="dxa"/>
              <w:start w:w="100" w:type="dxa"/>
              <w:bottom w:w="90" w:type="dxa"/>
              <w:end w:w="100" w:type="dxa"/>
            </w:tcMar>
          </w:tcPr>
          <w:p>
            <w:pPr>
              <w:spacing w:after="0" w:line="259" w:lineRule="auto"/>
            </w:pPr>
            <w:r>
              <w:rPr>
                <w:rFonts w:ascii="Arial" w:hAnsi="Arial" w:eastAsia="Arial"/>
                <w:color w:val="111815"/>
                <w:sz w:val="15"/>
              </w:rPr>
              <w:t>Open Decision and scenario receipts</w:t>
            </w:r>
          </w:p>
        </w:tc>
        <w:tc>
          <w:tcPr>
            <w:tcW w:type="dxa" w:w="4464"/>
            <w:vAlign w:val="center"/>
            <w:tcMar>
              <w:top w:w="90" w:type="dxa"/>
              <w:start w:w="100" w:type="dxa"/>
              <w:bottom w:w="90" w:type="dxa"/>
              <w:end w:w="100" w:type="dxa"/>
            </w:tcMar>
          </w:tcPr>
          <w:p>
            <w:pPr>
              <w:spacing w:after="0" w:line="259" w:lineRule="auto"/>
            </w:pPr>
            <w:r>
              <w:rPr>
                <w:rFonts w:ascii="Arial" w:hAnsi="Arial" w:eastAsia="Arial"/>
                <w:color w:val="111815"/>
                <w:sz w:val="15"/>
              </w:rPr>
              <w:t>The decision compares alternatives without calling a solver or labeling a result optimal.</w:t>
            </w:r>
          </w:p>
        </w:tc>
        <w:tc>
          <w:tcPr>
            <w:tcW w:type="dxa" w:w="1872"/>
            <w:vAlign w:val="center"/>
            <w:tcMar>
              <w:top w:w="90" w:type="dxa"/>
              <w:start w:w="100" w:type="dxa"/>
              <w:bottom w:w="90" w:type="dxa"/>
              <w:end w:w="100" w:type="dxa"/>
            </w:tcMar>
          </w:tcPr>
          <w:p>
            <w:pPr>
              <w:spacing w:after="0" w:line="259" w:lineRule="auto"/>
            </w:pPr>
            <w:r>
              <w:rPr>
                <w:rFonts w:ascii="Arial" w:hAnsi="Arial" w:eastAsia="Arial"/>
                <w:color w:val="111815"/>
                <w:sz w:val="15"/>
              </w:rPr>
              <w:t>Scenario receipt and claim boundary</w:t>
            </w:r>
          </w:p>
        </w:tc>
      </w:tr>
      <w:tr>
        <w:trPr>
          <w:cantSplit/>
        </w:trPr>
        <w:tc>
          <w:tcPr>
            <w:tcW w:type="dxa" w:w="648"/>
            <w:vAlign w:val="center"/>
            <w:tcMar>
              <w:top w:w="90" w:type="dxa"/>
              <w:start w:w="100" w:type="dxa"/>
              <w:bottom w:w="90" w:type="dxa"/>
              <w:end w:w="100" w:type="dxa"/>
            </w:tcMar>
            <w:shd w:fill="F4F5F1"/>
          </w:tcPr>
          <w:p>
            <w:pPr>
              <w:keepNext w:val="0"/>
              <w:spacing w:after="0" w:line="259" w:lineRule="auto"/>
            </w:pPr>
            <w:r>
              <w:rPr>
                <w:rFonts w:ascii="Arial" w:hAnsi="Arial" w:eastAsia="Arial"/>
                <w:color w:val="111815"/>
                <w:sz w:val="15"/>
              </w:rPr>
              <w:t>10</w:t>
            </w:r>
          </w:p>
        </w:tc>
        <w:tc>
          <w:tcPr>
            <w:tcW w:type="dxa" w:w="2880"/>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Open Review</w:t>
            </w:r>
          </w:p>
        </w:tc>
        <w:tc>
          <w:tcPr>
            <w:tcW w:type="dxa" w:w="4464"/>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The release either changes the browser-session decision stage or explains the failed prerequisite.</w:t>
            </w:r>
          </w:p>
        </w:tc>
        <w:tc>
          <w:tcPr>
            <w:tcW w:type="dxa" w:w="1872"/>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Saved or Blocked receipt</w:t>
            </w:r>
          </w:p>
        </w:tc>
      </w:tr>
    </w:tbl>
    <w:p>
      <w:pPr>
        <w:spacing w:after="0" w:before="0"/>
      </w:pPr>
    </w:p>
    <w:p>
      <w:pPr>
        <w:pStyle w:val="Heading2"/>
        <w:keepNext/>
      </w:pPr>
      <w:r>
        <w:t>A second storyline</w:t>
      </w:r>
    </w:p>
    <w:p>
      <w:r>
        <w:t>For ports and cargo, select P-008 Global Berth to Door. Open LogisticsRadar, choose route and transfer layers, focus a port region, pin a cargo or handoff, and inspect quantity and value. Return to Data to request a future QR custody feed or port update under the client and project boundary.</w:t>
      </w:r>
    </w:p>
    <w:p>
      <w:r>
        <w:br w:type="page"/>
      </w:r>
    </w:p>
    <w:p>
      <w:pPr>
        <w:spacing w:after="100"/>
      </w:pPr>
      <w:r>
        <w:rPr>
          <w:rFonts w:ascii="Arial" w:hAnsi="Arial" w:eastAsia="Arial"/>
          <w:b/>
          <w:color w:val="FF6B35"/>
          <w:sz w:val="17"/>
        </w:rPr>
        <w:t>DEEP LINKS AND CONTROLS</w:t>
      </w:r>
    </w:p>
    <w:p>
      <w:pPr>
        <w:pStyle w:val="Heading1"/>
        <w:keepNext/>
      </w:pPr>
      <w:r>
        <w:t>Open a precise workspace</w:t>
      </w:r>
    </w:p>
    <w:p>
      <w:pPr>
        <w:spacing w:after="200"/>
      </w:pPr>
      <w:r>
        <w:t>Maya records navigation context in the query string so a concept walkthrough can start at a specific project tab or app studio.</w:t>
      </w:r>
    </w:p>
    <w:p>
      <w:pPr>
        <w:spacing w:after="40"/>
        <w:ind w:left="360"/>
      </w:pPr>
      <w:r>
        <w:rPr>
          <w:rFonts w:ascii="Consolas" w:hAnsi="Consolas" w:eastAsia="Consolas"/>
          <w:color w:val="111815"/>
          <w:sz w:val="16"/>
        </w:rPr>
        <w:t>?view=company&amp;scope=company&amp;sector=mobility-ev&amp;client=apex-mobility&amp;project=anode-shield&amp;projectTab=overview</w:t>
      </w:r>
    </w:p>
    <w:p>
      <w:pPr>
        <w:spacing w:after="40"/>
        <w:ind w:left="360"/>
      </w:pPr>
      <w:r>
        <w:rPr>
          <w:rFonts w:ascii="Consolas" w:hAnsi="Consolas" w:eastAsia="Consolas"/>
          <w:color w:val="111815"/>
          <w:sz w:val="16"/>
        </w:rPr>
        <w:t>?view=company&amp;scope=company&amp;sector=critical-minerals&amp;client=terrametals&amp;project=lithium-cell-provenance&amp;projectTab=graph</w:t>
      </w:r>
    </w:p>
    <w:p>
      <w:pPr>
        <w:spacing w:after="40"/>
        <w:ind w:left="360"/>
      </w:pPr>
      <w:r>
        <w:rPr>
          <w:rFonts w:ascii="Consolas" w:hAnsi="Consolas" w:eastAsia="Consolas"/>
          <w:color w:val="111815"/>
          <w:sz w:val="16"/>
        </w:rPr>
        <w:t>?view=company&amp;scope=company&amp;sector=ports-maritime&amp;client=blueharbor&amp;project=berth-to-door&amp;projectTab=apps&amp;projectApp=logistics</w:t>
      </w:r>
    </w:p>
    <w:p>
      <w:pPr>
        <w:spacing w:after="40"/>
        <w:ind w:left="360"/>
      </w:pPr>
      <w:r>
        <w:rPr>
          <w:rFonts w:ascii="Consolas" w:hAnsi="Consolas" w:eastAsia="Consolas"/>
          <w:color w:val="111815"/>
          <w:sz w:val="16"/>
        </w:rPr>
        <w:t>?view=optimizer&amp;scope=company&amp;sector=energy-grid&amp;client=solara-grid&amp;project=copper-rare-earth</w:t>
      </w:r>
    </w:p>
    <w:p>
      <w:pPr>
        <w:pStyle w:val="Heading2"/>
        <w:keepNext/>
      </w:pPr>
      <w:r>
        <w:t>Keyboard and shell controls</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5083"/>
        <w:gridCol w:w="5083"/>
      </w:tblGrid>
      <w:tr>
        <w:trPr>
          <w:tblHeader w:val="true"/>
          <w:cantSplit/>
        </w:trPr>
        <w:tc>
          <w:tcPr>
            <w:tcW w:type="dxa" w:w="2952"/>
            <w:vAlign w:val="center"/>
            <w:tcMar>
              <w:top w:w="90" w:type="dxa"/>
              <w:start w:w="100" w:type="dxa"/>
              <w:bottom w:w="90" w:type="dxa"/>
              <w:end w:w="100" w:type="dxa"/>
            </w:tcMar>
            <w:shd w:fill="111815"/>
          </w:tcPr>
          <w:p>
            <w:pPr>
              <w:spacing w:after="0" w:line="259" w:lineRule="auto"/>
            </w:pPr>
            <w:r>
              <w:rPr>
                <w:rFonts w:ascii="Arial" w:hAnsi="Arial" w:eastAsia="Arial"/>
                <w:b/>
                <w:color w:val="FFFFFF"/>
                <w:sz w:val="16"/>
              </w:rPr>
              <w:t>Control</w:t>
            </w:r>
          </w:p>
        </w:tc>
        <w:tc>
          <w:tcPr>
            <w:tcW w:type="dxa" w:w="6912"/>
            <w:vAlign w:val="center"/>
            <w:tcMar>
              <w:top w:w="90" w:type="dxa"/>
              <w:start w:w="100" w:type="dxa"/>
              <w:bottom w:w="90" w:type="dxa"/>
              <w:end w:w="100" w:type="dxa"/>
            </w:tcMar>
            <w:shd w:fill="111815"/>
          </w:tcPr>
          <w:p>
            <w:pPr>
              <w:spacing w:after="0" w:line="259" w:lineRule="auto"/>
            </w:pPr>
            <w:r>
              <w:rPr>
                <w:rFonts w:ascii="Arial" w:hAnsi="Arial" w:eastAsia="Arial"/>
                <w:b/>
                <w:color w:val="FFFFFF"/>
                <w:sz w:val="16"/>
              </w:rPr>
              <w:t>Behavior</w:t>
            </w:r>
          </w:p>
        </w:tc>
      </w:tr>
      <w:tr>
        <w:trPr>
          <w:cantSplit/>
        </w:trPr>
        <w:tc>
          <w:tcPr>
            <w:tcW w:type="dxa" w:w="2952"/>
            <w:vAlign w:val="center"/>
            <w:tcMar>
              <w:top w:w="90" w:type="dxa"/>
              <w:start w:w="100" w:type="dxa"/>
              <w:bottom w:w="90" w:type="dxa"/>
              <w:end w:w="100" w:type="dxa"/>
            </w:tcMar>
          </w:tcPr>
          <w:p>
            <w:pPr>
              <w:keepNext w:val="0"/>
              <w:spacing w:after="0" w:line="259" w:lineRule="auto"/>
            </w:pPr>
            <w:r>
              <w:rPr>
                <w:rFonts w:ascii="Arial" w:hAnsi="Arial" w:eastAsia="Arial"/>
                <w:color w:val="111815"/>
                <w:sz w:val="16"/>
              </w:rPr>
              <w:t>Command K or Control K</w:t>
            </w:r>
          </w:p>
        </w:tc>
        <w:tc>
          <w:tcPr>
            <w:tcW w:type="dxa" w:w="6912"/>
            <w:vAlign w:val="center"/>
            <w:tcMar>
              <w:top w:w="90" w:type="dxa"/>
              <w:start w:w="100" w:type="dxa"/>
              <w:bottom w:w="90" w:type="dxa"/>
              <w:end w:w="100" w:type="dxa"/>
            </w:tcMar>
          </w:tcPr>
          <w:p>
            <w:pPr>
              <w:spacing w:after="0" w:line="259" w:lineRule="auto"/>
            </w:pPr>
            <w:r>
              <w:rPr>
                <w:rFonts w:ascii="Arial" w:hAnsi="Arial" w:eastAsia="Arial"/>
                <w:color w:val="111815"/>
                <w:sz w:val="16"/>
              </w:rPr>
              <w:t>Open global search</w:t>
            </w:r>
          </w:p>
        </w:tc>
      </w:tr>
      <w:tr>
        <w:trPr>
          <w:cantSplit/>
        </w:trPr>
        <w:tc>
          <w:tcPr>
            <w:tcW w:type="dxa" w:w="2952"/>
            <w:vAlign w:val="center"/>
            <w:tcMar>
              <w:top w:w="90" w:type="dxa"/>
              <w:start w:w="100" w:type="dxa"/>
              <w:bottom w:w="90" w:type="dxa"/>
              <w:end w:w="100" w:type="dxa"/>
            </w:tcMar>
            <w:shd w:fill="F4F5F1"/>
          </w:tcPr>
          <w:p>
            <w:pPr>
              <w:keepNext w:val="0"/>
              <w:spacing w:after="0" w:line="259" w:lineRule="auto"/>
            </w:pPr>
            <w:r>
              <w:rPr>
                <w:rFonts w:ascii="Arial" w:hAnsi="Arial" w:eastAsia="Arial"/>
                <w:color w:val="111815"/>
                <w:sz w:val="16"/>
              </w:rPr>
              <w:t>Escape</w:t>
            </w:r>
          </w:p>
        </w:tc>
        <w:tc>
          <w:tcPr>
            <w:tcW w:type="dxa" w:w="6912"/>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Close search, notifications, profile menu, or mobile navigation</w:t>
            </w:r>
          </w:p>
        </w:tc>
      </w:tr>
      <w:tr>
        <w:trPr>
          <w:cantSplit/>
        </w:trPr>
        <w:tc>
          <w:tcPr>
            <w:tcW w:type="dxa" w:w="2952"/>
            <w:vAlign w:val="center"/>
            <w:tcMar>
              <w:top w:w="90" w:type="dxa"/>
              <w:start w:w="100" w:type="dxa"/>
              <w:bottom w:w="90" w:type="dxa"/>
              <w:end w:w="100" w:type="dxa"/>
            </w:tcMar>
          </w:tcPr>
          <w:p>
            <w:pPr>
              <w:keepNext w:val="0"/>
              <w:spacing w:after="0" w:line="259" w:lineRule="auto"/>
            </w:pPr>
            <w:r>
              <w:rPr>
                <w:rFonts w:ascii="Arial" w:hAnsi="Arial" w:eastAsia="Arial"/>
                <w:color w:val="111815"/>
                <w:sz w:val="16"/>
              </w:rPr>
              <w:t>Browser Back and Forward</w:t>
            </w:r>
          </w:p>
        </w:tc>
        <w:tc>
          <w:tcPr>
            <w:tcW w:type="dxa" w:w="6912"/>
            <w:vAlign w:val="center"/>
            <w:tcMar>
              <w:top w:w="90" w:type="dxa"/>
              <w:start w:w="100" w:type="dxa"/>
              <w:bottom w:w="90" w:type="dxa"/>
              <w:end w:w="100" w:type="dxa"/>
            </w:tcMar>
          </w:tcPr>
          <w:p>
            <w:pPr>
              <w:spacing w:after="0" w:line="259" w:lineRule="auto"/>
            </w:pPr>
            <w:r>
              <w:rPr>
                <w:rFonts w:ascii="Arial" w:hAnsi="Arial" w:eastAsia="Arial"/>
                <w:color w:val="111815"/>
                <w:sz w:val="16"/>
              </w:rPr>
              <w:t>Restore URL-addressed views, scope, decision, project, tab, and app studio</w:t>
            </w:r>
          </w:p>
        </w:tc>
      </w:tr>
      <w:tr>
        <w:trPr>
          <w:cantSplit/>
        </w:trPr>
        <w:tc>
          <w:tcPr>
            <w:tcW w:type="dxa" w:w="2952"/>
            <w:vAlign w:val="center"/>
            <w:tcMar>
              <w:top w:w="90" w:type="dxa"/>
              <w:start w:w="100" w:type="dxa"/>
              <w:bottom w:w="90" w:type="dxa"/>
              <w:end w:w="100" w:type="dxa"/>
            </w:tcMar>
            <w:shd w:fill="F4F5F1"/>
          </w:tcPr>
          <w:p>
            <w:pPr>
              <w:keepNext w:val="0"/>
              <w:spacing w:after="0" w:line="259" w:lineRule="auto"/>
            </w:pPr>
            <w:r>
              <w:rPr>
                <w:rFonts w:ascii="Arial" w:hAnsi="Arial" w:eastAsia="Arial"/>
                <w:color w:val="111815"/>
                <w:sz w:val="16"/>
              </w:rPr>
              <w:t>Tab and Shift Tab</w:t>
            </w:r>
          </w:p>
        </w:tc>
        <w:tc>
          <w:tcPr>
            <w:tcW w:type="dxa" w:w="6912"/>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Move through buttons, inputs, selectors, map entities, and dialog controls</w:t>
            </w:r>
          </w:p>
        </w:tc>
      </w:tr>
      <w:tr>
        <w:trPr>
          <w:cantSplit/>
        </w:trPr>
        <w:tc>
          <w:tcPr>
            <w:tcW w:type="dxa" w:w="2952"/>
            <w:vAlign w:val="center"/>
            <w:tcMar>
              <w:top w:w="90" w:type="dxa"/>
              <w:start w:w="100" w:type="dxa"/>
              <w:bottom w:w="90" w:type="dxa"/>
              <w:end w:w="100" w:type="dxa"/>
            </w:tcMar>
          </w:tcPr>
          <w:p>
            <w:pPr>
              <w:keepNext w:val="0"/>
              <w:spacing w:after="0" w:line="259" w:lineRule="auto"/>
            </w:pPr>
            <w:r>
              <w:rPr>
                <w:rFonts w:ascii="Arial" w:hAnsi="Arial" w:eastAsia="Arial"/>
                <w:color w:val="111815"/>
                <w:sz w:val="16"/>
              </w:rPr>
              <w:t>Enter or Space</w:t>
            </w:r>
          </w:p>
        </w:tc>
        <w:tc>
          <w:tcPr>
            <w:tcW w:type="dxa" w:w="6912"/>
            <w:vAlign w:val="center"/>
            <w:tcMar>
              <w:top w:w="90" w:type="dxa"/>
              <w:start w:w="100" w:type="dxa"/>
              <w:bottom w:w="90" w:type="dxa"/>
              <w:end w:w="100" w:type="dxa"/>
            </w:tcMar>
          </w:tcPr>
          <w:p>
            <w:pPr>
              <w:spacing w:after="0" w:line="259" w:lineRule="auto"/>
            </w:pPr>
            <w:r>
              <w:rPr>
                <w:rFonts w:ascii="Arial" w:hAnsi="Arial" w:eastAsia="Arial"/>
                <w:color w:val="111815"/>
                <w:sz w:val="16"/>
              </w:rPr>
              <w:t>Activate the focused button or map entity</w:t>
            </w:r>
          </w:p>
        </w:tc>
      </w:tr>
      <w:tr>
        <w:trPr>
          <w:cantSplit/>
        </w:trPr>
        <w:tc>
          <w:tcPr>
            <w:tcW w:type="dxa" w:w="2952"/>
            <w:vAlign w:val="center"/>
            <w:tcMar>
              <w:top w:w="90" w:type="dxa"/>
              <w:start w:w="100" w:type="dxa"/>
              <w:bottom w:w="90" w:type="dxa"/>
              <w:end w:w="100" w:type="dxa"/>
            </w:tcMar>
            <w:shd w:fill="F4F5F1"/>
          </w:tcPr>
          <w:p>
            <w:pPr>
              <w:keepNext w:val="0"/>
              <w:spacing w:after="0" w:line="259" w:lineRule="auto"/>
            </w:pPr>
            <w:r>
              <w:rPr>
                <w:rFonts w:ascii="Arial" w:hAnsi="Arial" w:eastAsia="Arial"/>
                <w:color w:val="111815"/>
                <w:sz w:val="16"/>
              </w:rPr>
              <w:t>Arrow keys on map</w:t>
            </w:r>
          </w:p>
        </w:tc>
        <w:tc>
          <w:tcPr>
            <w:tcW w:type="dxa" w:w="6912"/>
            <w:vAlign w:val="center"/>
            <w:tcMar>
              <w:top w:w="90" w:type="dxa"/>
              <w:start w:w="100" w:type="dxa"/>
              <w:bottom w:w="90" w:type="dxa"/>
              <w:end w:w="100" w:type="dxa"/>
            </w:tcMar>
            <w:shd w:fill="F4F5F1"/>
          </w:tcPr>
          <w:p>
            <w:pPr>
              <w:spacing w:after="0" w:line="259" w:lineRule="auto"/>
            </w:pPr>
            <w:r>
              <w:rPr>
                <w:rFonts w:ascii="Arial" w:hAnsi="Arial" w:eastAsia="Arial"/>
                <w:color w:val="111815"/>
                <w:sz w:val="16"/>
              </w:rPr>
              <w:t>Pan the focused radar viewport</w:t>
            </w:r>
          </w:p>
        </w:tc>
      </w:tr>
      <w:tr>
        <w:trPr>
          <w:cantSplit/>
        </w:trPr>
        <w:tc>
          <w:tcPr>
            <w:tcW w:type="dxa" w:w="2952"/>
            <w:vAlign w:val="center"/>
            <w:tcMar>
              <w:top w:w="90" w:type="dxa"/>
              <w:start w:w="100" w:type="dxa"/>
              <w:bottom w:w="90" w:type="dxa"/>
              <w:end w:w="100" w:type="dxa"/>
            </w:tcMar>
          </w:tcPr>
          <w:p>
            <w:pPr>
              <w:keepNext w:val="0"/>
              <w:spacing w:after="0" w:line="259" w:lineRule="auto"/>
            </w:pPr>
            <w:r>
              <w:rPr>
                <w:rFonts w:ascii="Arial" w:hAnsi="Arial" w:eastAsia="Arial"/>
                <w:color w:val="111815"/>
                <w:sz w:val="16"/>
              </w:rPr>
              <w:t>Plus and Minus on map</w:t>
            </w:r>
          </w:p>
        </w:tc>
        <w:tc>
          <w:tcPr>
            <w:tcW w:type="dxa" w:w="6912"/>
            <w:vAlign w:val="center"/>
            <w:tcMar>
              <w:top w:w="90" w:type="dxa"/>
              <w:start w:w="100" w:type="dxa"/>
              <w:bottom w:w="90" w:type="dxa"/>
              <w:end w:w="100" w:type="dxa"/>
            </w:tcMar>
          </w:tcPr>
          <w:p>
            <w:pPr>
              <w:spacing w:after="0" w:line="259" w:lineRule="auto"/>
            </w:pPr>
            <w:r>
              <w:rPr>
                <w:rFonts w:ascii="Arial" w:hAnsi="Arial" w:eastAsia="Arial"/>
                <w:color w:val="111815"/>
                <w:sz w:val="16"/>
              </w:rPr>
              <w:t>Zoom the focused radar viewport</w:t>
            </w:r>
          </w:p>
        </w:tc>
      </w:tr>
    </w:tbl>
    <w:p>
      <w:pPr>
        <w:spacing w:after="0" w:before="0"/>
      </w:pPr>
    </w:p>
    <w:p>
      <w:pPr>
        <w:pStyle w:val="Heading2"/>
        <w:keepNext/>
      </w:pPr>
      <w:r>
        <w:t>If a control appears not to work</w:t>
      </w:r>
    </w:p>
    <w:p>
      <w:pPr>
        <w:pStyle w:val="ListBullet"/>
      </w:pPr>
      <w:r>
        <w:t>Look for an inspector, drawer, action receipt, toast, route change, selected state, changed count, or updated chart rather than assuming the control opens a new page.</w:t>
      </w:r>
    </w:p>
    <w:p>
      <w:pPr>
        <w:pStyle w:val="ListBullet"/>
      </w:pPr>
      <w:r>
        <w:t>Read the gate explanation. Disabled or blocked actions require an earlier stage, evidence threshold, feasible candidate, or named approval.</w:t>
      </w:r>
    </w:p>
    <w:p>
      <w:pPr>
        <w:pStyle w:val="ListBullet"/>
      </w:pPr>
      <w:r>
        <w:t>Clear a narrow search or filter when no records are visible.</w:t>
      </w:r>
    </w:p>
    <w:p>
      <w:pPr>
        <w:pStyle w:val="ListBullet"/>
      </w:pPr>
      <w:r>
        <w:t>Reset the graph or map when the current layer combination hides the selected entity.</w:t>
      </w:r>
    </w:p>
    <w:p>
      <w:pPr>
        <w:pStyle w:val="ListBullet"/>
      </w:pPr>
      <w:r>
        <w:t>Refresh only when you want to reset browser-session state. There is no backend persistence in this concept.</w:t>
      </w:r>
    </w:p>
    <w:p>
      <w:r>
        <w:br w:type="page"/>
      </w:r>
    </w:p>
    <w:p>
      <w:pPr>
        <w:spacing w:after="100"/>
      </w:pPr>
      <w:r>
        <w:rPr>
          <w:rFonts w:ascii="Arial" w:hAnsi="Arial" w:eastAsia="Arial"/>
          <w:b/>
          <w:color w:val="FF6B35"/>
          <w:sz w:val="17"/>
        </w:rPr>
        <w:t>PRODUCTION ROADMAP</w:t>
      </w:r>
    </w:p>
    <w:p>
      <w:pPr>
        <w:pStyle w:val="Heading1"/>
        <w:keepNext/>
      </w:pPr>
      <w:r>
        <w:t>Concept boundaries and production requirements</w:t>
      </w:r>
    </w:p>
    <w:p>
      <w:pPr>
        <w:spacing w:after="200"/>
      </w:pPr>
      <w:r>
        <w:t>The experience demonstrates product architecture and interaction contracts. The following capabilities need production services and verification before operational use.</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389"/>
        <w:gridCol w:w="3389"/>
        <w:gridCol w:w="3389"/>
      </w:tblGrid>
      <w:tr>
        <w:trPr>
          <w:tblHeader w:val="true"/>
          <w:cantSplit/>
        </w:trPr>
        <w:tc>
          <w:tcPr>
            <w:tcW w:type="dxa" w:w="2131"/>
            <w:vAlign w:val="center"/>
            <w:tcMar>
              <w:top w:w="90" w:type="dxa"/>
              <w:start w:w="100" w:type="dxa"/>
              <w:bottom w:w="90" w:type="dxa"/>
              <w:end w:w="100" w:type="dxa"/>
            </w:tcMar>
            <w:shd w:fill="111815"/>
          </w:tcPr>
          <w:p>
            <w:pPr>
              <w:spacing w:after="0" w:line="259" w:lineRule="auto"/>
            </w:pPr>
            <w:r>
              <w:rPr>
                <w:rFonts w:ascii="Arial" w:hAnsi="Arial" w:eastAsia="Arial"/>
                <w:b/>
                <w:color w:val="FFFFFF"/>
                <w:sz w:val="16"/>
              </w:rPr>
              <w:t>Capability</w:t>
            </w:r>
          </w:p>
        </w:tc>
        <w:tc>
          <w:tcPr>
            <w:tcW w:type="dxa" w:w="2088"/>
            <w:vAlign w:val="center"/>
            <w:tcMar>
              <w:top w:w="90" w:type="dxa"/>
              <w:start w:w="100" w:type="dxa"/>
              <w:bottom w:w="90" w:type="dxa"/>
              <w:end w:w="100" w:type="dxa"/>
            </w:tcMar>
            <w:shd w:fill="111815"/>
          </w:tcPr>
          <w:p>
            <w:pPr>
              <w:spacing w:after="0" w:line="259" w:lineRule="auto"/>
            </w:pPr>
            <w:r>
              <w:rPr>
                <w:rFonts w:ascii="Arial" w:hAnsi="Arial" w:eastAsia="Arial"/>
                <w:b/>
                <w:color w:val="FFFFFF"/>
                <w:sz w:val="16"/>
              </w:rPr>
              <w:t>Concept status</w:t>
            </w:r>
          </w:p>
        </w:tc>
        <w:tc>
          <w:tcPr>
            <w:tcW w:type="dxa" w:w="5688"/>
            <w:vAlign w:val="center"/>
            <w:tcMar>
              <w:top w:w="90" w:type="dxa"/>
              <w:start w:w="100" w:type="dxa"/>
              <w:bottom w:w="90" w:type="dxa"/>
              <w:end w:w="100" w:type="dxa"/>
            </w:tcMar>
            <w:shd w:fill="111815"/>
          </w:tcPr>
          <w:p>
            <w:pPr>
              <w:spacing w:after="0" w:line="259" w:lineRule="auto"/>
            </w:pPr>
            <w:r>
              <w:rPr>
                <w:rFonts w:ascii="Arial" w:hAnsi="Arial" w:eastAsia="Arial"/>
                <w:b/>
                <w:color w:val="FFFFFF"/>
                <w:sz w:val="16"/>
              </w:rPr>
              <w:t>Production requirement</w:t>
            </w:r>
          </w:p>
        </w:tc>
      </w:tr>
      <w:tr>
        <w:trPr>
          <w:cantSplit/>
        </w:trPr>
        <w:tc>
          <w:tcPr>
            <w:tcW w:type="dxa" w:w="2131"/>
            <w:vAlign w:val="center"/>
            <w:tcMar>
              <w:top w:w="90" w:type="dxa"/>
              <w:start w:w="100" w:type="dxa"/>
              <w:bottom w:w="90" w:type="dxa"/>
              <w:end w:w="100" w:type="dxa"/>
            </w:tcMar>
          </w:tcPr>
          <w:p>
            <w:pPr>
              <w:keepNext w:val="0"/>
              <w:spacing w:after="0" w:line="259" w:lineRule="auto"/>
            </w:pPr>
            <w:r>
              <w:rPr>
                <w:rFonts w:ascii="Arial" w:hAnsi="Arial" w:eastAsia="Arial"/>
                <w:color w:val="111815"/>
                <w:sz w:val="15"/>
              </w:rPr>
              <w:t>Tenant and project security</w:t>
            </w:r>
          </w:p>
        </w:tc>
        <w:tc>
          <w:tcPr>
            <w:tcW w:type="dxa" w:w="2088"/>
            <w:vAlign w:val="center"/>
            <w:tcMar>
              <w:top w:w="90" w:type="dxa"/>
              <w:start w:w="100" w:type="dxa"/>
              <w:bottom w:w="90" w:type="dxa"/>
              <w:end w:w="100" w:type="dxa"/>
            </w:tcMar>
          </w:tcPr>
          <w:p>
            <w:pPr>
              <w:spacing w:after="0" w:line="259" w:lineRule="auto"/>
            </w:pPr>
            <w:r>
              <w:rPr>
                <w:rFonts w:ascii="Arial" w:hAnsi="Arial" w:eastAsia="Arial"/>
                <w:color w:val="111815"/>
                <w:sz w:val="15"/>
              </w:rPr>
              <w:t>UI context only</w:t>
            </w:r>
          </w:p>
        </w:tc>
        <w:tc>
          <w:tcPr>
            <w:tcW w:type="dxa" w:w="5688"/>
            <w:vAlign w:val="center"/>
            <w:tcMar>
              <w:top w:w="90" w:type="dxa"/>
              <w:start w:w="100" w:type="dxa"/>
              <w:bottom w:w="90" w:type="dxa"/>
              <w:end w:w="100" w:type="dxa"/>
            </w:tcMar>
          </w:tcPr>
          <w:p>
            <w:pPr>
              <w:spacing w:after="0" w:line="259" w:lineRule="auto"/>
            </w:pPr>
            <w:r>
              <w:rPr>
                <w:rFonts w:ascii="Arial" w:hAnsi="Arial" w:eastAsia="Arial"/>
                <w:color w:val="111815"/>
                <w:sz w:val="15"/>
              </w:rPr>
              <w:t>Identity provider, server authorization, row and object security, key management, audit</w:t>
            </w:r>
          </w:p>
        </w:tc>
      </w:tr>
      <w:tr>
        <w:trPr>
          <w:cantSplit/>
        </w:trPr>
        <w:tc>
          <w:tcPr>
            <w:tcW w:type="dxa" w:w="2131"/>
            <w:vAlign w:val="center"/>
            <w:tcMar>
              <w:top w:w="90" w:type="dxa"/>
              <w:start w:w="100" w:type="dxa"/>
              <w:bottom w:w="90" w:type="dxa"/>
              <w:end w:w="100" w:type="dxa"/>
            </w:tcMar>
            <w:shd w:fill="F4F5F1"/>
          </w:tcPr>
          <w:p>
            <w:pPr>
              <w:keepNext w:val="0"/>
              <w:spacing w:after="0" w:line="259" w:lineRule="auto"/>
            </w:pPr>
            <w:r>
              <w:rPr>
                <w:rFonts w:ascii="Arial" w:hAnsi="Arial" w:eastAsia="Arial"/>
                <w:color w:val="111815"/>
                <w:sz w:val="15"/>
              </w:rPr>
              <w:t>Project persistence</w:t>
            </w:r>
          </w:p>
        </w:tc>
        <w:tc>
          <w:tcPr>
            <w:tcW w:type="dxa" w:w="2088"/>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Browser memory</w:t>
            </w:r>
          </w:p>
        </w:tc>
        <w:tc>
          <w:tcPr>
            <w:tcW w:type="dxa" w:w="5688"/>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Project registry, database, object storage, event history, retention and deletion</w:t>
            </w:r>
          </w:p>
        </w:tc>
      </w:tr>
      <w:tr>
        <w:trPr>
          <w:cantSplit/>
        </w:trPr>
        <w:tc>
          <w:tcPr>
            <w:tcW w:type="dxa" w:w="2131"/>
            <w:vAlign w:val="center"/>
            <w:tcMar>
              <w:top w:w="90" w:type="dxa"/>
              <w:start w:w="100" w:type="dxa"/>
              <w:bottom w:w="90" w:type="dxa"/>
              <w:end w:w="100" w:type="dxa"/>
            </w:tcMar>
          </w:tcPr>
          <w:p>
            <w:pPr>
              <w:keepNext w:val="0"/>
              <w:spacing w:after="0" w:line="259" w:lineRule="auto"/>
            </w:pPr>
            <w:r>
              <w:rPr>
                <w:rFonts w:ascii="Arial" w:hAnsi="Arial" w:eastAsia="Arial"/>
                <w:color w:val="111815"/>
                <w:sz w:val="15"/>
              </w:rPr>
              <w:t>Data ingestion</w:t>
            </w:r>
          </w:p>
        </w:tc>
        <w:tc>
          <w:tcPr>
            <w:tcW w:type="dxa" w:w="2088"/>
            <w:vAlign w:val="center"/>
            <w:tcMar>
              <w:top w:w="90" w:type="dxa"/>
              <w:start w:w="100" w:type="dxa"/>
              <w:bottom w:w="90" w:type="dxa"/>
              <w:end w:w="100" w:type="dxa"/>
            </w:tcMar>
          </w:tcPr>
          <w:p>
            <w:pPr>
              <w:spacing w:after="0" w:line="259" w:lineRule="auto"/>
            </w:pPr>
            <w:r>
              <w:rPr>
                <w:rFonts w:ascii="Arial" w:hAnsi="Arial" w:eastAsia="Arial"/>
                <w:color w:val="111815"/>
                <w:sz w:val="15"/>
              </w:rPr>
              <w:t>File-name and adapter walkthrough</w:t>
            </w:r>
          </w:p>
        </w:tc>
        <w:tc>
          <w:tcPr>
            <w:tcW w:type="dxa" w:w="5688"/>
            <w:vAlign w:val="center"/>
            <w:tcMar>
              <w:top w:w="90" w:type="dxa"/>
              <w:start w:w="100" w:type="dxa"/>
              <w:bottom w:w="90" w:type="dxa"/>
              <w:end w:w="100" w:type="dxa"/>
            </w:tcMar>
          </w:tcPr>
          <w:p>
            <w:pPr>
              <w:spacing w:after="0" w:line="259" w:lineRule="auto"/>
            </w:pPr>
            <w:r>
              <w:rPr>
                <w:rFonts w:ascii="Arial" w:hAnsi="Arial" w:eastAsia="Arial"/>
                <w:color w:val="111815"/>
                <w:sz w:val="15"/>
              </w:rPr>
              <w:t>Upload service, connectors, malware scan, schema and quality services, data contracts</w:t>
            </w:r>
          </w:p>
        </w:tc>
      </w:tr>
      <w:tr>
        <w:trPr>
          <w:cantSplit/>
        </w:trPr>
        <w:tc>
          <w:tcPr>
            <w:tcW w:type="dxa" w:w="2131"/>
            <w:vAlign w:val="center"/>
            <w:tcMar>
              <w:top w:w="90" w:type="dxa"/>
              <w:start w:w="100" w:type="dxa"/>
              <w:bottom w:w="90" w:type="dxa"/>
              <w:end w:w="100" w:type="dxa"/>
            </w:tcMar>
            <w:shd w:fill="F4F5F1"/>
          </w:tcPr>
          <w:p>
            <w:pPr>
              <w:keepNext w:val="0"/>
              <w:spacing w:after="0" w:line="259" w:lineRule="auto"/>
            </w:pPr>
            <w:r>
              <w:rPr>
                <w:rFonts w:ascii="Arial" w:hAnsi="Arial" w:eastAsia="Arial"/>
                <w:color w:val="111815"/>
                <w:sz w:val="15"/>
              </w:rPr>
              <w:t>Knowledge graph</w:t>
            </w:r>
          </w:p>
        </w:tc>
        <w:tc>
          <w:tcPr>
            <w:tcW w:type="dxa" w:w="2088"/>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Deterministic fixture</w:t>
            </w:r>
          </w:p>
        </w:tc>
        <w:tc>
          <w:tcPr>
            <w:tcW w:type="dxa" w:w="5688"/>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Entity resolution, temporal graph, provenance store, access-aware queries, versioning</w:t>
            </w:r>
          </w:p>
        </w:tc>
      </w:tr>
      <w:tr>
        <w:trPr>
          <w:cantSplit/>
        </w:trPr>
        <w:tc>
          <w:tcPr>
            <w:tcW w:type="dxa" w:w="2131"/>
            <w:vAlign w:val="center"/>
            <w:tcMar>
              <w:top w:w="90" w:type="dxa"/>
              <w:start w:w="100" w:type="dxa"/>
              <w:bottom w:w="90" w:type="dxa"/>
              <w:end w:w="100" w:type="dxa"/>
            </w:tcMar>
          </w:tcPr>
          <w:p>
            <w:pPr>
              <w:keepNext w:val="0"/>
              <w:spacing w:after="0" w:line="259" w:lineRule="auto"/>
            </w:pPr>
            <w:r>
              <w:rPr>
                <w:rFonts w:ascii="Arial" w:hAnsi="Arial" w:eastAsia="Arial"/>
                <w:color w:val="111815"/>
                <w:sz w:val="15"/>
              </w:rPr>
              <w:t>Agents</w:t>
            </w:r>
          </w:p>
        </w:tc>
        <w:tc>
          <w:tcPr>
            <w:tcW w:type="dxa" w:w="2088"/>
            <w:vAlign w:val="center"/>
            <w:tcMar>
              <w:top w:w="90" w:type="dxa"/>
              <w:start w:w="100" w:type="dxa"/>
              <w:bottom w:w="90" w:type="dxa"/>
              <w:end w:w="100" w:type="dxa"/>
            </w:tcMar>
          </w:tcPr>
          <w:p>
            <w:pPr>
              <w:spacing w:after="0" w:line="259" w:lineRule="auto"/>
            </w:pPr>
            <w:r>
              <w:rPr>
                <w:rFonts w:ascii="Arial" w:hAnsi="Arial" w:eastAsia="Arial"/>
                <w:color w:val="111815"/>
                <w:sz w:val="15"/>
              </w:rPr>
              <w:t>Prompt-bound synthetic playback</w:t>
            </w:r>
          </w:p>
        </w:tc>
        <w:tc>
          <w:tcPr>
            <w:tcW w:type="dxa" w:w="5688"/>
            <w:vAlign w:val="center"/>
            <w:tcMar>
              <w:top w:w="90" w:type="dxa"/>
              <w:start w:w="100" w:type="dxa"/>
              <w:bottom w:w="90" w:type="dxa"/>
              <w:end w:w="100" w:type="dxa"/>
            </w:tcMar>
          </w:tcPr>
          <w:p>
            <w:pPr>
              <w:spacing w:after="0" w:line="259" w:lineRule="auto"/>
            </w:pPr>
            <w:r>
              <w:rPr>
                <w:rFonts w:ascii="Arial" w:hAnsi="Arial" w:eastAsia="Arial"/>
                <w:color w:val="111815"/>
                <w:sz w:val="15"/>
              </w:rPr>
              <w:t>Model runtime, evaluated Skills, approved MCP connections, tool sandbox, observability, policy</w:t>
            </w:r>
          </w:p>
        </w:tc>
      </w:tr>
      <w:tr>
        <w:trPr>
          <w:cantSplit/>
        </w:trPr>
        <w:tc>
          <w:tcPr>
            <w:tcW w:type="dxa" w:w="2131"/>
            <w:vAlign w:val="center"/>
            <w:tcMar>
              <w:top w:w="90" w:type="dxa"/>
              <w:start w:w="100" w:type="dxa"/>
              <w:bottom w:w="90" w:type="dxa"/>
              <w:end w:w="100" w:type="dxa"/>
            </w:tcMar>
            <w:shd w:fill="F4F5F1"/>
          </w:tcPr>
          <w:p>
            <w:pPr>
              <w:keepNext w:val="0"/>
              <w:spacing w:after="0" w:line="259" w:lineRule="auto"/>
            </w:pPr>
            <w:r>
              <w:rPr>
                <w:rFonts w:ascii="Arial" w:hAnsi="Arial" w:eastAsia="Arial"/>
                <w:color w:val="111815"/>
                <w:sz w:val="15"/>
              </w:rPr>
              <w:t>Optimization</w:t>
            </w:r>
          </w:p>
        </w:tc>
        <w:tc>
          <w:tcPr>
            <w:tcW w:type="dxa" w:w="2088"/>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Deterministic response calculator</w:t>
            </w:r>
          </w:p>
        </w:tc>
        <w:tc>
          <w:tcPr>
            <w:tcW w:type="dxa" w:w="5688"/>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Solver adapters, status, incumbent, bounds, gap, infeasibility diagnosis, validation, fallback</w:t>
            </w:r>
          </w:p>
        </w:tc>
      </w:tr>
      <w:tr>
        <w:trPr>
          <w:cantSplit/>
        </w:trPr>
        <w:tc>
          <w:tcPr>
            <w:tcW w:type="dxa" w:w="2131"/>
            <w:vAlign w:val="center"/>
            <w:tcMar>
              <w:top w:w="90" w:type="dxa"/>
              <w:start w:w="100" w:type="dxa"/>
              <w:bottom w:w="90" w:type="dxa"/>
              <w:end w:w="100" w:type="dxa"/>
            </w:tcMar>
          </w:tcPr>
          <w:p>
            <w:pPr>
              <w:keepNext w:val="0"/>
              <w:spacing w:after="0" w:line="259" w:lineRule="auto"/>
            </w:pPr>
            <w:r>
              <w:rPr>
                <w:rFonts w:ascii="Arial" w:hAnsi="Arial" w:eastAsia="Arial"/>
                <w:color w:val="111815"/>
                <w:sz w:val="15"/>
              </w:rPr>
              <w:t>Learning</w:t>
            </w:r>
          </w:p>
        </w:tc>
        <w:tc>
          <w:tcPr>
            <w:tcW w:type="dxa" w:w="2088"/>
            <w:vAlign w:val="center"/>
            <w:tcMar>
              <w:top w:w="90" w:type="dxa"/>
              <w:start w:w="100" w:type="dxa"/>
              <w:bottom w:w="90" w:type="dxa"/>
              <w:end w:w="100" w:type="dxa"/>
            </w:tcMar>
          </w:tcPr>
          <w:p>
            <w:pPr>
              <w:spacing w:after="0" w:line="259" w:lineRule="auto"/>
            </w:pPr>
            <w:r>
              <w:rPr>
                <w:rFonts w:ascii="Arial" w:hAnsi="Arial" w:eastAsia="Arial"/>
                <w:color w:val="111815"/>
                <w:sz w:val="15"/>
              </w:rPr>
              <w:t>Session receipts only</w:t>
            </w:r>
          </w:p>
        </w:tc>
        <w:tc>
          <w:tcPr>
            <w:tcW w:type="dxa" w:w="5688"/>
            <w:vAlign w:val="center"/>
            <w:tcMar>
              <w:top w:w="90" w:type="dxa"/>
              <w:start w:w="100" w:type="dxa"/>
              <w:bottom w:w="90" w:type="dxa"/>
              <w:end w:w="100" w:type="dxa"/>
            </w:tcMar>
          </w:tcPr>
          <w:p>
            <w:pPr>
              <w:spacing w:after="0" w:line="259" w:lineRule="auto"/>
            </w:pPr>
            <w:r>
              <w:rPr>
                <w:rFonts w:ascii="Arial" w:hAnsi="Arial" w:eastAsia="Arial"/>
                <w:color w:val="111815"/>
                <w:sz w:val="15"/>
              </w:rPr>
              <w:t>Outcome capture, offline evaluation, safety constraints, drift monitoring, controlled promotion and rollback</w:t>
            </w:r>
          </w:p>
        </w:tc>
      </w:tr>
      <w:tr>
        <w:trPr>
          <w:cantSplit/>
        </w:trPr>
        <w:tc>
          <w:tcPr>
            <w:tcW w:type="dxa" w:w="2131"/>
            <w:vAlign w:val="center"/>
            <w:tcMar>
              <w:top w:w="90" w:type="dxa"/>
              <w:start w:w="100" w:type="dxa"/>
              <w:bottom w:w="90" w:type="dxa"/>
              <w:end w:w="100" w:type="dxa"/>
            </w:tcMar>
            <w:shd w:fill="F4F5F1"/>
          </w:tcPr>
          <w:p>
            <w:pPr>
              <w:keepNext w:val="0"/>
              <w:spacing w:after="0" w:line="259" w:lineRule="auto"/>
            </w:pPr>
            <w:r>
              <w:rPr>
                <w:rFonts w:ascii="Arial" w:hAnsi="Arial" w:eastAsia="Arial"/>
                <w:color w:val="111815"/>
                <w:sz w:val="15"/>
              </w:rPr>
              <w:t>World data</w:t>
            </w:r>
          </w:p>
        </w:tc>
        <w:tc>
          <w:tcPr>
            <w:tcW w:type="dxa" w:w="2088"/>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Local basemap and synthetic records</w:t>
            </w:r>
          </w:p>
        </w:tc>
        <w:tc>
          <w:tcPr>
            <w:tcW w:type="dxa" w:w="5688"/>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Licensed tiles and feeds, attribution, provider compliance, freshness, privacy and resilience</w:t>
            </w:r>
          </w:p>
        </w:tc>
      </w:tr>
      <w:tr>
        <w:trPr>
          <w:cantSplit/>
        </w:trPr>
        <w:tc>
          <w:tcPr>
            <w:tcW w:type="dxa" w:w="2131"/>
            <w:vAlign w:val="center"/>
            <w:tcMar>
              <w:top w:w="90" w:type="dxa"/>
              <w:start w:w="100" w:type="dxa"/>
              <w:bottom w:w="90" w:type="dxa"/>
              <w:end w:w="100" w:type="dxa"/>
            </w:tcMar>
          </w:tcPr>
          <w:p>
            <w:pPr>
              <w:keepNext w:val="0"/>
              <w:spacing w:after="0" w:line="259" w:lineRule="auto"/>
            </w:pPr>
            <w:r>
              <w:rPr>
                <w:rFonts w:ascii="Arial" w:hAnsi="Arial" w:eastAsia="Arial"/>
                <w:color w:val="111815"/>
                <w:sz w:val="15"/>
              </w:rPr>
              <w:t>Operational write-back</w:t>
            </w:r>
          </w:p>
        </w:tc>
        <w:tc>
          <w:tcPr>
            <w:tcW w:type="dxa" w:w="2088"/>
            <w:vAlign w:val="center"/>
            <w:tcMar>
              <w:top w:w="90" w:type="dxa"/>
              <w:start w:w="100" w:type="dxa"/>
              <w:bottom w:w="90" w:type="dxa"/>
              <w:end w:w="100" w:type="dxa"/>
            </w:tcMar>
          </w:tcPr>
          <w:p>
            <w:pPr>
              <w:spacing w:after="0" w:line="259" w:lineRule="auto"/>
            </w:pPr>
            <w:r>
              <w:rPr>
                <w:rFonts w:ascii="Arial" w:hAnsi="Arial" w:eastAsia="Arial"/>
                <w:color w:val="111815"/>
                <w:sz w:val="15"/>
              </w:rPr>
              <w:t>Not connected</w:t>
            </w:r>
          </w:p>
        </w:tc>
        <w:tc>
          <w:tcPr>
            <w:tcW w:type="dxa" w:w="5688"/>
            <w:vAlign w:val="center"/>
            <w:tcMar>
              <w:top w:w="90" w:type="dxa"/>
              <w:start w:w="100" w:type="dxa"/>
              <w:bottom w:w="90" w:type="dxa"/>
              <w:end w:w="100" w:type="dxa"/>
            </w:tcMar>
          </w:tcPr>
          <w:p>
            <w:pPr>
              <w:spacing w:after="0" w:line="259" w:lineRule="auto"/>
            </w:pPr>
            <w:r>
              <w:rPr>
                <w:rFonts w:ascii="Arial" w:hAnsi="Arial" w:eastAsia="Arial"/>
                <w:color w:val="111815"/>
                <w:sz w:val="15"/>
              </w:rPr>
              <w:t>Human authority, dual control where required, idempotency, transaction receipt, reconciliation and rollback</w:t>
            </w:r>
          </w:p>
        </w:tc>
      </w:tr>
      <w:tr>
        <w:trPr>
          <w:cantSplit/>
        </w:trPr>
        <w:tc>
          <w:tcPr>
            <w:tcW w:type="dxa" w:w="2131"/>
            <w:vAlign w:val="center"/>
            <w:tcMar>
              <w:top w:w="90" w:type="dxa"/>
              <w:start w:w="100" w:type="dxa"/>
              <w:bottom w:w="90" w:type="dxa"/>
              <w:end w:w="100" w:type="dxa"/>
            </w:tcMar>
            <w:shd w:fill="F4F5F1"/>
          </w:tcPr>
          <w:p>
            <w:pPr>
              <w:keepNext w:val="0"/>
              <w:spacing w:after="0" w:line="259" w:lineRule="auto"/>
            </w:pPr>
            <w:r>
              <w:rPr>
                <w:rFonts w:ascii="Arial" w:hAnsi="Arial" w:eastAsia="Arial"/>
                <w:color w:val="111815"/>
                <w:sz w:val="15"/>
              </w:rPr>
              <w:t>Accessibility and QA</w:t>
            </w:r>
          </w:p>
        </w:tc>
        <w:tc>
          <w:tcPr>
            <w:tcW w:type="dxa" w:w="2088"/>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Automated code checks and static validation</w:t>
            </w:r>
          </w:p>
        </w:tc>
        <w:tc>
          <w:tcPr>
            <w:tcW w:type="dxa" w:w="5688"/>
            <w:vAlign w:val="center"/>
            <w:tcMar>
              <w:top w:w="90" w:type="dxa"/>
              <w:start w:w="100" w:type="dxa"/>
              <w:bottom w:w="90" w:type="dxa"/>
              <w:end w:w="100" w:type="dxa"/>
            </w:tcMar>
            <w:shd w:fill="F4F5F1"/>
          </w:tcPr>
          <w:p>
            <w:pPr>
              <w:spacing w:after="0" w:line="259" w:lineRule="auto"/>
            </w:pPr>
            <w:r>
              <w:rPr>
                <w:rFonts w:ascii="Arial" w:hAnsi="Arial" w:eastAsia="Arial"/>
                <w:color w:val="111815"/>
                <w:sz w:val="15"/>
              </w:rPr>
              <w:t>Browser, screen reader, keyboard, responsive, performance, security and user acceptance testing</w:t>
            </w:r>
          </w:p>
        </w:tc>
      </w:tr>
    </w:tbl>
    <w:p>
      <w:pPr>
        <w:spacing w:after="0" w:before="0"/>
      </w:pPr>
    </w:p>
    <w:p>
      <w:pPr>
        <w:pStyle w:val="Heading2"/>
        <w:keepNext/>
      </w:pPr>
      <w:r>
        <w:t>Recommended production sequence</w:t>
      </w:r>
    </w:p>
    <w:p>
      <w:pPr>
        <w:spacing w:after="80"/>
        <w:ind w:left="346" w:hanging="346"/>
      </w:pPr>
      <w:r>
        <w:rPr>
          <w:rFonts w:ascii="Arial" w:hAnsi="Arial" w:eastAsia="Arial"/>
          <w:b/>
        </w:rPr>
        <w:t xml:space="preserve">1.  </w:t>
      </w:r>
      <w:r>
        <w:t>Implement identity, tenant and project authorization, persistence, and audit before connecting client data.</w:t>
      </w:r>
    </w:p>
    <w:p>
      <w:pPr>
        <w:spacing w:after="80"/>
        <w:ind w:left="346" w:hanging="346"/>
      </w:pPr>
      <w:r>
        <w:rPr>
          <w:rFonts w:ascii="Arial" w:hAnsi="Arial" w:eastAsia="Arial"/>
          <w:b/>
        </w:rPr>
        <w:t xml:space="preserve">2.  </w:t>
      </w:r>
      <w:r>
        <w:t>Build the evidence receipt and lineage service as a shared platform contract.</w:t>
      </w:r>
    </w:p>
    <w:p>
      <w:pPr>
        <w:spacing w:after="80"/>
        <w:ind w:left="346" w:hanging="346"/>
      </w:pPr>
      <w:r>
        <w:rPr>
          <w:rFonts w:ascii="Arial" w:hAnsi="Arial" w:eastAsia="Arial"/>
          <w:b/>
        </w:rPr>
        <w:t xml:space="preserve">3.  </w:t>
      </w:r>
      <w:r>
        <w:t>Connect one client project and two apps end to end, with read-only adapters and human review.</w:t>
      </w:r>
    </w:p>
    <w:p>
      <w:pPr>
        <w:spacing w:after="80"/>
        <w:ind w:left="346" w:hanging="346"/>
      </w:pPr>
      <w:r>
        <w:rPr>
          <w:rFonts w:ascii="Arial" w:hAnsi="Arial" w:eastAsia="Arial"/>
          <w:b/>
        </w:rPr>
        <w:t xml:space="preserve">4.  </w:t>
      </w:r>
      <w:r>
        <w:t>Add a solver service with reproducibility and claim-integrity controls before using optimization outputs operationally.</w:t>
      </w:r>
    </w:p>
    <w:p>
      <w:pPr>
        <w:spacing w:after="80"/>
        <w:ind w:left="346" w:hanging="346"/>
      </w:pPr>
      <w:r>
        <w:rPr>
          <w:rFonts w:ascii="Arial" w:hAnsi="Arial" w:eastAsia="Arial"/>
          <w:b/>
        </w:rPr>
        <w:t xml:space="preserve">5.  </w:t>
      </w:r>
      <w:r>
        <w:t>Add geospatial and edge data providers only after licensing, attribution, privacy, and retention decisions are approved.</w:t>
      </w:r>
    </w:p>
    <w:p>
      <w:pPr>
        <w:spacing w:after="80"/>
        <w:ind w:left="346" w:hanging="346"/>
      </w:pPr>
      <w:r>
        <w:rPr>
          <w:rFonts w:ascii="Arial" w:hAnsi="Arial" w:eastAsia="Arial"/>
          <w:b/>
        </w:rPr>
        <w:t xml:space="preserve">6.  </w:t>
      </w:r>
      <w:r>
        <w:t>Introduce outcome learning in shadow mode, then promote agents or policies only through evaluated and reversible releases.</w:t>
      </w:r>
    </w:p>
    <w:p>
      <w:r>
        <w:br w:type="page"/>
      </w:r>
    </w:p>
    <w:p>
      <w:pPr>
        <w:spacing w:after="100"/>
      </w:pPr>
      <w:r>
        <w:rPr>
          <w:rFonts w:ascii="Arial" w:hAnsi="Arial" w:eastAsia="Arial"/>
          <w:b/>
          <w:color w:val="FF6B35"/>
          <w:sz w:val="17"/>
        </w:rPr>
        <w:t>TECHNICAL REFERENCES</w:t>
      </w:r>
    </w:p>
    <w:p>
      <w:pPr>
        <w:pStyle w:val="Heading1"/>
        <w:keepNext/>
      </w:pPr>
      <w:r>
        <w:t>Standards and provider documentation</w:t>
      </w:r>
    </w:p>
    <w:p>
      <w:pPr>
        <w:spacing w:after="200"/>
      </w:pPr>
      <w:r>
        <w:t>These references informed the future-state contracts described in the experience. The current concept does not connect the services.</w:t>
      </w:r>
    </w:p>
    <w:p>
      <w:pPr>
        <w:ind w:left="230" w:hanging="230"/>
      </w:pPr>
      <w:r>
        <w:rPr>
          <w:rFonts w:ascii="Consolas" w:hAnsi="Consolas" w:eastAsia="Consolas"/>
          <w:b/>
          <w:color w:val="5E6862"/>
          <w:sz w:val="17"/>
        </w:rPr>
        <w:t xml:space="preserve">1. </w:t>
      </w:r>
      <w:hyperlink r:id="rId10">
        <w:r>
          <w:rPr>
            <w:color w:val="2F5B50"/>
            <w:u w:val="single"/>
          </w:rPr>
          <w:t>Google Maps Platform 3D Tiles</w:t>
        </w:r>
      </w:hyperlink>
      <w:r>
        <w:rPr>
          <w:rFonts w:ascii="Consolas" w:hAnsi="Consolas" w:eastAsia="Consolas"/>
          <w:color w:val="5E6862"/>
          <w:sz w:val="14"/>
        </w:rPr>
        <w:t xml:space="preserve">  https://developers.google.com/maps/documentation/tile/3d-tiles</w:t>
      </w:r>
    </w:p>
    <w:p>
      <w:pPr>
        <w:ind w:left="230" w:hanging="230"/>
      </w:pPr>
      <w:r>
        <w:rPr>
          <w:rFonts w:ascii="Consolas" w:hAnsi="Consolas" w:eastAsia="Consolas"/>
          <w:b/>
          <w:color w:val="5E6862"/>
          <w:sz w:val="17"/>
        </w:rPr>
        <w:t xml:space="preserve">2. </w:t>
      </w:r>
      <w:hyperlink r:id="rId11">
        <w:r>
          <w:rPr>
            <w:color w:val="2F5B50"/>
            <w:u w:val="single"/>
          </w:rPr>
          <w:t>Google Maps Platform policies</w:t>
        </w:r>
      </w:hyperlink>
      <w:r>
        <w:rPr>
          <w:rFonts w:ascii="Consolas" w:hAnsi="Consolas" w:eastAsia="Consolas"/>
          <w:color w:val="5E6862"/>
          <w:sz w:val="14"/>
        </w:rPr>
        <w:t xml:space="preserve">  https://developers.google.com/maps/documentation/tile/policies</w:t>
      </w:r>
    </w:p>
    <w:p>
      <w:pPr>
        <w:ind w:left="230" w:hanging="230"/>
      </w:pPr>
      <w:r>
        <w:rPr>
          <w:rFonts w:ascii="Consolas" w:hAnsi="Consolas" w:eastAsia="Consolas"/>
          <w:b/>
          <w:color w:val="5E6862"/>
          <w:sz w:val="17"/>
        </w:rPr>
        <w:t xml:space="preserve">3. </w:t>
      </w:r>
      <w:hyperlink r:id="rId12">
        <w:r>
          <w:rPr>
            <w:color w:val="2F5B50"/>
            <w:u w:val="single"/>
          </w:rPr>
          <w:t>Cesium learning center</w:t>
        </w:r>
      </w:hyperlink>
      <w:r>
        <w:rPr>
          <w:rFonts w:ascii="Consolas" w:hAnsi="Consolas" w:eastAsia="Consolas"/>
          <w:color w:val="5E6862"/>
          <w:sz w:val="14"/>
        </w:rPr>
        <w:t xml:space="preserve">  https://cesium.com/learn</w:t>
      </w:r>
    </w:p>
    <w:p>
      <w:pPr>
        <w:ind w:left="230" w:hanging="230"/>
      </w:pPr>
      <w:r>
        <w:rPr>
          <w:rFonts w:ascii="Consolas" w:hAnsi="Consolas" w:eastAsia="Consolas"/>
          <w:b/>
          <w:color w:val="5E6862"/>
          <w:sz w:val="17"/>
        </w:rPr>
        <w:t xml:space="preserve">4. </w:t>
      </w:r>
      <w:hyperlink r:id="rId13">
        <w:r>
          <w:rPr>
            <w:color w:val="2F5B50"/>
            <w:u w:val="single"/>
          </w:rPr>
          <w:t>OGC 3D Tiles standard</w:t>
        </w:r>
      </w:hyperlink>
      <w:r>
        <w:rPr>
          <w:rFonts w:ascii="Consolas" w:hAnsi="Consolas" w:eastAsia="Consolas"/>
          <w:color w:val="5E6862"/>
          <w:sz w:val="14"/>
        </w:rPr>
        <w:t xml:space="preserve">  https://www.ogc.org/standards/3dtiles/</w:t>
      </w:r>
    </w:p>
    <w:p>
      <w:pPr>
        <w:ind w:left="230" w:hanging="230"/>
      </w:pPr>
      <w:r>
        <w:rPr>
          <w:rFonts w:ascii="Consolas" w:hAnsi="Consolas" w:eastAsia="Consolas"/>
          <w:b/>
          <w:color w:val="5E6862"/>
          <w:sz w:val="17"/>
        </w:rPr>
        <w:t xml:space="preserve">5. </w:t>
      </w:r>
      <w:hyperlink r:id="rId14">
        <w:r>
          <w:rPr>
            <w:color w:val="2F5B50"/>
            <w:u w:val="single"/>
          </w:rPr>
          <w:t>OpenSky Network terms of use</w:t>
        </w:r>
      </w:hyperlink>
      <w:r>
        <w:rPr>
          <w:rFonts w:ascii="Consolas" w:hAnsi="Consolas" w:eastAsia="Consolas"/>
          <w:color w:val="5E6862"/>
          <w:sz w:val="14"/>
        </w:rPr>
        <w:t xml:space="preserve">  https://opensky-network.org/about/terms-of-use</w:t>
      </w:r>
    </w:p>
    <w:p>
      <w:pPr>
        <w:ind w:left="230" w:hanging="230"/>
      </w:pPr>
      <w:r>
        <w:rPr>
          <w:rFonts w:ascii="Consolas" w:hAnsi="Consolas" w:eastAsia="Consolas"/>
          <w:b/>
          <w:color w:val="5E6862"/>
          <w:sz w:val="17"/>
        </w:rPr>
        <w:t xml:space="preserve">6. </w:t>
      </w:r>
      <w:hyperlink r:id="rId15">
        <w:r>
          <w:rPr>
            <w:color w:val="2F5B50"/>
            <w:u w:val="single"/>
          </w:rPr>
          <w:t>OpenSky Network FAQ</w:t>
        </w:r>
      </w:hyperlink>
      <w:r>
        <w:rPr>
          <w:rFonts w:ascii="Consolas" w:hAnsi="Consolas" w:eastAsia="Consolas"/>
          <w:color w:val="5E6862"/>
          <w:sz w:val="14"/>
        </w:rPr>
        <w:t xml:space="preserve">  https://opensky-network.org/about/faq</w:t>
      </w:r>
    </w:p>
    <w:p>
      <w:pPr>
        <w:ind w:left="230" w:hanging="230"/>
      </w:pPr>
      <w:r>
        <w:rPr>
          <w:rFonts w:ascii="Consolas" w:hAnsi="Consolas" w:eastAsia="Consolas"/>
          <w:b/>
          <w:color w:val="5E6862"/>
          <w:sz w:val="17"/>
        </w:rPr>
        <w:t xml:space="preserve">7. </w:t>
      </w:r>
      <w:hyperlink r:id="rId16">
        <w:r>
          <w:rPr>
            <w:color w:val="2F5B50"/>
            <w:u w:val="single"/>
          </w:rPr>
          <w:t>ADS-B Exchange data use policy</w:t>
        </w:r>
      </w:hyperlink>
      <w:r>
        <w:rPr>
          <w:rFonts w:ascii="Consolas" w:hAnsi="Consolas" w:eastAsia="Consolas"/>
          <w:color w:val="5E6862"/>
          <w:sz w:val="14"/>
        </w:rPr>
        <w:t xml:space="preserve">  https://support.adsbexchange.com/hc/en-us/articles/37364077703693-What-is-ADS-B-Exchange-s-data-use-policy</w:t>
      </w:r>
    </w:p>
    <w:p>
      <w:pPr>
        <w:ind w:left="230" w:hanging="230"/>
      </w:pPr>
      <w:r>
        <w:rPr>
          <w:rFonts w:ascii="Consolas" w:hAnsi="Consolas" w:eastAsia="Consolas"/>
          <w:b/>
          <w:color w:val="5E6862"/>
          <w:sz w:val="17"/>
        </w:rPr>
        <w:t xml:space="preserve">8. </w:t>
      </w:r>
      <w:hyperlink r:id="rId17">
        <w:r>
          <w:rPr>
            <w:color w:val="2F5B50"/>
            <w:u w:val="single"/>
          </w:rPr>
          <w:t>Model Context Protocol specification</w:t>
        </w:r>
      </w:hyperlink>
      <w:r>
        <w:rPr>
          <w:rFonts w:ascii="Consolas" w:hAnsi="Consolas" w:eastAsia="Consolas"/>
          <w:color w:val="5E6862"/>
          <w:sz w:val="14"/>
        </w:rPr>
        <w:t xml:space="preserve">  https://modelcontextprotocol.io/specification/2025-11-25/server</w:t>
      </w:r>
    </w:p>
    <w:p>
      <w:pPr>
        <w:ind w:left="230" w:hanging="230"/>
      </w:pPr>
      <w:r>
        <w:rPr>
          <w:rFonts w:ascii="Consolas" w:hAnsi="Consolas" w:eastAsia="Consolas"/>
          <w:b/>
          <w:color w:val="5E6862"/>
          <w:sz w:val="17"/>
        </w:rPr>
        <w:t xml:space="preserve">9. </w:t>
      </w:r>
      <w:hyperlink r:id="rId18">
        <w:r>
          <w:rPr>
            <w:color w:val="2F5B50"/>
            <w:u w:val="single"/>
          </w:rPr>
          <w:t>Claude Code operating model</w:t>
        </w:r>
      </w:hyperlink>
      <w:r>
        <w:rPr>
          <w:rFonts w:ascii="Consolas" w:hAnsi="Consolas" w:eastAsia="Consolas"/>
          <w:color w:val="5E6862"/>
          <w:sz w:val="14"/>
        </w:rPr>
        <w:t xml:space="preserve">  https://code.claude.com/docs/en/how-claude-code-works</w:t>
      </w:r>
    </w:p>
    <w:p>
      <w:pPr>
        <w:ind w:left="230" w:hanging="230"/>
      </w:pPr>
      <w:r>
        <w:rPr>
          <w:rFonts w:ascii="Consolas" w:hAnsi="Consolas" w:eastAsia="Consolas"/>
          <w:b/>
          <w:color w:val="5E6862"/>
          <w:sz w:val="17"/>
        </w:rPr>
        <w:t xml:space="preserve">10. </w:t>
      </w:r>
      <w:hyperlink r:id="rId19">
        <w:r>
          <w:rPr>
            <w:color w:val="2F5B50"/>
            <w:u w:val="single"/>
          </w:rPr>
          <w:t>W3C PROV-O</w:t>
        </w:r>
      </w:hyperlink>
      <w:r>
        <w:rPr>
          <w:rFonts w:ascii="Consolas" w:hAnsi="Consolas" w:eastAsia="Consolas"/>
          <w:color w:val="5E6862"/>
          <w:sz w:val="14"/>
        </w:rPr>
        <w:t xml:space="preserve">  https://www.w3.org/TR/prov-o/</w:t>
      </w:r>
    </w:p>
    <w:p>
      <w:pPr>
        <w:ind w:left="230" w:hanging="230"/>
      </w:pPr>
      <w:r>
        <w:rPr>
          <w:rFonts w:ascii="Consolas" w:hAnsi="Consolas" w:eastAsia="Consolas"/>
          <w:b/>
          <w:color w:val="5E6862"/>
          <w:sz w:val="17"/>
        </w:rPr>
        <w:t xml:space="preserve">11. </w:t>
      </w:r>
      <w:hyperlink r:id="rId20">
        <w:r>
          <w:rPr>
            <w:color w:val="2F5B50"/>
            <w:u w:val="single"/>
          </w:rPr>
          <w:t>OpenLineage object model</w:t>
        </w:r>
      </w:hyperlink>
      <w:r>
        <w:rPr>
          <w:rFonts w:ascii="Consolas" w:hAnsi="Consolas" w:eastAsia="Consolas"/>
          <w:color w:val="5E6862"/>
          <w:sz w:val="14"/>
        </w:rPr>
        <w:t xml:space="preserve">  https://openlineage.io/docs/spec/object-model/</w:t>
      </w:r>
    </w:p>
    <w:p>
      <w:pPr>
        <w:ind w:left="230" w:hanging="230"/>
      </w:pPr>
      <w:r>
        <w:rPr>
          <w:rFonts w:ascii="Consolas" w:hAnsi="Consolas" w:eastAsia="Consolas"/>
          <w:b/>
          <w:color w:val="5E6862"/>
          <w:sz w:val="17"/>
        </w:rPr>
        <w:t xml:space="preserve">12. </w:t>
      </w:r>
      <w:hyperlink r:id="rId21">
        <w:r>
          <w:rPr>
            <w:color w:val="2F5B50"/>
            <w:u w:val="single"/>
          </w:rPr>
          <w:t>OpenTelemetry traces</w:t>
        </w:r>
      </w:hyperlink>
      <w:r>
        <w:rPr>
          <w:rFonts w:ascii="Consolas" w:hAnsi="Consolas" w:eastAsia="Consolas"/>
          <w:color w:val="5E6862"/>
          <w:sz w:val="14"/>
        </w:rPr>
        <w:t xml:space="preserve">  https://opentelemetry.io/docs/concepts/signals/traces/</w:t>
      </w:r>
    </w:p>
    <w:p>
      <w:pPr>
        <w:ind w:left="230" w:hanging="230"/>
      </w:pPr>
      <w:r>
        <w:rPr>
          <w:rFonts w:ascii="Consolas" w:hAnsi="Consolas" w:eastAsia="Consolas"/>
          <w:b/>
          <w:color w:val="5E6862"/>
          <w:sz w:val="17"/>
        </w:rPr>
        <w:t xml:space="preserve">13. </w:t>
      </w:r>
      <w:hyperlink r:id="rId22">
        <w:r>
          <w:rPr>
            <w:color w:val="2F5B50"/>
            <w:u w:val="single"/>
          </w:rPr>
          <w:t>NIST AI Risk Management Framework core</w:t>
        </w:r>
      </w:hyperlink>
      <w:r>
        <w:rPr>
          <w:rFonts w:ascii="Consolas" w:hAnsi="Consolas" w:eastAsia="Consolas"/>
          <w:color w:val="5E6862"/>
          <w:sz w:val="14"/>
        </w:rPr>
        <w:t xml:space="preserve">  https://airc.nist.gov/airmf-resources/airmf/5-sec-core/</w:t>
      </w:r>
    </w:p>
    <w:p>
      <w:pPr>
        <w:ind w:left="230" w:hanging="230"/>
      </w:pPr>
      <w:r>
        <w:rPr>
          <w:rFonts w:ascii="Consolas" w:hAnsi="Consolas" w:eastAsia="Consolas"/>
          <w:b/>
          <w:color w:val="5E6862"/>
          <w:sz w:val="17"/>
        </w:rPr>
        <w:t xml:space="preserve">14. </w:t>
      </w:r>
      <w:hyperlink r:id="rId23">
        <w:r>
          <w:rPr>
            <w:color w:val="2F5B50"/>
            <w:u w:val="single"/>
          </w:rPr>
          <w:t>Google OR-Tools CP-SAT</w:t>
        </w:r>
      </w:hyperlink>
      <w:r>
        <w:rPr>
          <w:rFonts w:ascii="Consolas" w:hAnsi="Consolas" w:eastAsia="Consolas"/>
          <w:color w:val="5E6862"/>
          <w:sz w:val="14"/>
        </w:rPr>
        <w:t xml:space="preserve">  https://developers.google.com/optimization/cp/cp_solver</w:t>
      </w:r>
    </w:p>
    <w:p>
      <w:pPr>
        <w:ind w:left="230" w:hanging="230"/>
      </w:pPr>
      <w:r>
        <w:rPr>
          <w:rFonts w:ascii="Consolas" w:hAnsi="Consolas" w:eastAsia="Consolas"/>
          <w:b/>
          <w:color w:val="5E6862"/>
          <w:sz w:val="17"/>
        </w:rPr>
        <w:t xml:space="preserve">15. </w:t>
      </w:r>
      <w:hyperlink r:id="rId24">
        <w:r>
          <w:rPr>
            <w:color w:val="2F5B50"/>
            <w:u w:val="single"/>
          </w:rPr>
          <w:t>USGS Mineral Commodity Summaries 2026</w:t>
        </w:r>
      </w:hyperlink>
      <w:r>
        <w:rPr>
          <w:rFonts w:ascii="Consolas" w:hAnsi="Consolas" w:eastAsia="Consolas"/>
          <w:color w:val="5E6862"/>
          <w:sz w:val="14"/>
        </w:rPr>
        <w:t xml:space="preserve">  https://pubs.usgs.gov/publication/mcs2026</w:t>
      </w:r>
    </w:p>
    <w:p>
      <w:pPr>
        <w:pStyle w:val="Heading2"/>
        <w:keepNext/>
      </w:pPr>
      <w:r>
        <w:t>Final demonstration reminder</w:t>
      </w:r>
    </w:p>
    <w:p>
      <w:r>
        <w:t>Use the concept as one coherent workspace: Operations World for global or regional awareness, then Sector, Client, and Project for delivery. Keep apps, data, IoT requests, agents, decisions, collaborators, variables, OR methods, and evidence inside the selected project. When a screen shows a fixture, target contract, missing connector, or blocked gate, preserve that label; it is part of the trust model.</w:t>
      </w:r>
    </w:p>
    <w:sectPr w:rsidR="00FC693F" w:rsidRPr="0006063C" w:rsidSect="00034616">
      <w:footerReference w:type="default" r:id="rId9"/>
      <w:pgSz w:w="12240" w:h="15840"/>
      <w:pgMar w:top="979" w:right="1037" w:bottom="893" w:left="1037"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Arial" w:hAnsi="Arial" w:eastAsia="Arial"/>
        <w:color w:val="5E6862"/>
        <w:sz w:val="16"/>
      </w:rPr>
      <w:t xml:space="preserve">Maya Workspace  |  Synthetic data  |  Page </w:t>
    </w:r>
    <w:r>
      <w:rPr>
        <w:rFonts w:ascii="Arial" w:hAnsi="Arial" w:eastAsia="Arial"/>
        <w:color w:val="5E6862"/>
        <w:sz w:val="16"/>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83" w:lineRule="auto"/>
    </w:pPr>
    <w:rPr>
      <w:rFonts w:ascii="Arial" w:hAnsi="Arial"/>
      <w:color w:val="111815"/>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120"/>
      <w:outlineLvl w:val="0"/>
    </w:pPr>
    <w:rPr>
      <w:rFonts w:asciiTheme="majorHAnsi" w:eastAsiaTheme="majorEastAsia" w:hAnsiTheme="majorHAnsi" w:cstheme="majorBidi" w:ascii="Arial" w:hAnsi="Arial"/>
      <w:b/>
      <w:bCs/>
      <w:color w:val="000000"/>
      <w:sz w:val="4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contextualSpacing/>
    </w:pPr>
    <w:rPr>
      <w:rFonts w:asciiTheme="majorHAnsi" w:eastAsiaTheme="majorEastAsia" w:hAnsiTheme="majorHAnsi" w:cstheme="majorBidi" w:ascii="Arial" w:hAnsi="Arial"/>
      <w:b/>
      <w:color w:val="000000"/>
      <w:spacing w:val="5"/>
      <w:kern w:val="28"/>
      <w:sz w:val="6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val="0"/>
      <w:iCs/>
      <w:color w:val="000000"/>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74" w:lineRule="auto"/>
      <w:contextualSpacing/>
    </w:pPr>
    <w:rPr>
      <w:rFonts w:ascii="Arial" w:hAnsi="Arial"/>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74" w:lineRule="auto"/>
      <w:contextualSpacing/>
    </w:pPr>
    <w:rPr>
      <w:rFonts w:ascii="Arial" w:hAnsi="Arial"/>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evelopers.google.com/maps/documentation/tile/3d-tiles" TargetMode="External"/><Relationship Id="rId11" Type="http://schemas.openxmlformats.org/officeDocument/2006/relationships/hyperlink" Target="https://developers.google.com/maps/documentation/tile/policies" TargetMode="External"/><Relationship Id="rId12" Type="http://schemas.openxmlformats.org/officeDocument/2006/relationships/hyperlink" Target="https://cesium.com/learn" TargetMode="External"/><Relationship Id="rId13" Type="http://schemas.openxmlformats.org/officeDocument/2006/relationships/hyperlink" Target="https://www.ogc.org/standards/3dtiles/" TargetMode="External"/><Relationship Id="rId14" Type="http://schemas.openxmlformats.org/officeDocument/2006/relationships/hyperlink" Target="https://opensky-network.org/about/terms-of-use" TargetMode="External"/><Relationship Id="rId15" Type="http://schemas.openxmlformats.org/officeDocument/2006/relationships/hyperlink" Target="https://opensky-network.org/about/faq" TargetMode="External"/><Relationship Id="rId16" Type="http://schemas.openxmlformats.org/officeDocument/2006/relationships/hyperlink" Target="https://support.adsbexchange.com/hc/en-us/articles/37364077703693-What-is-ADS-B-Exchange-s-data-use-policy" TargetMode="External"/><Relationship Id="rId17" Type="http://schemas.openxmlformats.org/officeDocument/2006/relationships/hyperlink" Target="https://modelcontextprotocol.io/specification/2025-11-25/server" TargetMode="External"/><Relationship Id="rId18" Type="http://schemas.openxmlformats.org/officeDocument/2006/relationships/hyperlink" Target="https://code.claude.com/docs/en/how-claude-code-works" TargetMode="External"/><Relationship Id="rId19" Type="http://schemas.openxmlformats.org/officeDocument/2006/relationships/hyperlink" Target="https://www.w3.org/TR/prov-o/" TargetMode="External"/><Relationship Id="rId20" Type="http://schemas.openxmlformats.org/officeDocument/2006/relationships/hyperlink" Target="https://openlineage.io/docs/spec/object-model/" TargetMode="External"/><Relationship Id="rId21" Type="http://schemas.openxmlformats.org/officeDocument/2006/relationships/hyperlink" Target="https://opentelemetry.io/docs/concepts/signals/traces/" TargetMode="External"/><Relationship Id="rId22" Type="http://schemas.openxmlformats.org/officeDocument/2006/relationships/hyperlink" Target="https://airc.nist.gov/airmf-resources/airmf/5-sec-core/" TargetMode="External"/><Relationship Id="rId23" Type="http://schemas.openxmlformats.org/officeDocument/2006/relationships/hyperlink" Target="https://developers.google.com/optimization/cp/cp_solver" TargetMode="External"/><Relationship Id="rId24" Type="http://schemas.openxmlformats.org/officeDocument/2006/relationships/hyperlink" Target="https://pubs.usgs.gov/publication/mcs202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Maya Workspace Navigation Guide</dc:title>
  <dc:subject>How to navigate Maya Workspace and its project-scoped capabilities</dc:subject>
  <dc:creator>Kearney</dc:creator>
  <cp:keywords>Maya, supply chain, navigation, projects, operations research, evidence, agents</cp:keywords>
  <dc:description>generated by python-docx</dc:description>
  <cp:lastModifiedBy/>
  <cp:revision>1</cp:revision>
  <dcterms:created xsi:type="dcterms:W3CDTF">2013-12-23T23:15:00Z</dcterms:created>
  <dcterms:modified xsi:type="dcterms:W3CDTF">2013-12-23T23:15:00Z</dcterms:modified>
  <cp:category/>
</cp:coreProperties>
</file>