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Абдурахмонов</w:t>
      </w:r>
      <w:r>
        <w:t xml:space="preserve"> </w:t>
      </w:r>
      <w:r>
        <w:t xml:space="preserve">Ихтиёр</w:t>
      </w:r>
      <w:r>
        <w:t xml:space="preserve"> </w:t>
      </w:r>
      <w:r>
        <w:t xml:space="preserve">Бахтиёрович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Выполним примеры, приведённые в первой части описания лабораторной работы.</w:t>
      </w:r>
    </w:p>
    <w:bookmarkStart w:id="0" w:name="fig:001"/>
    <w:p>
      <w:pPr>
        <w:pStyle w:val="CaptionedFigure"/>
      </w:pPr>
      <w:bookmarkStart w:id="24" w:name="fig:001"/>
      <w:r>
        <w:drawing>
          <wp:inline>
            <wp:extent cx="5334000" cy="2634376"/>
            <wp:effectExtent b="0" l="0" r="0" t="0"/>
            <wp:docPr descr="Figure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5334000" cy="2634376"/>
                    </a:xfrm>
                    <a:prstGeom prst="rect">
                      <a:avLst/>
                    </a:prstGeom>
                    <a:noFill/>
                    <a:ln w="9525">
                      <a:noFill/>
                      <a:headEnd/>
                      <a:tailEnd/>
                    </a:ln>
                  </pic:spPr>
                </pic:pic>
              </a:graphicData>
            </a:graphic>
          </wp:inline>
        </w:drawing>
      </w:r>
      <w:bookmarkEnd w:id="24"/>
    </w:p>
    <w:p>
      <w:pPr>
        <w:pStyle w:val="ImageCaption"/>
      </w:pPr>
      <w:r>
        <w:t xml:space="preserve">Figure 1: Выполнение примеров</w:t>
      </w:r>
    </w:p>
    <w:bookmarkEnd w:id="0"/>
    <w:bookmarkStart w:id="0" w:name="fig:002"/>
    <w:p>
      <w:pPr>
        <w:pStyle w:val="CaptionedFigure"/>
      </w:pPr>
      <w:bookmarkStart w:id="28" w:name="fig:002"/>
      <w:r>
        <w:drawing>
          <wp:inline>
            <wp:extent cx="5334000" cy="2223842"/>
            <wp:effectExtent b="0" l="0" r="0" t="0"/>
            <wp:docPr descr="Figure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5334000" cy="2223842"/>
                    </a:xfrm>
                    <a:prstGeom prst="rect">
                      <a:avLst/>
                    </a:prstGeom>
                    <a:noFill/>
                    <a:ln w="9525">
                      <a:noFill/>
                      <a:headEnd/>
                      <a:tailEnd/>
                    </a:ln>
                  </pic:spPr>
                </pic:pic>
              </a:graphicData>
            </a:graphic>
          </wp:inline>
        </w:drawing>
      </w:r>
      <w:bookmarkEnd w:id="28"/>
    </w:p>
    <w:p>
      <w:pPr>
        <w:pStyle w:val="ImageCaption"/>
      </w:pPr>
      <w:r>
        <w:t xml:space="preserve">Figure 2: Выполнение примеров</w:t>
      </w:r>
    </w:p>
    <w:bookmarkEnd w:id="0"/>
    <w:bookmarkStart w:id="0" w:name="fig:003"/>
    <w:p>
      <w:pPr>
        <w:pStyle w:val="CaptionedFigure"/>
      </w:pPr>
      <w:bookmarkStart w:id="32" w:name="fig:003"/>
      <w:r>
        <w:drawing>
          <wp:inline>
            <wp:extent cx="5334000" cy="2706805"/>
            <wp:effectExtent b="0" l="0" r="0" t="0"/>
            <wp:docPr descr="Figure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5334000" cy="2706805"/>
                    </a:xfrm>
                    <a:prstGeom prst="rect">
                      <a:avLst/>
                    </a:prstGeom>
                    <a:noFill/>
                    <a:ln w="9525">
                      <a:noFill/>
                      <a:headEnd/>
                      <a:tailEnd/>
                    </a:ln>
                  </pic:spPr>
                </pic:pic>
              </a:graphicData>
            </a:graphic>
          </wp:inline>
        </w:drawing>
      </w:r>
      <w:bookmarkEnd w:id="32"/>
    </w:p>
    <w:p>
      <w:pPr>
        <w:pStyle w:val="ImageCaption"/>
      </w:pPr>
      <w:r>
        <w:t xml:space="preserve">Figure 3: Выполнение примеров</w:t>
      </w:r>
    </w:p>
    <w:bookmarkEnd w:id="0"/>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0" w:name="fig:004"/>
    <w:p>
      <w:pPr>
        <w:pStyle w:val="CaptionedFigure"/>
      </w:pPr>
      <w:bookmarkStart w:id="36" w:name="fig:004"/>
      <w:r>
        <w:drawing>
          <wp:inline>
            <wp:extent cx="5334000" cy="2659014"/>
            <wp:effectExtent b="0" l="0" r="0" t="0"/>
            <wp:docPr descr="Figure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5334000" cy="2659014"/>
                    </a:xfrm>
                    <a:prstGeom prst="rect">
                      <a:avLst/>
                    </a:prstGeom>
                    <a:noFill/>
                    <a:ln w="9525">
                      <a:noFill/>
                      <a:headEnd/>
                      <a:tailEnd/>
                    </a:ln>
                  </pic:spPr>
                </pic:pic>
              </a:graphicData>
            </a:graphic>
          </wp:inline>
        </w:drawing>
      </w:r>
      <w:bookmarkEnd w:id="36"/>
    </w:p>
    <w:p>
      <w:pPr>
        <w:pStyle w:val="ImageCaption"/>
      </w:pPr>
      <w:r>
        <w:t xml:space="preserve">Figure 4: Работа с каталогами</w:t>
      </w:r>
    </w:p>
    <w:bookmarkEnd w:id="0"/>
    <w:p>
      <w:pPr>
        <w:numPr>
          <w:ilvl w:val="0"/>
          <w:numId w:val="1002"/>
        </w:numPr>
        <w:pStyle w:val="Compact"/>
      </w:pPr>
      <w:r>
        <w:t xml:space="preserve">Определим опции команды chmod, необходимые для того, чтобы присвоить файлам из хода работы нужные права доступа.</w:t>
      </w:r>
    </w:p>
    <w:p>
      <w:pPr>
        <w:numPr>
          <w:ilvl w:val="0"/>
          <w:numId w:val="1003"/>
        </w:numPr>
        <w:pStyle w:val="Compact"/>
      </w:pPr>
      <w:r>
        <w:t xml:space="preserve">Australia (drwxr–r–)</w:t>
      </w:r>
    </w:p>
    <w:p>
      <w:pPr>
        <w:numPr>
          <w:ilvl w:val="0"/>
          <w:numId w:val="1003"/>
        </w:numPr>
        <w:pStyle w:val="Compact"/>
      </w:pPr>
      <w:r>
        <w:t xml:space="preserve">play (drwx–x–x)</w:t>
      </w:r>
    </w:p>
    <w:p>
      <w:pPr>
        <w:numPr>
          <w:ilvl w:val="0"/>
          <w:numId w:val="1003"/>
        </w:numPr>
        <w:pStyle w:val="Compact"/>
      </w:pPr>
      <w:r>
        <w:t xml:space="preserve">My_oc (-r-xr–r–)</w:t>
      </w:r>
    </w:p>
    <w:p>
      <w:pPr>
        <w:numPr>
          <w:ilvl w:val="0"/>
          <w:numId w:val="1003"/>
        </w:numPr>
        <w:pStyle w:val="Compact"/>
      </w:pPr>
      <w:r>
        <w:t xml:space="preserve">feathers (-rw-rw-r–)</w:t>
      </w:r>
    </w:p>
    <w:bookmarkStart w:id="0" w:name="fig:005"/>
    <w:p>
      <w:pPr>
        <w:pStyle w:val="CaptionedFigure"/>
      </w:pPr>
      <w:bookmarkStart w:id="40" w:name="fig:005"/>
      <w:r>
        <w:drawing>
          <wp:inline>
            <wp:extent cx="5334000" cy="4000500"/>
            <wp:effectExtent b="0" l="0" r="0" t="0"/>
            <wp:docPr descr="Figure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bookmarkEnd w:id="40"/>
    </w:p>
    <w:p>
      <w:pPr>
        <w:pStyle w:val="ImageCaption"/>
      </w:pPr>
      <w:r>
        <w:t xml:space="preserve">Figure 5: Настройка прав доступа</w:t>
      </w:r>
    </w:p>
    <w:bookmarkEnd w:id="0"/>
    <w:p>
      <w:pPr>
        <w:pStyle w:val="BodyText"/>
      </w:pPr>
      <w:r>
        <w:t xml:space="preserve">4.1. Просмотрим содержимое файла /etc/passwd.</w:t>
      </w:r>
    </w:p>
    <w:bookmarkStart w:id="0" w:name="fig:006"/>
    <w:p>
      <w:pPr>
        <w:pStyle w:val="CaptionedFigure"/>
      </w:pPr>
      <w:bookmarkStart w:id="44" w:name="fig:006"/>
      <w:r>
        <w:drawing>
          <wp:inline>
            <wp:extent cx="5334000" cy="3909489"/>
            <wp:effectExtent b="0" l="0" r="0" t="0"/>
            <wp:docPr descr="Figure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5334000" cy="3909489"/>
                    </a:xfrm>
                    <a:prstGeom prst="rect">
                      <a:avLst/>
                    </a:prstGeom>
                    <a:noFill/>
                    <a:ln w="9525">
                      <a:noFill/>
                      <a:headEnd/>
                      <a:tailEnd/>
                    </a:ln>
                  </pic:spPr>
                </pic:pic>
              </a:graphicData>
            </a:graphic>
          </wp:inline>
        </w:drawing>
      </w:r>
      <w:bookmarkEnd w:id="44"/>
    </w:p>
    <w:p>
      <w:pPr>
        <w:pStyle w:val="ImageCaption"/>
      </w:pPr>
      <w:r>
        <w:t xml:space="preserve">Figure 6: Файл /etc/passwd</w:t>
      </w:r>
    </w:p>
    <w:bookmarkEnd w:id="0"/>
    <w:p>
      <w:pPr>
        <w:pStyle w:val="BodyText"/>
      </w:pPr>
      <w:r>
        <w:t xml:space="preserve">4.2 - 4.12. Выполним все указанные действия по перемещению файлов и каталогов</w:t>
      </w:r>
    </w:p>
    <w:bookmarkStart w:id="0" w:name="fig:007"/>
    <w:p>
      <w:pPr>
        <w:pStyle w:val="CaptionedFigure"/>
      </w:pPr>
      <w:bookmarkStart w:id="48" w:name="fig:007"/>
      <w:r>
        <w:drawing>
          <wp:inline>
            <wp:extent cx="5334000" cy="2390011"/>
            <wp:effectExtent b="0" l="0" r="0" t="0"/>
            <wp:docPr descr="Figure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5334000" cy="2390011"/>
                    </a:xfrm>
                    <a:prstGeom prst="rect">
                      <a:avLst/>
                    </a:prstGeom>
                    <a:noFill/>
                    <a:ln w="9525">
                      <a:noFill/>
                      <a:headEnd/>
                      <a:tailEnd/>
                    </a:ln>
                  </pic:spPr>
                </pic:pic>
              </a:graphicData>
            </a:graphic>
          </wp:inline>
        </w:drawing>
      </w:r>
      <w:bookmarkEnd w:id="48"/>
    </w:p>
    <w:p>
      <w:pPr>
        <w:pStyle w:val="ImageCaption"/>
      </w:pPr>
      <w:r>
        <w:t xml:space="preserve">Figure 7: Работа с файлами и правами доступа</w:t>
      </w:r>
    </w:p>
    <w:bookmarkEnd w:id="0"/>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numPr>
          <w:ilvl w:val="0"/>
          <w:numId w:val="1004"/>
        </w:numPr>
        <w:pStyle w:val="Compact"/>
      </w:pPr>
      <w:r>
        <w:t xml:space="preserve">Прочитаем man по командам mount, fsck, mkfs, kill и кратко их охарактеризуем, приведя примеры.</w:t>
      </w:r>
    </w:p>
    <w:bookmarkStart w:id="0" w:name="fig:008"/>
    <w:p>
      <w:pPr>
        <w:pStyle w:val="CaptionedFigure"/>
      </w:pPr>
      <w:bookmarkStart w:id="52" w:name="fig:008"/>
      <w:r>
        <w:drawing>
          <wp:inline>
            <wp:extent cx="5334000" cy="3957483"/>
            <wp:effectExtent b="0" l="0" r="0" t="0"/>
            <wp:docPr descr="Figure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5334000" cy="3957483"/>
                    </a:xfrm>
                    <a:prstGeom prst="rect">
                      <a:avLst/>
                    </a:prstGeom>
                    <a:noFill/>
                    <a:ln w="9525">
                      <a:noFill/>
                      <a:headEnd/>
                      <a:tailEnd/>
                    </a:ln>
                  </pic:spPr>
                </pic:pic>
              </a:graphicData>
            </a:graphic>
          </wp:inline>
        </w:drawing>
      </w:r>
      <w:bookmarkEnd w:id="52"/>
    </w:p>
    <w:p>
      <w:pPr>
        <w:pStyle w:val="ImageCaption"/>
      </w:pPr>
      <w:r>
        <w:t xml:space="preserve">Figure 8: Команда mount</w:t>
      </w:r>
    </w:p>
    <w:bookmarkEnd w:id="0"/>
    <w:p>
      <w:pPr>
        <w:pStyle w:val="BodyText"/>
      </w:pPr>
      <w:r>
        <w:t xml:space="preserve">Монтирование файловой системы к общему дереву каталогов. Для размонтирования используется команда unmonnt.</w:t>
      </w:r>
    </w:p>
    <w:bookmarkStart w:id="0" w:name="fig:009"/>
    <w:p>
      <w:pPr>
        <w:pStyle w:val="CaptionedFigure"/>
      </w:pPr>
      <w:bookmarkStart w:id="56" w:name="fig:009"/>
      <w:r>
        <w:drawing>
          <wp:inline>
            <wp:extent cx="5334000" cy="3942867"/>
            <wp:effectExtent b="0" l="0" r="0" t="0"/>
            <wp:docPr descr="Figure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5334000" cy="3942867"/>
                    </a:xfrm>
                    <a:prstGeom prst="rect">
                      <a:avLst/>
                    </a:prstGeom>
                    <a:noFill/>
                    <a:ln w="9525">
                      <a:noFill/>
                      <a:headEnd/>
                      <a:tailEnd/>
                    </a:ln>
                  </pic:spPr>
                </pic:pic>
              </a:graphicData>
            </a:graphic>
          </wp:inline>
        </w:drawing>
      </w:r>
      <w:bookmarkEnd w:id="56"/>
    </w:p>
    <w:p>
      <w:pPr>
        <w:pStyle w:val="ImageCaption"/>
      </w:pPr>
      <w:r>
        <w:t xml:space="preserve">Figure 9: Команда fsck</w:t>
      </w:r>
    </w:p>
    <w:bookmarkEnd w:id="0"/>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0" w:name="fig:010"/>
    <w:p>
      <w:pPr>
        <w:pStyle w:val="CaptionedFigure"/>
      </w:pPr>
      <w:bookmarkStart w:id="60" w:name="fig:010"/>
      <w:r>
        <w:drawing>
          <wp:inline>
            <wp:extent cx="5334000" cy="4012441"/>
            <wp:effectExtent b="0" l="0" r="0" t="0"/>
            <wp:docPr descr="Figure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5334000" cy="4012441"/>
                    </a:xfrm>
                    <a:prstGeom prst="rect">
                      <a:avLst/>
                    </a:prstGeom>
                    <a:noFill/>
                    <a:ln w="9525">
                      <a:noFill/>
                      <a:headEnd/>
                      <a:tailEnd/>
                    </a:ln>
                  </pic:spPr>
                </pic:pic>
              </a:graphicData>
            </a:graphic>
          </wp:inline>
        </w:drawing>
      </w:r>
      <w:bookmarkEnd w:id="60"/>
    </w:p>
    <w:p>
      <w:pPr>
        <w:pStyle w:val="ImageCaption"/>
      </w:pPr>
      <w:r>
        <w:t xml:space="preserve">Figure 10: Команда mkfs</w:t>
      </w:r>
    </w:p>
    <w:bookmarkEnd w:id="0"/>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0" w:name="fig:011"/>
    <w:p>
      <w:pPr>
        <w:pStyle w:val="CaptionedFigure"/>
      </w:pPr>
      <w:bookmarkStart w:id="64" w:name="fig:011"/>
      <w:r>
        <w:drawing>
          <wp:inline>
            <wp:extent cx="5334000" cy="3955196"/>
            <wp:effectExtent b="0" l="0" r="0" t="0"/>
            <wp:docPr descr="Figure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5334000" cy="3955196"/>
                    </a:xfrm>
                    <a:prstGeom prst="rect">
                      <a:avLst/>
                    </a:prstGeom>
                    <a:noFill/>
                    <a:ln w="9525">
                      <a:noFill/>
                      <a:headEnd/>
                      <a:tailEnd/>
                    </a:ln>
                  </pic:spPr>
                </pic:pic>
              </a:graphicData>
            </a:graphic>
          </wp:inline>
        </w:drawing>
      </w:r>
      <w:bookmarkEnd w:id="64"/>
    </w:p>
    <w:p>
      <w:pPr>
        <w:pStyle w:val="ImageCaption"/>
      </w:pPr>
      <w:r>
        <w:t xml:space="preserve">Figure 11: Команда kill</w:t>
      </w:r>
    </w:p>
    <w:bookmarkEnd w:id="0"/>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numPr>
          <w:ilvl w:val="0"/>
          <w:numId w:val="1005"/>
        </w:numPr>
        <w:pStyle w:val="Compact"/>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numPr>
          <w:ilvl w:val="1"/>
          <w:numId w:val="1007"/>
        </w:numPr>
        <w:pStyle w:val="Compact"/>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numPr>
          <w:ilvl w:val="1"/>
          <w:numId w:val="1007"/>
        </w:numPr>
        <w:pStyle w:val="Compact"/>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numPr>
          <w:ilvl w:val="1"/>
          <w:numId w:val="1007"/>
        </w:numPr>
        <w:pStyle w:val="Compact"/>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numPr>
          <w:ilvl w:val="1"/>
          <w:numId w:val="1007"/>
        </w:numPr>
        <w:pStyle w:val="Compact"/>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numPr>
          <w:ilvl w:val="1"/>
          <w:numId w:val="1008"/>
        </w:numPr>
        <w:pStyle w:val="Compact"/>
      </w:pPr>
      <w:r>
        <w:t xml:space="preserve">В результате насильственного прерывания операций ввода-вывода, выполняемых непосредственно с диском.</w:t>
      </w:r>
    </w:p>
    <w:p>
      <w:pPr>
        <w:numPr>
          <w:ilvl w:val="1"/>
          <w:numId w:val="1008"/>
        </w:numPr>
        <w:pStyle w:val="Compact"/>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numPr>
          <w:ilvl w:val="0"/>
          <w:numId w:val="1009"/>
        </w:numPr>
        <w:pStyle w:val="Compact"/>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numPr>
          <w:ilvl w:val="0"/>
          <w:numId w:val="1010"/>
        </w:numPr>
        <w:pStyle w:val="Compact"/>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numPr>
          <w:ilvl w:val="1"/>
          <w:numId w:val="1011"/>
        </w:numPr>
        <w:pStyle w:val="Compact"/>
      </w:pPr>
      <w:r>
        <w:t xml:space="preserve">Переименование файлов в текущем каталоге. Изменить название файла april на july в домашнем каталоге: cd mv april july</w:t>
      </w:r>
    </w:p>
    <w:p>
      <w:pPr>
        <w:numPr>
          <w:ilvl w:val="1"/>
          <w:numId w:val="1011"/>
        </w:numPr>
        <w:pStyle w:val="Compact"/>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numPr>
          <w:ilvl w:val="1"/>
          <w:numId w:val="1011"/>
        </w:numPr>
        <w:pStyle w:val="Compact"/>
      </w:pPr>
      <w:r>
        <w:t xml:space="preserve">Переименование каталогов в текущем каталоге. Переименовать каталог monthly.00 в monthly.01 mv monthly.00 monthly.01</w:t>
      </w:r>
    </w:p>
    <w:p>
      <w:pPr>
        <w:numPr>
          <w:ilvl w:val="1"/>
          <w:numId w:val="1011"/>
        </w:numPr>
        <w:pStyle w:val="Compact"/>
      </w:pPr>
      <w:r>
        <w:t xml:space="preserve">Перемещение каталога в другой каталог. Переместить каталог monthly.01в каталог reports: mkdir reports mv monthly.01 reports</w:t>
      </w:r>
    </w:p>
    <w:p>
      <w:pPr>
        <w:numPr>
          <w:ilvl w:val="1"/>
          <w:numId w:val="1011"/>
        </w:numPr>
        <w:pStyle w:val="Compact"/>
      </w:pPr>
      <w:r>
        <w:t xml:space="preserve">Переименование каталога, не являющегося текущим. Переименовать каталог reports/monthly.01 в reports/monthly: mv reports/monthly.01 reports/monthly</w:t>
      </w:r>
    </w:p>
    <w:p>
      <w:pPr>
        <w:numPr>
          <w:ilvl w:val="0"/>
          <w:numId w:val="1010"/>
        </w:numPr>
        <w:pStyle w:val="Compact"/>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Абдурахмонов Ихтиёр Бахтиёрович</dc:creator>
  <dc:language>ru-RU</dc:language>
  <cp:keywords/>
  <dcterms:created xsi:type="dcterms:W3CDTF">2023-03-07T09:42:21Z</dcterms:created>
  <dcterms:modified xsi:type="dcterms:W3CDTF">2023-03-07T09:42:21Z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PT Mono</vt:lpwstr>
  </property>
  <property fmtid="{D5CDD505-2E9C-101B-9397-08002B2CF9AE}" pid="11" name="monofontoptions">
    <vt:lpwstr>Scale=MatchLowercase</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ansfontoptions">
    <vt:lpwstr>Ligatures=TeX,Scale=MatchLowercase</vt:lpwstr>
  </property>
  <property fmtid="{D5CDD505-2E9C-101B-9397-08002B2CF9AE}" pid="20" name="subtitle">
    <vt:lpwstr>Анализ файловой структуры UNIX. Команды для работы с файлами и каталогами</vt:lpwstr>
  </property>
  <property fmtid="{D5CDD505-2E9C-101B-9397-08002B2CF9AE}" pid="21" name="toc">
    <vt:lpwstr>True</vt:lpwstr>
  </property>
  <property fmtid="{D5CDD505-2E9C-101B-9397-08002B2CF9AE}" pid="22" name="toc-title">
    <vt:lpwstr>Содержание</vt:lpwstr>
  </property>
  <property fmtid="{D5CDD505-2E9C-101B-9397-08002B2CF9AE}" pid="23" name="toc_depth">
    <vt:lpwstr>2</vt:lpwstr>
  </property>
</Properties>
</file>