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85DF5" w14:textId="77777777" w:rsidR="00F74306" w:rsidRDefault="00FA1BCD">
      <w:pPr>
        <w:jc w:val="center"/>
      </w:pPr>
      <w:r>
        <w:rPr>
          <w:rFonts w:ascii="Aptos Display" w:hAnsi="Aptos Display"/>
          <w:b/>
          <w:color w:val="17365D"/>
          <w:sz w:val="40"/>
        </w:rPr>
        <w:t>HINDUSTAN UNILEVER LIMITED (HUL)</w:t>
      </w:r>
    </w:p>
    <w:p w14:paraId="516962E9" w14:textId="77777777" w:rsidR="00F74306" w:rsidRDefault="00FA1BCD">
      <w:pPr>
        <w:spacing w:after="140"/>
        <w:jc w:val="center"/>
      </w:pPr>
      <w:r>
        <w:rPr>
          <w:color w:val="596370"/>
          <w:sz w:val="21"/>
        </w:rPr>
        <w:t>Valuation Summary Report | FY2025A – FY2030F</w:t>
      </w:r>
    </w:p>
    <w:tbl>
      <w:tblPr>
        <w:tblW w:w="0" w:type="auto"/>
        <w:jc w:val="center"/>
        <w:tblLayout w:type="fixed"/>
        <w:tblLook w:val="04A0" w:firstRow="1" w:lastRow="0" w:firstColumn="1" w:lastColumn="0" w:noHBand="0" w:noVBand="1"/>
      </w:tblPr>
      <w:tblGrid>
        <w:gridCol w:w="2628"/>
        <w:gridCol w:w="2628"/>
        <w:gridCol w:w="2628"/>
        <w:gridCol w:w="2628"/>
      </w:tblGrid>
      <w:tr w:rsidR="00F74306" w14:paraId="3B0461A7" w14:textId="77777777">
        <w:trPr>
          <w:jc w:val="center"/>
        </w:trPr>
        <w:tc>
          <w:tcPr>
            <w:tcW w:w="2628" w:type="dxa"/>
            <w:tcBorders>
              <w:bottom w:val="single" w:sz="6" w:space="0" w:color="17365D"/>
            </w:tcBorders>
            <w:shd w:val="clear" w:color="auto" w:fill="17365D"/>
            <w:vAlign w:val="center"/>
          </w:tcPr>
          <w:p w14:paraId="5304557E" w14:textId="77777777" w:rsidR="00F74306" w:rsidRDefault="00FA1BCD">
            <w:pPr>
              <w:jc w:val="center"/>
            </w:pPr>
            <w:r>
              <w:rPr>
                <w:b/>
                <w:color w:val="FFFFFF"/>
                <w:sz w:val="17"/>
              </w:rPr>
              <w:t>Market Price</w:t>
            </w:r>
          </w:p>
        </w:tc>
        <w:tc>
          <w:tcPr>
            <w:tcW w:w="2628" w:type="dxa"/>
            <w:tcBorders>
              <w:bottom w:val="single" w:sz="6" w:space="0" w:color="17365D"/>
            </w:tcBorders>
            <w:shd w:val="clear" w:color="auto" w:fill="17365D"/>
            <w:vAlign w:val="center"/>
          </w:tcPr>
          <w:p w14:paraId="68509C3C" w14:textId="77777777" w:rsidR="00F74306" w:rsidRDefault="00FA1BCD">
            <w:pPr>
              <w:jc w:val="center"/>
            </w:pPr>
            <w:r>
              <w:rPr>
                <w:b/>
                <w:color w:val="FFFFFF"/>
                <w:sz w:val="17"/>
              </w:rPr>
              <w:t>DCF Value / Share</w:t>
            </w:r>
          </w:p>
        </w:tc>
        <w:tc>
          <w:tcPr>
            <w:tcW w:w="2628" w:type="dxa"/>
            <w:tcBorders>
              <w:bottom w:val="single" w:sz="6" w:space="0" w:color="17365D"/>
            </w:tcBorders>
            <w:shd w:val="clear" w:color="auto" w:fill="17365D"/>
            <w:vAlign w:val="center"/>
          </w:tcPr>
          <w:p w14:paraId="7786A55A" w14:textId="77777777" w:rsidR="00F74306" w:rsidRDefault="00FA1BCD">
            <w:pPr>
              <w:jc w:val="center"/>
            </w:pPr>
            <w:r>
              <w:rPr>
                <w:b/>
                <w:color w:val="FFFFFF"/>
                <w:sz w:val="17"/>
              </w:rPr>
              <w:t>CCA Average</w:t>
            </w:r>
          </w:p>
        </w:tc>
        <w:tc>
          <w:tcPr>
            <w:tcW w:w="2628" w:type="dxa"/>
            <w:tcBorders>
              <w:bottom w:val="single" w:sz="6" w:space="0" w:color="17365D"/>
            </w:tcBorders>
            <w:shd w:val="clear" w:color="auto" w:fill="17365D"/>
            <w:vAlign w:val="center"/>
          </w:tcPr>
          <w:p w14:paraId="03825BB2" w14:textId="77777777" w:rsidR="00F74306" w:rsidRDefault="00FA1BCD">
            <w:pPr>
              <w:jc w:val="center"/>
            </w:pPr>
            <w:r>
              <w:rPr>
                <w:b/>
                <w:color w:val="FFFFFF"/>
                <w:sz w:val="17"/>
              </w:rPr>
              <w:t>Blended Indication</w:t>
            </w:r>
          </w:p>
        </w:tc>
      </w:tr>
      <w:tr w:rsidR="00F74306" w14:paraId="08A63E41" w14:textId="77777777">
        <w:trPr>
          <w:jc w:val="center"/>
        </w:trPr>
        <w:tc>
          <w:tcPr>
            <w:tcW w:w="2628" w:type="dxa"/>
            <w:tcBorders>
              <w:bottom w:val="single" w:sz="4" w:space="0" w:color="D9E2F0"/>
            </w:tcBorders>
            <w:shd w:val="clear" w:color="auto" w:fill="EAF0F6"/>
            <w:vAlign w:val="center"/>
          </w:tcPr>
          <w:p w14:paraId="32232108" w14:textId="77777777" w:rsidR="00F74306" w:rsidRDefault="00FA1BCD">
            <w:pPr>
              <w:jc w:val="center"/>
            </w:pPr>
            <w:r>
              <w:rPr>
                <w:b/>
                <w:color w:val="17365D"/>
                <w:sz w:val="24"/>
              </w:rPr>
              <w:t>₹</w:t>
            </w:r>
            <w:r>
              <w:rPr>
                <w:b/>
                <w:color w:val="17365D"/>
                <w:sz w:val="24"/>
              </w:rPr>
              <w:t>1,975</w:t>
            </w:r>
          </w:p>
        </w:tc>
        <w:tc>
          <w:tcPr>
            <w:tcW w:w="2628" w:type="dxa"/>
            <w:tcBorders>
              <w:bottom w:val="single" w:sz="4" w:space="0" w:color="D9E2F0"/>
            </w:tcBorders>
            <w:shd w:val="clear" w:color="auto" w:fill="EAF0F6"/>
            <w:vAlign w:val="center"/>
          </w:tcPr>
          <w:p w14:paraId="08B6EFD3" w14:textId="77777777" w:rsidR="00F74306" w:rsidRDefault="00FA1BCD">
            <w:pPr>
              <w:jc w:val="center"/>
            </w:pPr>
            <w:r>
              <w:rPr>
                <w:b/>
                <w:color w:val="17365D"/>
                <w:sz w:val="24"/>
              </w:rPr>
              <w:t>₹</w:t>
            </w:r>
            <w:r>
              <w:rPr>
                <w:b/>
                <w:color w:val="17365D"/>
                <w:sz w:val="24"/>
              </w:rPr>
              <w:t>1,675</w:t>
            </w:r>
          </w:p>
        </w:tc>
        <w:tc>
          <w:tcPr>
            <w:tcW w:w="2628" w:type="dxa"/>
            <w:tcBorders>
              <w:bottom w:val="single" w:sz="4" w:space="0" w:color="D9E2F0"/>
            </w:tcBorders>
            <w:shd w:val="clear" w:color="auto" w:fill="EAF0F6"/>
            <w:vAlign w:val="center"/>
          </w:tcPr>
          <w:p w14:paraId="6D1B22CE" w14:textId="77777777" w:rsidR="00F74306" w:rsidRDefault="00FA1BCD">
            <w:pPr>
              <w:jc w:val="center"/>
            </w:pPr>
            <w:r>
              <w:rPr>
                <w:b/>
                <w:color w:val="17365D"/>
                <w:sz w:val="24"/>
              </w:rPr>
              <w:t>₹</w:t>
            </w:r>
            <w:r>
              <w:rPr>
                <w:b/>
                <w:color w:val="17365D"/>
                <w:sz w:val="24"/>
              </w:rPr>
              <w:t>2,042</w:t>
            </w:r>
          </w:p>
        </w:tc>
        <w:tc>
          <w:tcPr>
            <w:tcW w:w="2628" w:type="dxa"/>
            <w:tcBorders>
              <w:bottom w:val="single" w:sz="4" w:space="0" w:color="D9E2F0"/>
            </w:tcBorders>
            <w:shd w:val="clear" w:color="auto" w:fill="EAF0F6"/>
            <w:vAlign w:val="center"/>
          </w:tcPr>
          <w:p w14:paraId="451318AB" w14:textId="77777777" w:rsidR="00F74306" w:rsidRDefault="00FA1BCD">
            <w:pPr>
              <w:jc w:val="center"/>
            </w:pPr>
            <w:r>
              <w:rPr>
                <w:b/>
                <w:color w:val="17365D"/>
                <w:sz w:val="24"/>
              </w:rPr>
              <w:t>₹</w:t>
            </w:r>
            <w:r>
              <w:rPr>
                <w:b/>
                <w:color w:val="17365D"/>
                <w:sz w:val="24"/>
              </w:rPr>
              <w:t>1,858</w:t>
            </w:r>
          </w:p>
        </w:tc>
      </w:tr>
    </w:tbl>
    <w:p w14:paraId="6CAEE6D4" w14:textId="77777777" w:rsidR="00F74306" w:rsidRDefault="00F74306">
      <w:pPr>
        <w:spacing w:after="20"/>
      </w:pPr>
    </w:p>
    <w:p w14:paraId="0CDA3B18" w14:textId="77777777" w:rsidR="00F74306" w:rsidRDefault="00FA1BCD">
      <w:pPr>
        <w:pStyle w:val="Heading1"/>
      </w:pPr>
      <w:r>
        <w:t>Executive Valuation View</w:t>
      </w:r>
    </w:p>
    <w:p w14:paraId="2B19C6BC" w14:textId="77777777" w:rsidR="00F74306" w:rsidRDefault="00FA1BCD">
      <w:r>
        <w:rPr>
          <w:b/>
        </w:rPr>
        <w:t xml:space="preserve">Base conclusion: </w:t>
      </w:r>
      <w:r>
        <w:t>The model indicates HUL is broadly fairly valued to slightly overvalued at the modeled market price of ₹1,975. The DCF produces a value of ₹1,675 per share, implying 15.2% downside, while the three CCA approaches average ₹2,042, implying 3.4% upside. A simple 50/50 blend of DCF and CCA average gives ₹1,858 per share, or 5.9% downside to the modeled market price.</w:t>
      </w:r>
    </w:p>
    <w:p w14:paraId="16E9EAEC" w14:textId="77777777" w:rsidR="00F74306" w:rsidRDefault="00FA1BCD">
      <w:pPr>
        <w:pStyle w:val="Heading1"/>
      </w:pPr>
      <w:r>
        <w:t>Key Operating &amp; DCF Assumptions</w:t>
      </w:r>
    </w:p>
    <w:tbl>
      <w:tblPr>
        <w:tblW w:w="0" w:type="auto"/>
        <w:jc w:val="center"/>
        <w:tblLayout w:type="fixed"/>
        <w:tblLook w:val="04A0" w:firstRow="1" w:lastRow="0" w:firstColumn="1" w:lastColumn="0" w:noHBand="0" w:noVBand="1"/>
      </w:tblPr>
      <w:tblGrid>
        <w:gridCol w:w="2628"/>
        <w:gridCol w:w="2628"/>
        <w:gridCol w:w="2628"/>
        <w:gridCol w:w="2628"/>
      </w:tblGrid>
      <w:tr w:rsidR="00F74306" w14:paraId="6CE487EA" w14:textId="77777777">
        <w:trPr>
          <w:tblHeader/>
          <w:jc w:val="center"/>
        </w:trPr>
        <w:tc>
          <w:tcPr>
            <w:tcW w:w="2628" w:type="dxa"/>
            <w:shd w:val="clear" w:color="auto" w:fill="416B8F"/>
            <w:vAlign w:val="center"/>
          </w:tcPr>
          <w:p w14:paraId="26E6244C" w14:textId="77777777" w:rsidR="00F74306" w:rsidRDefault="00FA1BCD">
            <w:pPr>
              <w:jc w:val="center"/>
            </w:pPr>
            <w:r>
              <w:rPr>
                <w:b/>
                <w:color w:val="FFFFFF"/>
                <w:sz w:val="16"/>
              </w:rPr>
              <w:t>Metric</w:t>
            </w:r>
          </w:p>
        </w:tc>
        <w:tc>
          <w:tcPr>
            <w:tcW w:w="2628" w:type="dxa"/>
            <w:shd w:val="clear" w:color="auto" w:fill="416B8F"/>
            <w:vAlign w:val="center"/>
          </w:tcPr>
          <w:p w14:paraId="660B32CD" w14:textId="77777777" w:rsidR="00F74306" w:rsidRDefault="00FA1BCD">
            <w:pPr>
              <w:jc w:val="center"/>
            </w:pPr>
            <w:r>
              <w:rPr>
                <w:b/>
                <w:color w:val="FFFFFF"/>
                <w:sz w:val="16"/>
              </w:rPr>
              <w:t>Model Input</w:t>
            </w:r>
          </w:p>
        </w:tc>
        <w:tc>
          <w:tcPr>
            <w:tcW w:w="2628" w:type="dxa"/>
            <w:shd w:val="clear" w:color="auto" w:fill="416B8F"/>
            <w:vAlign w:val="center"/>
          </w:tcPr>
          <w:p w14:paraId="56A8CF58" w14:textId="77777777" w:rsidR="00F74306" w:rsidRDefault="00FA1BCD">
            <w:pPr>
              <w:jc w:val="center"/>
            </w:pPr>
            <w:r>
              <w:rPr>
                <w:b/>
                <w:color w:val="FFFFFF"/>
                <w:sz w:val="16"/>
              </w:rPr>
              <w:t>Metric</w:t>
            </w:r>
          </w:p>
        </w:tc>
        <w:tc>
          <w:tcPr>
            <w:tcW w:w="2628" w:type="dxa"/>
            <w:shd w:val="clear" w:color="auto" w:fill="416B8F"/>
            <w:vAlign w:val="center"/>
          </w:tcPr>
          <w:p w14:paraId="252739E3" w14:textId="77777777" w:rsidR="00F74306" w:rsidRDefault="00FA1BCD">
            <w:pPr>
              <w:jc w:val="center"/>
            </w:pPr>
            <w:r>
              <w:rPr>
                <w:b/>
                <w:color w:val="FFFFFF"/>
                <w:sz w:val="16"/>
              </w:rPr>
              <w:t>Model Input</w:t>
            </w:r>
          </w:p>
        </w:tc>
      </w:tr>
      <w:tr w:rsidR="00F74306" w14:paraId="000A82D9" w14:textId="77777777">
        <w:trPr>
          <w:jc w:val="center"/>
        </w:trPr>
        <w:tc>
          <w:tcPr>
            <w:tcW w:w="2628" w:type="dxa"/>
            <w:vAlign w:val="center"/>
          </w:tcPr>
          <w:p w14:paraId="163EFCAB" w14:textId="77777777" w:rsidR="00F74306" w:rsidRDefault="00FA1BCD">
            <w:r>
              <w:rPr>
                <w:b/>
                <w:color w:val="000000"/>
                <w:sz w:val="17"/>
              </w:rPr>
              <w:t>Revenue growth (FY26–30)</w:t>
            </w:r>
          </w:p>
        </w:tc>
        <w:tc>
          <w:tcPr>
            <w:tcW w:w="2628" w:type="dxa"/>
            <w:vAlign w:val="center"/>
          </w:tcPr>
          <w:p w14:paraId="096FEBE4" w14:textId="77777777" w:rsidR="00F74306" w:rsidRDefault="00FA1BCD">
            <w:pPr>
              <w:jc w:val="right"/>
            </w:pPr>
            <w:r>
              <w:rPr>
                <w:color w:val="000000"/>
                <w:sz w:val="17"/>
              </w:rPr>
              <w:t>6.0% p.a.</w:t>
            </w:r>
          </w:p>
        </w:tc>
        <w:tc>
          <w:tcPr>
            <w:tcW w:w="2628" w:type="dxa"/>
            <w:vAlign w:val="center"/>
          </w:tcPr>
          <w:p w14:paraId="25B92D0C" w14:textId="77777777" w:rsidR="00F74306" w:rsidRDefault="00FA1BCD">
            <w:r>
              <w:rPr>
                <w:b/>
                <w:color w:val="000000"/>
                <w:sz w:val="17"/>
              </w:rPr>
              <w:t>WACC</w:t>
            </w:r>
          </w:p>
        </w:tc>
        <w:tc>
          <w:tcPr>
            <w:tcW w:w="2628" w:type="dxa"/>
            <w:vAlign w:val="center"/>
          </w:tcPr>
          <w:p w14:paraId="4C01E712" w14:textId="77777777" w:rsidR="00F74306" w:rsidRDefault="00FA1BCD">
            <w:pPr>
              <w:jc w:val="right"/>
            </w:pPr>
            <w:r>
              <w:rPr>
                <w:color w:val="000000"/>
                <w:sz w:val="17"/>
              </w:rPr>
              <w:t>8.91%</w:t>
            </w:r>
          </w:p>
        </w:tc>
      </w:tr>
      <w:tr w:rsidR="00F74306" w14:paraId="06D5DA8A" w14:textId="77777777">
        <w:trPr>
          <w:jc w:val="center"/>
        </w:trPr>
        <w:tc>
          <w:tcPr>
            <w:tcW w:w="2628" w:type="dxa"/>
            <w:vAlign w:val="center"/>
          </w:tcPr>
          <w:p w14:paraId="2E4A6220" w14:textId="77777777" w:rsidR="00F74306" w:rsidRDefault="00FA1BCD">
            <w:r>
              <w:rPr>
                <w:b/>
                <w:color w:val="000000"/>
                <w:sz w:val="17"/>
              </w:rPr>
              <w:t>Tax rate</w:t>
            </w:r>
          </w:p>
        </w:tc>
        <w:tc>
          <w:tcPr>
            <w:tcW w:w="2628" w:type="dxa"/>
            <w:vAlign w:val="center"/>
          </w:tcPr>
          <w:p w14:paraId="76A32E4E" w14:textId="77777777" w:rsidR="00F74306" w:rsidRDefault="00FA1BCD">
            <w:pPr>
              <w:jc w:val="right"/>
            </w:pPr>
            <w:r>
              <w:rPr>
                <w:color w:val="000000"/>
                <w:sz w:val="17"/>
              </w:rPr>
              <w:t>25.0%</w:t>
            </w:r>
          </w:p>
        </w:tc>
        <w:tc>
          <w:tcPr>
            <w:tcW w:w="2628" w:type="dxa"/>
            <w:vAlign w:val="center"/>
          </w:tcPr>
          <w:p w14:paraId="6D345527" w14:textId="77777777" w:rsidR="00F74306" w:rsidRDefault="00FA1BCD">
            <w:r>
              <w:rPr>
                <w:b/>
                <w:color w:val="000000"/>
                <w:sz w:val="17"/>
              </w:rPr>
              <w:t>Terminal growth</w:t>
            </w:r>
          </w:p>
        </w:tc>
        <w:tc>
          <w:tcPr>
            <w:tcW w:w="2628" w:type="dxa"/>
            <w:vAlign w:val="center"/>
          </w:tcPr>
          <w:p w14:paraId="0BB3ABE3" w14:textId="77777777" w:rsidR="00F74306" w:rsidRDefault="00FA1BCD">
            <w:pPr>
              <w:jc w:val="right"/>
            </w:pPr>
            <w:r>
              <w:rPr>
                <w:color w:val="000000"/>
                <w:sz w:val="17"/>
              </w:rPr>
              <w:t>5.0%</w:t>
            </w:r>
          </w:p>
        </w:tc>
      </w:tr>
      <w:tr w:rsidR="00F74306" w14:paraId="172779A1" w14:textId="77777777">
        <w:trPr>
          <w:jc w:val="center"/>
        </w:trPr>
        <w:tc>
          <w:tcPr>
            <w:tcW w:w="2628" w:type="dxa"/>
            <w:vAlign w:val="center"/>
          </w:tcPr>
          <w:p w14:paraId="552DA704" w14:textId="77777777" w:rsidR="00F74306" w:rsidRDefault="00FA1BCD">
            <w:r>
              <w:rPr>
                <w:b/>
                <w:color w:val="000000"/>
                <w:sz w:val="17"/>
              </w:rPr>
              <w:t>EV / EBITDA exit multiple</w:t>
            </w:r>
          </w:p>
        </w:tc>
        <w:tc>
          <w:tcPr>
            <w:tcW w:w="2628" w:type="dxa"/>
            <w:vAlign w:val="center"/>
          </w:tcPr>
          <w:p w14:paraId="536D17D9" w14:textId="77777777" w:rsidR="00F74306" w:rsidRDefault="00FA1BCD">
            <w:pPr>
              <w:jc w:val="right"/>
            </w:pPr>
            <w:r>
              <w:rPr>
                <w:color w:val="000000"/>
                <w:sz w:val="17"/>
              </w:rPr>
              <w:t>35.71x</w:t>
            </w:r>
          </w:p>
        </w:tc>
        <w:tc>
          <w:tcPr>
            <w:tcW w:w="2628" w:type="dxa"/>
            <w:vAlign w:val="center"/>
          </w:tcPr>
          <w:p w14:paraId="1B38C00B" w14:textId="77777777" w:rsidR="00F74306" w:rsidRDefault="00FA1BCD">
            <w:r>
              <w:rPr>
                <w:b/>
                <w:color w:val="000000"/>
                <w:sz w:val="17"/>
              </w:rPr>
              <w:t>Beta</w:t>
            </w:r>
          </w:p>
        </w:tc>
        <w:tc>
          <w:tcPr>
            <w:tcW w:w="2628" w:type="dxa"/>
            <w:vAlign w:val="center"/>
          </w:tcPr>
          <w:p w14:paraId="6B2C2229" w14:textId="77777777" w:rsidR="00F74306" w:rsidRDefault="00FA1BCD">
            <w:pPr>
              <w:jc w:val="right"/>
            </w:pPr>
            <w:r>
              <w:rPr>
                <w:color w:val="000000"/>
                <w:sz w:val="17"/>
              </w:rPr>
              <w:t>0.44</w:t>
            </w:r>
          </w:p>
        </w:tc>
      </w:tr>
      <w:tr w:rsidR="00F74306" w14:paraId="725995B7" w14:textId="77777777">
        <w:trPr>
          <w:jc w:val="center"/>
        </w:trPr>
        <w:tc>
          <w:tcPr>
            <w:tcW w:w="2628" w:type="dxa"/>
            <w:vAlign w:val="center"/>
          </w:tcPr>
          <w:p w14:paraId="6071DD58" w14:textId="77777777" w:rsidR="00F74306" w:rsidRDefault="00FA1BCD">
            <w:r>
              <w:rPr>
                <w:b/>
                <w:color w:val="000000"/>
                <w:sz w:val="17"/>
              </w:rPr>
              <w:t>Cost of debt</w:t>
            </w:r>
          </w:p>
        </w:tc>
        <w:tc>
          <w:tcPr>
            <w:tcW w:w="2628" w:type="dxa"/>
            <w:vAlign w:val="center"/>
          </w:tcPr>
          <w:p w14:paraId="0B455A3B" w14:textId="77777777" w:rsidR="00F74306" w:rsidRDefault="00FA1BCD">
            <w:pPr>
              <w:jc w:val="right"/>
            </w:pPr>
            <w:r>
              <w:rPr>
                <w:color w:val="000000"/>
                <w:sz w:val="17"/>
              </w:rPr>
              <w:t>3.44%</w:t>
            </w:r>
          </w:p>
        </w:tc>
        <w:tc>
          <w:tcPr>
            <w:tcW w:w="2628" w:type="dxa"/>
            <w:vAlign w:val="center"/>
          </w:tcPr>
          <w:p w14:paraId="7EA33410" w14:textId="77777777" w:rsidR="00F74306" w:rsidRDefault="00FA1BCD">
            <w:r>
              <w:rPr>
                <w:b/>
                <w:color w:val="000000"/>
                <w:sz w:val="17"/>
              </w:rPr>
              <w:t>Dividend payout</w:t>
            </w:r>
          </w:p>
        </w:tc>
        <w:tc>
          <w:tcPr>
            <w:tcW w:w="2628" w:type="dxa"/>
            <w:vAlign w:val="center"/>
          </w:tcPr>
          <w:p w14:paraId="56115793" w14:textId="77777777" w:rsidR="00F74306" w:rsidRDefault="00FA1BCD">
            <w:pPr>
              <w:jc w:val="right"/>
            </w:pPr>
            <w:r>
              <w:rPr>
                <w:color w:val="000000"/>
                <w:sz w:val="17"/>
              </w:rPr>
              <w:t>90.0%</w:t>
            </w:r>
          </w:p>
        </w:tc>
      </w:tr>
    </w:tbl>
    <w:p w14:paraId="71D17C39" w14:textId="77777777" w:rsidR="00F74306" w:rsidRDefault="00FA1BCD">
      <w:pPr>
        <w:pStyle w:val="Heading1"/>
      </w:pPr>
      <w:r>
        <w:t>Operating Outlook from the Model</w:t>
      </w:r>
    </w:p>
    <w:tbl>
      <w:tblPr>
        <w:tblW w:w="0" w:type="auto"/>
        <w:jc w:val="center"/>
        <w:tblLayout w:type="fixed"/>
        <w:tblLook w:val="04A0" w:firstRow="1" w:lastRow="0" w:firstColumn="1" w:lastColumn="0" w:noHBand="0" w:noVBand="1"/>
      </w:tblPr>
      <w:tblGrid>
        <w:gridCol w:w="2102"/>
        <w:gridCol w:w="2102"/>
        <w:gridCol w:w="2102"/>
        <w:gridCol w:w="2102"/>
        <w:gridCol w:w="2102"/>
      </w:tblGrid>
      <w:tr w:rsidR="00F74306" w14:paraId="2DDD8788" w14:textId="77777777">
        <w:trPr>
          <w:tblHeader/>
          <w:jc w:val="center"/>
        </w:trPr>
        <w:tc>
          <w:tcPr>
            <w:tcW w:w="2102" w:type="dxa"/>
            <w:shd w:val="clear" w:color="auto" w:fill="416B8F"/>
            <w:vAlign w:val="center"/>
          </w:tcPr>
          <w:p w14:paraId="0C978288" w14:textId="77777777" w:rsidR="00F74306" w:rsidRDefault="00FA1BCD">
            <w:pPr>
              <w:jc w:val="center"/>
            </w:pPr>
            <w:r>
              <w:rPr>
                <w:b/>
                <w:color w:val="FFFFFF"/>
                <w:sz w:val="16"/>
              </w:rPr>
              <w:t>Measure</w:t>
            </w:r>
          </w:p>
        </w:tc>
        <w:tc>
          <w:tcPr>
            <w:tcW w:w="2102" w:type="dxa"/>
            <w:shd w:val="clear" w:color="auto" w:fill="416B8F"/>
            <w:vAlign w:val="center"/>
          </w:tcPr>
          <w:p w14:paraId="2B775D92" w14:textId="77777777" w:rsidR="00F74306" w:rsidRDefault="00FA1BCD">
            <w:pPr>
              <w:jc w:val="center"/>
            </w:pPr>
            <w:r>
              <w:rPr>
                <w:b/>
                <w:color w:val="FFFFFF"/>
                <w:sz w:val="16"/>
              </w:rPr>
              <w:t>FY2025A</w:t>
            </w:r>
          </w:p>
        </w:tc>
        <w:tc>
          <w:tcPr>
            <w:tcW w:w="2102" w:type="dxa"/>
            <w:shd w:val="clear" w:color="auto" w:fill="416B8F"/>
            <w:vAlign w:val="center"/>
          </w:tcPr>
          <w:p w14:paraId="1D4D6C6E" w14:textId="77777777" w:rsidR="00F74306" w:rsidRDefault="00FA1BCD">
            <w:pPr>
              <w:jc w:val="center"/>
            </w:pPr>
            <w:r>
              <w:rPr>
                <w:b/>
                <w:color w:val="FFFFFF"/>
                <w:sz w:val="16"/>
              </w:rPr>
              <w:t>FY2030F</w:t>
            </w:r>
          </w:p>
        </w:tc>
        <w:tc>
          <w:tcPr>
            <w:tcW w:w="2102" w:type="dxa"/>
            <w:shd w:val="clear" w:color="auto" w:fill="416B8F"/>
            <w:vAlign w:val="center"/>
          </w:tcPr>
          <w:p w14:paraId="3E4568E4" w14:textId="77777777" w:rsidR="00F74306" w:rsidRDefault="00FA1BCD">
            <w:pPr>
              <w:jc w:val="center"/>
            </w:pPr>
            <w:r>
              <w:rPr>
                <w:b/>
                <w:color w:val="FFFFFF"/>
                <w:sz w:val="16"/>
              </w:rPr>
              <w:t>CAGR / Change</w:t>
            </w:r>
          </w:p>
        </w:tc>
        <w:tc>
          <w:tcPr>
            <w:tcW w:w="2102" w:type="dxa"/>
            <w:shd w:val="clear" w:color="auto" w:fill="416B8F"/>
            <w:vAlign w:val="center"/>
          </w:tcPr>
          <w:p w14:paraId="07D5BDC3" w14:textId="77777777" w:rsidR="00F74306" w:rsidRDefault="00FA1BCD">
            <w:pPr>
              <w:jc w:val="center"/>
            </w:pPr>
            <w:r>
              <w:rPr>
                <w:b/>
                <w:color w:val="FFFFFF"/>
                <w:sz w:val="16"/>
              </w:rPr>
              <w:t>Comment</w:t>
            </w:r>
          </w:p>
        </w:tc>
      </w:tr>
      <w:tr w:rsidR="00F74306" w14:paraId="57F350BC" w14:textId="77777777">
        <w:trPr>
          <w:jc w:val="center"/>
        </w:trPr>
        <w:tc>
          <w:tcPr>
            <w:tcW w:w="2102" w:type="dxa"/>
            <w:vAlign w:val="center"/>
          </w:tcPr>
          <w:p w14:paraId="26A52DE5" w14:textId="77777777" w:rsidR="00F74306" w:rsidRDefault="00FA1BCD">
            <w:r>
              <w:rPr>
                <w:b/>
                <w:color w:val="000000"/>
                <w:sz w:val="16"/>
              </w:rPr>
              <w:t>Revenue (₹ cr)</w:t>
            </w:r>
          </w:p>
        </w:tc>
        <w:tc>
          <w:tcPr>
            <w:tcW w:w="2102" w:type="dxa"/>
            <w:vAlign w:val="center"/>
          </w:tcPr>
          <w:p w14:paraId="29DE7A97" w14:textId="77777777" w:rsidR="00F74306" w:rsidRDefault="00FA1BCD">
            <w:pPr>
              <w:jc w:val="right"/>
            </w:pPr>
            <w:r>
              <w:rPr>
                <w:color w:val="000000"/>
                <w:sz w:val="16"/>
              </w:rPr>
              <w:t>61,328</w:t>
            </w:r>
          </w:p>
        </w:tc>
        <w:tc>
          <w:tcPr>
            <w:tcW w:w="2102" w:type="dxa"/>
            <w:vAlign w:val="center"/>
          </w:tcPr>
          <w:p w14:paraId="5711C8DF" w14:textId="77777777" w:rsidR="00F74306" w:rsidRDefault="00FA1BCD">
            <w:pPr>
              <w:jc w:val="right"/>
            </w:pPr>
            <w:r>
              <w:rPr>
                <w:color w:val="000000"/>
                <w:sz w:val="16"/>
              </w:rPr>
              <w:t>82,071</w:t>
            </w:r>
          </w:p>
        </w:tc>
        <w:tc>
          <w:tcPr>
            <w:tcW w:w="2102" w:type="dxa"/>
            <w:vAlign w:val="center"/>
          </w:tcPr>
          <w:p w14:paraId="605400EE" w14:textId="77777777" w:rsidR="00F74306" w:rsidRDefault="00FA1BCD">
            <w:pPr>
              <w:jc w:val="right"/>
            </w:pPr>
            <w:r>
              <w:rPr>
                <w:color w:val="000000"/>
                <w:sz w:val="16"/>
              </w:rPr>
              <w:t>6.0%</w:t>
            </w:r>
          </w:p>
        </w:tc>
        <w:tc>
          <w:tcPr>
            <w:tcW w:w="2102" w:type="dxa"/>
            <w:vAlign w:val="center"/>
          </w:tcPr>
          <w:p w14:paraId="11B49636" w14:textId="77777777" w:rsidR="00F74306" w:rsidRDefault="00FA1BCD">
            <w:r>
              <w:rPr>
                <w:color w:val="000000"/>
                <w:sz w:val="16"/>
              </w:rPr>
              <w:t>Steady 6% annual growth</w:t>
            </w:r>
          </w:p>
        </w:tc>
      </w:tr>
      <w:tr w:rsidR="00F74306" w14:paraId="6E420F1F" w14:textId="77777777">
        <w:trPr>
          <w:jc w:val="center"/>
        </w:trPr>
        <w:tc>
          <w:tcPr>
            <w:tcW w:w="2102" w:type="dxa"/>
            <w:vAlign w:val="center"/>
          </w:tcPr>
          <w:p w14:paraId="2C6D2233" w14:textId="77777777" w:rsidR="00F74306" w:rsidRDefault="00FA1BCD">
            <w:r>
              <w:rPr>
                <w:b/>
                <w:color w:val="000000"/>
                <w:sz w:val="16"/>
              </w:rPr>
              <w:t>EBITDA (₹ cr)</w:t>
            </w:r>
          </w:p>
        </w:tc>
        <w:tc>
          <w:tcPr>
            <w:tcW w:w="2102" w:type="dxa"/>
            <w:vAlign w:val="center"/>
          </w:tcPr>
          <w:p w14:paraId="71C5D990" w14:textId="77777777" w:rsidR="00F74306" w:rsidRDefault="00FA1BCD">
            <w:pPr>
              <w:jc w:val="right"/>
            </w:pPr>
            <w:r>
              <w:rPr>
                <w:color w:val="000000"/>
                <w:sz w:val="16"/>
              </w:rPr>
              <w:t>13,058</w:t>
            </w:r>
          </w:p>
        </w:tc>
        <w:tc>
          <w:tcPr>
            <w:tcW w:w="2102" w:type="dxa"/>
            <w:vAlign w:val="center"/>
          </w:tcPr>
          <w:p w14:paraId="4E385DC0" w14:textId="77777777" w:rsidR="00F74306" w:rsidRDefault="00FA1BCD">
            <w:pPr>
              <w:jc w:val="right"/>
            </w:pPr>
            <w:r>
              <w:rPr>
                <w:color w:val="000000"/>
                <w:sz w:val="16"/>
              </w:rPr>
              <w:t>19,697</w:t>
            </w:r>
          </w:p>
        </w:tc>
        <w:tc>
          <w:tcPr>
            <w:tcW w:w="2102" w:type="dxa"/>
            <w:vAlign w:val="center"/>
          </w:tcPr>
          <w:p w14:paraId="63717314" w14:textId="77777777" w:rsidR="00F74306" w:rsidRDefault="00FA1BCD">
            <w:pPr>
              <w:jc w:val="right"/>
            </w:pPr>
            <w:r>
              <w:rPr>
                <w:color w:val="000000"/>
                <w:sz w:val="16"/>
              </w:rPr>
              <w:t>8.6%</w:t>
            </w:r>
          </w:p>
        </w:tc>
        <w:tc>
          <w:tcPr>
            <w:tcW w:w="2102" w:type="dxa"/>
            <w:vAlign w:val="center"/>
          </w:tcPr>
          <w:p w14:paraId="1258A86D" w14:textId="77777777" w:rsidR="00F74306" w:rsidRDefault="00FA1BCD">
            <w:r>
              <w:rPr>
                <w:color w:val="000000"/>
                <w:sz w:val="16"/>
              </w:rPr>
              <w:t>Margin normalises at ~24%</w:t>
            </w:r>
          </w:p>
        </w:tc>
      </w:tr>
      <w:tr w:rsidR="00F74306" w14:paraId="2435EF4B" w14:textId="77777777">
        <w:trPr>
          <w:jc w:val="center"/>
        </w:trPr>
        <w:tc>
          <w:tcPr>
            <w:tcW w:w="2102" w:type="dxa"/>
            <w:vAlign w:val="center"/>
          </w:tcPr>
          <w:p w14:paraId="774B1AEF" w14:textId="77777777" w:rsidR="00F74306" w:rsidRDefault="00FA1BCD">
            <w:r>
              <w:rPr>
                <w:b/>
                <w:color w:val="000000"/>
                <w:sz w:val="16"/>
              </w:rPr>
              <w:t>Net income (₹ cr)</w:t>
            </w:r>
          </w:p>
        </w:tc>
        <w:tc>
          <w:tcPr>
            <w:tcW w:w="2102" w:type="dxa"/>
            <w:vAlign w:val="center"/>
          </w:tcPr>
          <w:p w14:paraId="17553AA3" w14:textId="77777777" w:rsidR="00F74306" w:rsidRDefault="00FA1BCD">
            <w:pPr>
              <w:jc w:val="right"/>
            </w:pPr>
            <w:r>
              <w:rPr>
                <w:color w:val="000000"/>
                <w:sz w:val="16"/>
              </w:rPr>
              <w:t>9,340</w:t>
            </w:r>
          </w:p>
        </w:tc>
        <w:tc>
          <w:tcPr>
            <w:tcW w:w="2102" w:type="dxa"/>
            <w:vAlign w:val="center"/>
          </w:tcPr>
          <w:p w14:paraId="3BB743C6" w14:textId="77777777" w:rsidR="00F74306" w:rsidRDefault="00FA1BCD">
            <w:pPr>
              <w:jc w:val="right"/>
            </w:pPr>
            <w:r>
              <w:rPr>
                <w:color w:val="000000"/>
                <w:sz w:val="16"/>
              </w:rPr>
              <w:t>14,252</w:t>
            </w:r>
          </w:p>
        </w:tc>
        <w:tc>
          <w:tcPr>
            <w:tcW w:w="2102" w:type="dxa"/>
            <w:vAlign w:val="center"/>
          </w:tcPr>
          <w:p w14:paraId="00AFE47E" w14:textId="77777777" w:rsidR="00F74306" w:rsidRDefault="00FA1BCD">
            <w:pPr>
              <w:jc w:val="right"/>
            </w:pPr>
            <w:r>
              <w:rPr>
                <w:color w:val="000000"/>
                <w:sz w:val="16"/>
              </w:rPr>
              <w:t>8.8%</w:t>
            </w:r>
          </w:p>
        </w:tc>
        <w:tc>
          <w:tcPr>
            <w:tcW w:w="2102" w:type="dxa"/>
            <w:vAlign w:val="center"/>
          </w:tcPr>
          <w:p w14:paraId="76DD55EA" w14:textId="77777777" w:rsidR="00F74306" w:rsidRDefault="00FA1BCD">
            <w:r>
              <w:rPr>
                <w:color w:val="000000"/>
                <w:sz w:val="16"/>
              </w:rPr>
              <w:t>Profit growth outpaces revenue</w:t>
            </w:r>
          </w:p>
        </w:tc>
      </w:tr>
      <w:tr w:rsidR="00F74306" w14:paraId="354C8917" w14:textId="77777777">
        <w:trPr>
          <w:jc w:val="center"/>
        </w:trPr>
        <w:tc>
          <w:tcPr>
            <w:tcW w:w="2102" w:type="dxa"/>
            <w:vAlign w:val="center"/>
          </w:tcPr>
          <w:p w14:paraId="4429C3DF" w14:textId="77777777" w:rsidR="00F74306" w:rsidRDefault="00FA1BCD">
            <w:r>
              <w:rPr>
                <w:b/>
                <w:color w:val="000000"/>
                <w:sz w:val="16"/>
              </w:rPr>
              <w:t>FCF (₹ cr)</w:t>
            </w:r>
          </w:p>
        </w:tc>
        <w:tc>
          <w:tcPr>
            <w:tcW w:w="2102" w:type="dxa"/>
            <w:vAlign w:val="center"/>
          </w:tcPr>
          <w:p w14:paraId="114C21A0" w14:textId="77777777" w:rsidR="00F74306" w:rsidRDefault="00FA1BCD">
            <w:pPr>
              <w:jc w:val="right"/>
            </w:pPr>
            <w:r>
              <w:rPr>
                <w:color w:val="000000"/>
                <w:sz w:val="16"/>
              </w:rPr>
              <w:t>10,822</w:t>
            </w:r>
          </w:p>
        </w:tc>
        <w:tc>
          <w:tcPr>
            <w:tcW w:w="2102" w:type="dxa"/>
            <w:vAlign w:val="center"/>
          </w:tcPr>
          <w:p w14:paraId="30B2A1E9" w14:textId="77777777" w:rsidR="00F74306" w:rsidRDefault="00FA1BCD">
            <w:pPr>
              <w:jc w:val="right"/>
            </w:pPr>
            <w:r>
              <w:rPr>
                <w:color w:val="000000"/>
                <w:sz w:val="16"/>
              </w:rPr>
              <w:t>13,592</w:t>
            </w:r>
          </w:p>
        </w:tc>
        <w:tc>
          <w:tcPr>
            <w:tcW w:w="2102" w:type="dxa"/>
            <w:vAlign w:val="center"/>
          </w:tcPr>
          <w:p w14:paraId="4FFA369E" w14:textId="77777777" w:rsidR="00F74306" w:rsidRDefault="00FA1BCD">
            <w:pPr>
              <w:jc w:val="right"/>
            </w:pPr>
            <w:r>
              <w:rPr>
                <w:color w:val="000000"/>
                <w:sz w:val="16"/>
              </w:rPr>
              <w:t>5.9%</w:t>
            </w:r>
          </w:p>
        </w:tc>
        <w:tc>
          <w:tcPr>
            <w:tcW w:w="2102" w:type="dxa"/>
            <w:vAlign w:val="center"/>
          </w:tcPr>
          <w:p w14:paraId="4D0E3678" w14:textId="77777777" w:rsidR="00F74306" w:rsidRDefault="00FA1BCD">
            <w:r>
              <w:rPr>
                <w:color w:val="000000"/>
                <w:sz w:val="16"/>
              </w:rPr>
              <w:t>Positive, rising cash generation</w:t>
            </w:r>
          </w:p>
        </w:tc>
      </w:tr>
    </w:tbl>
    <w:p w14:paraId="5433F59F" w14:textId="77777777" w:rsidR="00F74306" w:rsidRDefault="00FA1BCD">
      <w:pPr>
        <w:pStyle w:val="Heading1"/>
      </w:pPr>
      <w:r>
        <w:t>Valuation Analysis</w:t>
      </w:r>
    </w:p>
    <w:tbl>
      <w:tblPr>
        <w:tblW w:w="0" w:type="auto"/>
        <w:jc w:val="center"/>
        <w:tblLayout w:type="fixed"/>
        <w:tblLook w:val="04A0" w:firstRow="1" w:lastRow="0" w:firstColumn="1" w:lastColumn="0" w:noHBand="0" w:noVBand="1"/>
      </w:tblPr>
      <w:tblGrid>
        <w:gridCol w:w="2628"/>
        <w:gridCol w:w="2628"/>
        <w:gridCol w:w="2628"/>
        <w:gridCol w:w="2628"/>
      </w:tblGrid>
      <w:tr w:rsidR="00F74306" w14:paraId="5D2C6ACC" w14:textId="77777777">
        <w:trPr>
          <w:tblHeader/>
          <w:jc w:val="center"/>
        </w:trPr>
        <w:tc>
          <w:tcPr>
            <w:tcW w:w="2628" w:type="dxa"/>
            <w:shd w:val="clear" w:color="auto" w:fill="416B8F"/>
            <w:vAlign w:val="center"/>
          </w:tcPr>
          <w:p w14:paraId="6862AC6D" w14:textId="77777777" w:rsidR="00F74306" w:rsidRDefault="00FA1BCD">
            <w:pPr>
              <w:jc w:val="center"/>
            </w:pPr>
            <w:r>
              <w:rPr>
                <w:b/>
                <w:color w:val="FFFFFF"/>
                <w:sz w:val="16"/>
              </w:rPr>
              <w:t>Method</w:t>
            </w:r>
          </w:p>
        </w:tc>
        <w:tc>
          <w:tcPr>
            <w:tcW w:w="2628" w:type="dxa"/>
            <w:shd w:val="clear" w:color="auto" w:fill="416B8F"/>
            <w:vAlign w:val="center"/>
          </w:tcPr>
          <w:p w14:paraId="2C7DBF5E" w14:textId="77777777" w:rsidR="00F74306" w:rsidRDefault="00FA1BCD">
            <w:pPr>
              <w:jc w:val="center"/>
            </w:pPr>
            <w:r>
              <w:rPr>
                <w:b/>
                <w:color w:val="FFFFFF"/>
                <w:sz w:val="16"/>
              </w:rPr>
              <w:t>Value / Share</w:t>
            </w:r>
          </w:p>
        </w:tc>
        <w:tc>
          <w:tcPr>
            <w:tcW w:w="2628" w:type="dxa"/>
            <w:shd w:val="clear" w:color="auto" w:fill="416B8F"/>
            <w:vAlign w:val="center"/>
          </w:tcPr>
          <w:p w14:paraId="6F2356F5" w14:textId="77777777" w:rsidR="00F74306" w:rsidRDefault="00FA1BCD">
            <w:pPr>
              <w:jc w:val="center"/>
            </w:pPr>
            <w:r>
              <w:rPr>
                <w:b/>
                <w:color w:val="FFFFFF"/>
                <w:sz w:val="16"/>
              </w:rPr>
              <w:t>vs. ₹1,975</w:t>
            </w:r>
          </w:p>
        </w:tc>
        <w:tc>
          <w:tcPr>
            <w:tcW w:w="2628" w:type="dxa"/>
            <w:shd w:val="clear" w:color="auto" w:fill="416B8F"/>
            <w:vAlign w:val="center"/>
          </w:tcPr>
          <w:p w14:paraId="39CBDEBA" w14:textId="77777777" w:rsidR="00F74306" w:rsidRDefault="00FA1BCD">
            <w:pPr>
              <w:jc w:val="center"/>
            </w:pPr>
            <w:r>
              <w:rPr>
                <w:b/>
                <w:color w:val="FFFFFF"/>
                <w:sz w:val="16"/>
              </w:rPr>
              <w:t>Interpretation</w:t>
            </w:r>
          </w:p>
        </w:tc>
      </w:tr>
      <w:tr w:rsidR="00F74306" w14:paraId="34971EFE" w14:textId="77777777">
        <w:trPr>
          <w:jc w:val="center"/>
        </w:trPr>
        <w:tc>
          <w:tcPr>
            <w:tcW w:w="2628" w:type="dxa"/>
            <w:vAlign w:val="center"/>
          </w:tcPr>
          <w:p w14:paraId="0C09FD2A" w14:textId="77777777" w:rsidR="00F74306" w:rsidRDefault="00FA1BCD">
            <w:r>
              <w:rPr>
                <w:b/>
                <w:color w:val="000000"/>
                <w:sz w:val="16"/>
              </w:rPr>
              <w:t>DCF</w:t>
            </w:r>
          </w:p>
        </w:tc>
        <w:tc>
          <w:tcPr>
            <w:tcW w:w="2628" w:type="dxa"/>
            <w:vAlign w:val="center"/>
          </w:tcPr>
          <w:p w14:paraId="7641DAB1" w14:textId="77777777" w:rsidR="00F74306" w:rsidRDefault="00FA1BCD">
            <w:pPr>
              <w:jc w:val="right"/>
            </w:pPr>
            <w:r>
              <w:rPr>
                <w:color w:val="000000"/>
                <w:sz w:val="16"/>
              </w:rPr>
              <w:t>₹</w:t>
            </w:r>
            <w:r>
              <w:rPr>
                <w:color w:val="000000"/>
                <w:sz w:val="16"/>
              </w:rPr>
              <w:t>1,675</w:t>
            </w:r>
          </w:p>
        </w:tc>
        <w:tc>
          <w:tcPr>
            <w:tcW w:w="2628" w:type="dxa"/>
            <w:vAlign w:val="center"/>
          </w:tcPr>
          <w:p w14:paraId="576FBF78" w14:textId="77777777" w:rsidR="00F74306" w:rsidRDefault="00FA1BCD">
            <w:pPr>
              <w:jc w:val="right"/>
            </w:pPr>
            <w:r>
              <w:rPr>
                <w:color w:val="000000"/>
                <w:sz w:val="16"/>
              </w:rPr>
              <w:t>-15.2%</w:t>
            </w:r>
          </w:p>
        </w:tc>
        <w:tc>
          <w:tcPr>
            <w:tcW w:w="2628" w:type="dxa"/>
            <w:vAlign w:val="center"/>
          </w:tcPr>
          <w:p w14:paraId="75115281" w14:textId="77777777" w:rsidR="00F74306" w:rsidRDefault="00FA1BCD">
            <w:r>
              <w:rPr>
                <w:color w:val="000000"/>
                <w:sz w:val="16"/>
              </w:rPr>
              <w:t>Intrinsic value below current price</w:t>
            </w:r>
          </w:p>
        </w:tc>
      </w:tr>
      <w:tr w:rsidR="00F74306" w14:paraId="3B7D9F93" w14:textId="77777777">
        <w:trPr>
          <w:jc w:val="center"/>
        </w:trPr>
        <w:tc>
          <w:tcPr>
            <w:tcW w:w="2628" w:type="dxa"/>
            <w:vAlign w:val="center"/>
          </w:tcPr>
          <w:p w14:paraId="248CC121" w14:textId="77777777" w:rsidR="00F74306" w:rsidRDefault="00FA1BCD">
            <w:r>
              <w:rPr>
                <w:color w:val="000000"/>
                <w:sz w:val="16"/>
              </w:rPr>
              <w:t>CCA – EV / Revenue</w:t>
            </w:r>
          </w:p>
        </w:tc>
        <w:tc>
          <w:tcPr>
            <w:tcW w:w="2628" w:type="dxa"/>
            <w:vAlign w:val="center"/>
          </w:tcPr>
          <w:p w14:paraId="46D9D412" w14:textId="77777777" w:rsidR="00F74306" w:rsidRDefault="00FA1BCD">
            <w:pPr>
              <w:jc w:val="right"/>
            </w:pPr>
            <w:r>
              <w:rPr>
                <w:color w:val="000000"/>
                <w:sz w:val="16"/>
              </w:rPr>
              <w:t>₹</w:t>
            </w:r>
            <w:r>
              <w:rPr>
                <w:color w:val="000000"/>
                <w:sz w:val="16"/>
              </w:rPr>
              <w:t>2,176</w:t>
            </w:r>
          </w:p>
        </w:tc>
        <w:tc>
          <w:tcPr>
            <w:tcW w:w="2628" w:type="dxa"/>
            <w:vAlign w:val="center"/>
          </w:tcPr>
          <w:p w14:paraId="2DA9A283" w14:textId="77777777" w:rsidR="00F74306" w:rsidRDefault="00FA1BCD">
            <w:pPr>
              <w:jc w:val="right"/>
            </w:pPr>
            <w:r>
              <w:rPr>
                <w:color w:val="000000"/>
                <w:sz w:val="16"/>
              </w:rPr>
              <w:t>10.2%</w:t>
            </w:r>
          </w:p>
        </w:tc>
        <w:tc>
          <w:tcPr>
            <w:tcW w:w="2628" w:type="dxa"/>
            <w:vAlign w:val="center"/>
          </w:tcPr>
          <w:p w14:paraId="5FCC4B9D" w14:textId="77777777" w:rsidR="00F74306" w:rsidRDefault="00FA1BCD">
            <w:r>
              <w:rPr>
                <w:color w:val="000000"/>
                <w:sz w:val="16"/>
              </w:rPr>
              <w:t>Higher peer-based indication</w:t>
            </w:r>
          </w:p>
        </w:tc>
      </w:tr>
      <w:tr w:rsidR="00F74306" w14:paraId="1AB86BC2" w14:textId="77777777">
        <w:trPr>
          <w:jc w:val="center"/>
        </w:trPr>
        <w:tc>
          <w:tcPr>
            <w:tcW w:w="2628" w:type="dxa"/>
            <w:vAlign w:val="center"/>
          </w:tcPr>
          <w:p w14:paraId="5D5FA690" w14:textId="77777777" w:rsidR="00F74306" w:rsidRDefault="00FA1BCD">
            <w:r>
              <w:rPr>
                <w:color w:val="000000"/>
                <w:sz w:val="16"/>
              </w:rPr>
              <w:t>CCA – EV / EBITDA</w:t>
            </w:r>
          </w:p>
        </w:tc>
        <w:tc>
          <w:tcPr>
            <w:tcW w:w="2628" w:type="dxa"/>
            <w:vAlign w:val="center"/>
          </w:tcPr>
          <w:p w14:paraId="3985CC30" w14:textId="77777777" w:rsidR="00F74306" w:rsidRDefault="00FA1BCD">
            <w:pPr>
              <w:jc w:val="right"/>
            </w:pPr>
            <w:r>
              <w:rPr>
                <w:color w:val="000000"/>
                <w:sz w:val="16"/>
              </w:rPr>
              <w:t>₹</w:t>
            </w:r>
            <w:r>
              <w:rPr>
                <w:color w:val="000000"/>
                <w:sz w:val="16"/>
              </w:rPr>
              <w:t>1,714</w:t>
            </w:r>
          </w:p>
        </w:tc>
        <w:tc>
          <w:tcPr>
            <w:tcW w:w="2628" w:type="dxa"/>
            <w:vAlign w:val="center"/>
          </w:tcPr>
          <w:p w14:paraId="5CF71A2A" w14:textId="77777777" w:rsidR="00F74306" w:rsidRDefault="00FA1BCD">
            <w:pPr>
              <w:jc w:val="right"/>
            </w:pPr>
            <w:r>
              <w:rPr>
                <w:color w:val="000000"/>
                <w:sz w:val="16"/>
              </w:rPr>
              <w:t>-13.2%</w:t>
            </w:r>
          </w:p>
        </w:tc>
        <w:tc>
          <w:tcPr>
            <w:tcW w:w="2628" w:type="dxa"/>
            <w:vAlign w:val="center"/>
          </w:tcPr>
          <w:p w14:paraId="0EB3971A" w14:textId="77777777" w:rsidR="00F74306" w:rsidRDefault="00FA1BCD">
            <w:r>
              <w:rPr>
                <w:color w:val="000000"/>
                <w:sz w:val="16"/>
              </w:rPr>
              <w:t>Most conservative CCA result</w:t>
            </w:r>
          </w:p>
        </w:tc>
      </w:tr>
      <w:tr w:rsidR="00F74306" w14:paraId="721E19AF" w14:textId="77777777">
        <w:trPr>
          <w:jc w:val="center"/>
        </w:trPr>
        <w:tc>
          <w:tcPr>
            <w:tcW w:w="2628" w:type="dxa"/>
            <w:vAlign w:val="center"/>
          </w:tcPr>
          <w:p w14:paraId="300AA481" w14:textId="77777777" w:rsidR="00F74306" w:rsidRDefault="00FA1BCD">
            <w:r>
              <w:rPr>
                <w:color w:val="000000"/>
                <w:sz w:val="16"/>
              </w:rPr>
              <w:t>CCA – P/E</w:t>
            </w:r>
          </w:p>
        </w:tc>
        <w:tc>
          <w:tcPr>
            <w:tcW w:w="2628" w:type="dxa"/>
            <w:vAlign w:val="center"/>
          </w:tcPr>
          <w:p w14:paraId="2355B717" w14:textId="77777777" w:rsidR="00F74306" w:rsidRDefault="00FA1BCD">
            <w:pPr>
              <w:jc w:val="right"/>
            </w:pPr>
            <w:r>
              <w:rPr>
                <w:color w:val="000000"/>
                <w:sz w:val="16"/>
              </w:rPr>
              <w:t>₹</w:t>
            </w:r>
            <w:r>
              <w:rPr>
                <w:color w:val="000000"/>
                <w:sz w:val="16"/>
              </w:rPr>
              <w:t>2,235</w:t>
            </w:r>
          </w:p>
        </w:tc>
        <w:tc>
          <w:tcPr>
            <w:tcW w:w="2628" w:type="dxa"/>
            <w:vAlign w:val="center"/>
          </w:tcPr>
          <w:p w14:paraId="2A5DB91C" w14:textId="77777777" w:rsidR="00F74306" w:rsidRDefault="00FA1BCD">
            <w:pPr>
              <w:jc w:val="right"/>
            </w:pPr>
            <w:r>
              <w:rPr>
                <w:color w:val="000000"/>
                <w:sz w:val="16"/>
              </w:rPr>
              <w:t>13.2%</w:t>
            </w:r>
          </w:p>
        </w:tc>
        <w:tc>
          <w:tcPr>
            <w:tcW w:w="2628" w:type="dxa"/>
            <w:vAlign w:val="center"/>
          </w:tcPr>
          <w:p w14:paraId="68933326" w14:textId="77777777" w:rsidR="00F74306" w:rsidRDefault="00FA1BCD">
            <w:r>
              <w:rPr>
                <w:color w:val="000000"/>
                <w:sz w:val="16"/>
              </w:rPr>
              <w:t>Highest peer-based indication</w:t>
            </w:r>
          </w:p>
        </w:tc>
      </w:tr>
      <w:tr w:rsidR="00F74306" w14:paraId="3F96F4F7" w14:textId="77777777">
        <w:trPr>
          <w:jc w:val="center"/>
        </w:trPr>
        <w:tc>
          <w:tcPr>
            <w:tcW w:w="2628" w:type="dxa"/>
            <w:vAlign w:val="center"/>
          </w:tcPr>
          <w:p w14:paraId="07CC4976" w14:textId="77777777" w:rsidR="00F74306" w:rsidRDefault="00FA1BCD">
            <w:r>
              <w:rPr>
                <w:b/>
                <w:color w:val="000000"/>
                <w:sz w:val="16"/>
              </w:rPr>
              <w:t>CCA average</w:t>
            </w:r>
          </w:p>
        </w:tc>
        <w:tc>
          <w:tcPr>
            <w:tcW w:w="2628" w:type="dxa"/>
            <w:vAlign w:val="center"/>
          </w:tcPr>
          <w:p w14:paraId="432AE326" w14:textId="77777777" w:rsidR="00F74306" w:rsidRDefault="00FA1BCD">
            <w:pPr>
              <w:jc w:val="right"/>
            </w:pPr>
            <w:r>
              <w:rPr>
                <w:color w:val="000000"/>
                <w:sz w:val="16"/>
              </w:rPr>
              <w:t>₹</w:t>
            </w:r>
            <w:r>
              <w:rPr>
                <w:color w:val="000000"/>
                <w:sz w:val="16"/>
              </w:rPr>
              <w:t>2,042</w:t>
            </w:r>
          </w:p>
        </w:tc>
        <w:tc>
          <w:tcPr>
            <w:tcW w:w="2628" w:type="dxa"/>
            <w:vAlign w:val="center"/>
          </w:tcPr>
          <w:p w14:paraId="5F58F3E2" w14:textId="77777777" w:rsidR="00F74306" w:rsidRDefault="00FA1BCD">
            <w:pPr>
              <w:jc w:val="right"/>
            </w:pPr>
            <w:r>
              <w:rPr>
                <w:color w:val="000000"/>
                <w:sz w:val="16"/>
              </w:rPr>
              <w:t>3.4%</w:t>
            </w:r>
          </w:p>
        </w:tc>
        <w:tc>
          <w:tcPr>
            <w:tcW w:w="2628" w:type="dxa"/>
            <w:vAlign w:val="center"/>
          </w:tcPr>
          <w:p w14:paraId="7290FF16" w14:textId="77777777" w:rsidR="00F74306" w:rsidRDefault="00FA1BCD">
            <w:r>
              <w:rPr>
                <w:color w:val="000000"/>
                <w:sz w:val="16"/>
              </w:rPr>
              <w:t>Blended trading-comparables view</w:t>
            </w:r>
          </w:p>
        </w:tc>
      </w:tr>
    </w:tbl>
    <w:p w14:paraId="1D4078E1" w14:textId="77777777" w:rsidR="00F74306" w:rsidRDefault="00FA1BCD">
      <w:pPr>
        <w:pStyle w:val="Heading2"/>
      </w:pPr>
      <w:r>
        <w:t>Sensitivity &amp; Risk Considerations</w:t>
      </w:r>
    </w:p>
    <w:p w14:paraId="4D6A1EB6" w14:textId="77777777" w:rsidR="00F74306" w:rsidRDefault="00FA1BCD">
      <w:pPr>
        <w:pStyle w:val="ListBullet"/>
        <w:spacing w:after="40"/>
        <w:ind w:left="259"/>
      </w:pPr>
      <w:r>
        <w:t>The DCF is highly terminal-value dependent: present value of terminal value is ₹348.8 thousand crore, approximately 88% of DCF enterprise value. This makes the result sensitive to WACC and terminal assumptions.</w:t>
      </w:r>
    </w:p>
    <w:p w14:paraId="7B291730" w14:textId="77777777" w:rsidR="00F74306" w:rsidRDefault="00FA1BCD">
      <w:pPr>
        <w:pStyle w:val="ListBullet"/>
        <w:spacing w:after="40"/>
        <w:ind w:left="259"/>
      </w:pPr>
      <w:r>
        <w:t>The DCF sensitivity table shows a wide valuation range as WACC and terminal growth vary, reinforcing that the ₹1,675/share base case should be viewed as an assumption-sensitive estimate rather than a single-point target.</w:t>
      </w:r>
    </w:p>
    <w:p w14:paraId="726B7BEE" w14:textId="77777777" w:rsidR="00F74306" w:rsidRDefault="00FA1BCD">
      <w:pPr>
        <w:pStyle w:val="ListBullet"/>
        <w:spacing w:after="40"/>
        <w:ind w:left="259"/>
      </w:pPr>
      <w:r>
        <w:t>The model assumes 6% revenue growth, 24% operating margin, 25% tax and 3% capex as a percentage of PPE during the forecast period. A 90% dividend payout supports equity distributions but limits internally retained growth capital.</w:t>
      </w:r>
    </w:p>
    <w:p w14:paraId="207E3E18" w14:textId="77777777" w:rsidR="00F74306" w:rsidRDefault="00FA1BCD">
      <w:pPr>
        <w:pStyle w:val="Heading2"/>
      </w:pPr>
      <w:r>
        <w:lastRenderedPageBreak/>
        <w:t>Investment Conclusion</w:t>
      </w:r>
    </w:p>
    <w:p w14:paraId="2620D019" w14:textId="77777777" w:rsidR="00F74306" w:rsidRDefault="00FA1BCD">
      <w:r>
        <w:rPr>
          <w:b/>
        </w:rPr>
        <w:t xml:space="preserve">Overall assessment: </w:t>
      </w:r>
      <w:r>
        <w:t>The model supports a neutral / cautious stance. HUL combines dependable operating growth, strong liquidity and moderate leverage with a valuation that leaves limited margin of safety at the modeled market price. The DCF is below market, while peer multiples cluster around or above market, so the most defensible interpretation is a range-based fair value rather than an aggressive upside call.</w:t>
      </w:r>
    </w:p>
    <w:p w14:paraId="53DC1D75" w14:textId="77777777" w:rsidR="00F74306" w:rsidRDefault="00FA1BCD">
      <w:pPr>
        <w:spacing w:before="100" w:after="0"/>
      </w:pPr>
      <w:r>
        <w:rPr>
          <w:b/>
          <w:color w:val="646464"/>
          <w:sz w:val="15"/>
        </w:rPr>
        <w:t xml:space="preserve">Source &amp; note: </w:t>
      </w:r>
      <w:r>
        <w:rPr>
          <w:color w:val="646464"/>
          <w:sz w:val="15"/>
        </w:rPr>
        <w:t>Prepared from the user-provided HUL financial model (Assumption Sheet, DCF Analysis, CCA Analysis, HUL IS/BS/CS and Ratio Analysis). All values are model outputs and amounts are in ₹ crore unless stated. This report is for academic/analytical use and is not investment advice. The workbook contains an “Infosys” subtitle on the HUL IS tab; the valuation tabs and CCA company row identify HUL, which is the basis used here.</w:t>
      </w:r>
    </w:p>
    <w:sectPr w:rsidR="00F74306" w:rsidSect="00034616">
      <w:footerReference w:type="default" r:id="rId8"/>
      <w:pgSz w:w="12240" w:h="15840"/>
      <w:pgMar w:top="749" w:right="864" w:bottom="691"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29021" w14:textId="77777777" w:rsidR="00FA1BCD" w:rsidRDefault="00FA1BCD">
      <w:pPr>
        <w:spacing w:after="0" w:line="240" w:lineRule="auto"/>
      </w:pPr>
      <w:r>
        <w:separator/>
      </w:r>
    </w:p>
  </w:endnote>
  <w:endnote w:type="continuationSeparator" w:id="0">
    <w:p w14:paraId="711A8D1D" w14:textId="77777777" w:rsidR="00FA1BCD" w:rsidRDefault="00FA1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A5D9" w14:textId="77777777" w:rsidR="00F74306" w:rsidRDefault="00FA1BCD">
    <w:pPr>
      <w:pStyle w:val="Footer"/>
      <w:jc w:val="center"/>
    </w:pPr>
    <w:r>
      <w:rPr>
        <w:color w:val="828282"/>
        <w:sz w:val="14"/>
      </w:rPr>
      <w:t>HUL Valuation Summary | Prepared from user-provided financial model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79F7A" w14:textId="77777777" w:rsidR="00FA1BCD" w:rsidRDefault="00FA1BCD">
      <w:pPr>
        <w:spacing w:after="0" w:line="240" w:lineRule="auto"/>
      </w:pPr>
      <w:r>
        <w:separator/>
      </w:r>
    </w:p>
  </w:footnote>
  <w:footnote w:type="continuationSeparator" w:id="0">
    <w:p w14:paraId="76D59BAA" w14:textId="77777777" w:rsidR="00FA1BCD" w:rsidRDefault="00FA1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6973265">
    <w:abstractNumId w:val="8"/>
  </w:num>
  <w:num w:numId="2" w16cid:durableId="1005402558">
    <w:abstractNumId w:val="6"/>
  </w:num>
  <w:num w:numId="3" w16cid:durableId="723718771">
    <w:abstractNumId w:val="5"/>
  </w:num>
  <w:num w:numId="4" w16cid:durableId="1014654161">
    <w:abstractNumId w:val="4"/>
  </w:num>
  <w:num w:numId="5" w16cid:durableId="1746684357">
    <w:abstractNumId w:val="7"/>
  </w:num>
  <w:num w:numId="6" w16cid:durableId="26873315">
    <w:abstractNumId w:val="3"/>
  </w:num>
  <w:num w:numId="7" w16cid:durableId="884827353">
    <w:abstractNumId w:val="2"/>
  </w:num>
  <w:num w:numId="8" w16cid:durableId="933902345">
    <w:abstractNumId w:val="1"/>
  </w:num>
  <w:num w:numId="9" w16cid:durableId="339236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8060F"/>
    <w:rsid w:val="00EA37B2"/>
    <w:rsid w:val="00F74306"/>
    <w:rsid w:val="00FA1B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35FFD"/>
  <w14:defaultImageDpi w14:val="300"/>
  <w15:docId w15:val="{B2469892-D368-4D38-B6CF-067DAF33D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Kumar</cp:lastModifiedBy>
  <cp:revision>2</cp:revision>
  <dcterms:created xsi:type="dcterms:W3CDTF">2026-10-04T09:07:00Z</dcterms:created>
  <dcterms:modified xsi:type="dcterms:W3CDTF">2026-10-04T09:07:00Z</dcterms:modified>
  <cp:category/>
</cp:coreProperties>
</file>