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0F6E56"/>
          <w:sz w:val="56"/>
          <w:szCs w:val="56"/>
        </w:rPr>
        <w:t xml:space="preserve">Mi-Ecommerce</w:t>
      </w:r>
    </w:p>
    <w:p>
      <w:pPr>
        <w:spacing w:after="160"/>
        <w:jc w:val="center"/>
      </w:pPr>
      <w:r>
        <w:rPr>
          <w:color w:val="2C2C2A"/>
          <w:sz w:val="32"/>
          <w:szCs w:val="32"/>
        </w:rPr>
        <w:t xml:space="preserve">Arquitectura profesional para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vAlign w:val="center"/>
          </w:tcPr>
          <w:p>
            <w:pPr>
              <w:jc w:val="center"/>
            </w:pPr>
            <w:r>
              <w:rPr>
                <w:b/>
                <w:bCs/>
                <w:color w:val="0F6E56"/>
                <w:sz w:val="18"/>
                <w:szCs w:val="18"/>
              </w:rPr>
              <w:t xml:space="preserve">Backend Senior</w:t>
            </w:r>
          </w:p>
        </w:tc>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vAlign w:val="center"/>
          </w:tcPr>
          <w:p>
            <w:pPr>
              <w:jc w:val="center"/>
            </w:pPr>
            <w:r>
              <w:rPr>
                <w:b/>
                <w:bCs/>
                <w:color w:val="534AB7"/>
                <w:sz w:val="18"/>
                <w:szCs w:val="18"/>
              </w:rPr>
              <w:t xml:space="preserve">Frontend Senior</w:t>
            </w:r>
          </w:p>
        </w:tc>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vAlign w:val="center"/>
          </w:tcPr>
          <w:p>
            <w:pPr>
              <w:jc w:val="center"/>
            </w:pPr>
            <w:r>
              <w:rPr>
                <w:b/>
                <w:bCs/>
                <w:color w:val="633806"/>
                <w:sz w:val="18"/>
                <w:szCs w:val="18"/>
              </w:rPr>
              <w:t xml:space="preserve">DevOps Completo</w:t>
            </w:r>
          </w:p>
        </w:tc>
        <w:tc>
          <w:tcPr>
            <w:tcBorders>
              <w:top w:val="none" w:color="FFFFFF" w:sz="0"/>
              <w:left w:val="none" w:color="FFFFFF" w:sz="0"/>
              <w:bottom w:val="none" w:color="FFFFFF" w:sz="0"/>
              <w:right w:val="none" w:color="FFFFFF" w:sz="0"/>
            </w:tcBorders>
            <w:shd w:fill="FAECE7" w:val="clear"/>
            <w:tcMar>
              <w:top w:type="dxa" w:w="80"/>
              <w:left w:type="dxa" w:w="160"/>
              <w:bottom w:type="dxa" w:w="80"/>
              <w:right w:type="dxa" w:w="160"/>
            </w:tcMar>
            <w:vAlign w:val="center"/>
          </w:tcPr>
          <w:p>
            <w:pPr>
              <w:jc w:val="center"/>
            </w:pPr>
            <w:r>
              <w:rPr>
                <w:b/>
                <w:bCs/>
                <w:color w:val="993C1D"/>
                <w:sz w:val="18"/>
                <w:szCs w:val="18"/>
              </w:rPr>
              <w:t xml:space="preserve">Testing Correcto</w:t>
            </w:r>
          </w:p>
        </w:tc>
      </w:tr>
    </w:tbl>
    <w:p>
      <w:pPr>
        <w:spacing w:after="400"/>
      </w:pPr>
    </w:p>
    <w:p>
      <w:pPr>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29125"/>
                    </a:xfrm>
                    <a:prstGeom prst="rect">
                      <a:avLst/>
                    </a:prstGeom>
                  </pic:spPr>
                </pic:pic>
              </a:graphicData>
            </a:graphic>
          </wp:inline>
        </w:drawing>
      </w:r>
    </w:p>
    <w:p>
      <w:pPr>
        <w:spacing w:after="200"/>
      </w:pPr>
    </w:p>
    <w:p>
      <w:pPr>
        <w:pBdr>
          <w:top w:val="single" w:color="0F6E56" w:sz="4"/>
        </w:pBdr>
        <w:spacing w:after="80" w:before="200"/>
        <w:jc w:val="center"/>
      </w:pPr>
      <w:r>
        <w:rPr>
          <w:i/>
          <w:iCs/>
          <w:color w:val="5F5E5A"/>
          <w:sz w:val="20"/>
          <w:szCs w:val="20"/>
        </w:rPr>
        <w:t xml:space="preserve">Stack: Node.js · Express · Mongoose · React · Vite · MinIO · Redis · Docker Compose</w:t>
      </w:r>
    </w:p>
    <w:p>
      <w:r>
        <w:br w:type="page"/>
      </w:r>
    </w:p>
    <w:p>
      <w:pPr>
        <w:pStyle w:val="Heading1"/>
      </w:pPr>
      <w:r>
        <w:rPr>
          <w:b/>
          <w:bCs/>
        </w:rPr>
        <w:t xml:space="preserve">Introducción</w:t>
      </w:r>
    </w:p>
    <w:p>
      <w:pPr>
        <w:spacing w:after="120"/>
        <w:jc w:val="left"/>
      </w:pPr>
      <w:r>
        <w:rPr>
          <w:color w:val="2C2C2A"/>
          <w:sz w:val="22"/>
          <w:szCs w:val="22"/>
        </w:rPr>
        <w:t xml:space="preserve">Este documento describe la arquitectura completa del proyecto Mi-Ecommerce, una tienda en línea diseñada desde el primer día para entornos de producción. Cada decisión estructural está fundamentada en principios de ingeniería de software ampliamente adoptados en equipos profesionales.</w:t>
      </w:r>
    </w:p>
    <w:p>
      <w:pPr>
        <w:spacing w:after="120"/>
        <w:jc w:val="left"/>
      </w:pPr>
      <w:r>
        <w:rPr>
          <w:color w:val="2C2C2A"/>
          <w:sz w:val="22"/>
          <w:szCs w:val="22"/>
        </w:rPr>
        <w:t xml:space="preserve">La estructura sigue el patrón de separación de responsabilidades (Separation of Concerns), donde cada carpeta tiene un único propósito claro. Esto permite que el proyecto escale en complejidad sin necesidad de reestructurar el código base.</w:t>
      </w:r>
    </w:p>
    <w:p>
      <w:pPr>
        <w:spacing w:after="200"/>
      </w:pPr>
    </w:p>
    <w:p>
      <w:pPr>
        <w:pStyle w:val="Heading1"/>
      </w:pPr>
      <w:r>
        <w:rPr>
          <w:b/>
          <w:bCs/>
        </w:rPr>
        <w:t xml:space="preserve">Backend —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config/ — Configuraciones centralizadas</w:t>
            </w:r>
          </w:p>
        </w:tc>
      </w:tr>
    </w:tbl>
    <w:p>
      <w:pPr>
        <w:spacing w:after="100"/>
      </w:pPr>
    </w:p>
    <w:p>
      <w:pPr>
        <w:spacing w:after="120"/>
        <w:jc w:val="left"/>
      </w:pPr>
      <w:r>
        <w:rPr>
          <w:color w:val="2C2C2A"/>
          <w:sz w:val="22"/>
          <w:szCs w:val="22"/>
        </w:rPr>
        <w:t xml:space="preserve">Todo lo que depende del entorno de ejecución (desarrollo, staging, producción) vive aquí. Centralizar la configuración evita que las credenciales y URLs estén dispersas por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env.js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Valida al arranque que todas las variables de entorno requeridas existen. Si falta alguna, el servidor lanza un error descriptivo antes de aceptar tráfico.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Evita errores silenciosos en producción. Un servidor que arranca sin MONGO_URI y falla 2 horas después es mucho más costoso que uno que falla al inicio con un mensaje claro.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db.js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Conexión a MongoDB con opciones de producción: timeouts, pool size, reconexión automática, y logs de estado de conexión vía Winston.</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Las opciones por defecto de Mongoose no están optimizadas para alta concurrencia. Aquí se configuran poolSize, serverSelectionTimeoutMS y otros parámetros críticos.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cors.js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Define los orígenes permitidos según la variable NODE_ENV. En desarrollo acepta localhost; en producción solo el dominio del frontend.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Un CORS mal configurado es la causa más común de brechas de seguridad en APIs públicas.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controllers/ y services/ — El patrón más importante</w:t>
            </w:r>
          </w:p>
        </w:tc>
      </w:tr>
    </w:tbl>
    <w:p>
      <w:pPr>
        <w:spacing w:after="100"/>
      </w:pPr>
    </w:p>
    <w:p>
      <w:pPr>
        <w:spacing w:after="120"/>
        <w:jc w:val="left"/>
      </w:pPr>
      <w:r>
        <w:rPr>
          <w:color w:val="2C2C2A"/>
          <w:sz w:val="22"/>
          <w:szCs w:val="22"/>
        </w:rPr>
        <w:t xml:space="preserve">La decisión arquitectónica más relevante del proyecto: separar el manejo HTTP de la lógica de negocio. Los controllers solo hablan con req y res; los services contienen la lógica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controllers/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Reciben la petición HTTP, extraen parámetros, llaman al service correspondiente, y devuelven la respuesta formateada. Máximo 20 líneas por función.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Un controller delgado es testeable sin levantar un servidor HTTP. Facilita además la migración futura a GraphQL o gRPC sin reescribir la lógica.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services/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Contienen toda la lógica de negocio pura: cálculo de totales, validaciones complejas, orquestación de modelos, llamadas a APIs externas.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Los tests unitarios pueden probar un service.js directamente, sin simular HTTP. Esto hace que la suite de tests corra en milisegundos.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catchAsync.js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Envuelve funciones async para capturar errores y pasarlos automáticamente al middleware de errores. Elimina los bloques try-catch repetitivos.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esta utilidad, un await fallido en un controller sin try-catch rompe el servidor. Con ella, el error fluye automáticamente al handler global.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errors/ — Manejo centralizado de errores</w:t>
            </w:r>
          </w:p>
        </w:tc>
      </w:tr>
    </w:tbl>
    <w:p>
      <w:pPr>
        <w:spacing w:after="100"/>
      </w:pPr>
    </w:p>
    <w:p>
      <w:pPr>
        <w:spacing w:after="120"/>
        <w:jc w:val="left"/>
      </w:pPr>
      <w:r>
        <w:rPr>
          <w:color w:val="2C2C2A"/>
          <w:sz w:val="22"/>
          <w:szCs w:val="22"/>
        </w:rPr>
        <w:t xml:space="preserve">En vez de que cada controller maneje los errores a su manera, todos los errores del sistema pasan por un único middleware. Esto garantiza respuestas consistentes y logs completos.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AppError.js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Clase que extiende Error con dos propiedades adicionales: statusCode (400, 401, 403, 404, 500) e isOperational (distingue errores esperados de bugs).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Permite que el handler global decida si loggear el error completo (bugs) o solo el mensaje (errores de validación esperados).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errorHandler.js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Middleware de Express que captura todos los errores, los formatea con formatResponse, los loggea con Winston, y en producción oculta los detalles internos.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En producción nunca se expone un stack trace al cliente. En desarrollo sí, para facilitar el debugging.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notFound.js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Middleware para rutas no definidas. Crea un AppError 404 antes de que Express devuelva su respuesta genérica.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este handler, Express devuelve HTML para rutas no encontradas, lo que rompe los clientes que esperan JSON.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models/ — Esquemas de datos Mongoose</w:t>
            </w:r>
          </w:p>
        </w:tc>
      </w:tr>
    </w:tbl>
    <w:p>
      <w:pPr>
        <w:spacing w:after="100"/>
      </w:pPr>
    </w:p>
    <w:p>
      <w:pPr>
        <w:spacing w:after="120"/>
        <w:jc w:val="left"/>
      </w:pPr>
      <w:r>
        <w:rPr>
          <w:color w:val="2C2C2A"/>
          <w:sz w:val="22"/>
          <w:szCs w:val="22"/>
        </w:rPr>
        <w:t xml:space="preserve">Cada entidad del negocio tiene su propio modelo con validaciones, índices y métodos. La convención *.model.js es estándar en proyectos Node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user.model.js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Esquema de usuario con campos: name, email (único, indexado), password (hasheado), role (enum: user/admin), isActive, phone, shippingAddress, passwordResetToken, passwordResetExpires, timestamps.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índice en email acelera los lookups de autenticación. El campo isActive permite desactivar cuentas sin borrarlas (soft delete). Los campos phone y shippingAddress habilitan el flujo de despacho y notificaciones WhatsApp. passwordResetToken y passwordResetExpires gestionan el flujo de recuperación de contraseña de forma segura.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product.model.js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Incluye name, description, price, stock, images (array URLs MinIO), category (ref), ratings, slug generado automáticamente, type (enum: serigrafia/dtf/prenda/mug/gorra/estampado/otro), isDeleted y deletedAt para soft delete.</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El slug permite URLs amigables (/productos/polera-serigrafia) sin exponer el _id de MongoDB. El campo type clasifica la técnica de impresión para filtrado en el configurador 3D. isDeleted y deletedAt implementan soft delete: los productos eliminados no aparecen en el catálogo pero su historial en órdenes queda intacto.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order.model.js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Almacena items (snapshot de producto), totales, estado (enum: pending/paid/shipped/delivered/cancelled), shippingAddress, y paymentIntent.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snapshot de producto es crítico: si el precio cambia después de la compra, el histórico de órdenes debe mantener el precio original.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cart.model.js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Carrito por usuario con TTL index: expira automáticamente después de 7 días de inactividad.</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El TTL index de MongoDB limpia carritos abandonados sin necesidad de jobs programados.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review.model.js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Rating (1-5), comment, user (ref), product (ref). Índice compuesto [user, product] con unique para evitar doble reseña.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índice compuesto único garantiza a nivel de base de datos que un usuario no pueda dejar dos reseñas del mismo producto.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wishlist.model.js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Lista de deseos por usuario con array de referencias a productos.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Separar la wishlist del carrito permite implementar funcionalidades de marketing como "recordatorios de productos guardados".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ticket.model.js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Tickets de soporte al cliente con campos: type, subject, description, orderId (ref), status y array de messages para conversación interna entre usuario y admin.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Centraliza el soporte postventa. El vínculo con orderId permite al admin ver el pedido asociado directamente desde el panel AdminTickets.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payment.model.js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Registra cada transacción con campos: order (ref), amount, method, status y paymentIntentId de Stripe o PayPal.</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Desacopla el registro de pago de la orden, permitiendo auditoría de transacciones independiente y soporte a múltiples métodos de pago (Stripe, PayPal, transferencia bancaria).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bankAccount.model.js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Almacena cuentas bancarias para transferencias: bankName, accountNumber, accountType, ownerName, ownerDocument, phoneNumber, supportedMethods e isActive.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Permite ofrecer transferencia bancaria como método de pago adicional. isActive habilita rotación de cuentas sin eliminar el historial. El endpoint /api/bank-accounts es consumido por el checkout para mostrar opciones de pago manual.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middlewares/ — Seguridad e interceptores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auth.middleware.js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Verifica el accessToken JWT en cada petición protegida. Si es inválido o expirado, responde 401 automáticamente.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Al centralizar la verificación, ninguna ruta protegida puede olvidarse de validar el token.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validate.middleware.js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Ejecuta los schemas de express-validator y, si hay errores, responde 400 con todos los mensajes de error formateados antes de llegar al controller.</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Garantiza que ningún controller recibe datos malformados. Si el controller ejecuta, los datos ya fueron validados.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rateLimiter.js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Dos limitadores: por IP para peticiones generales, y por userId para endpoints sensibles como checkout o cambio de contraseña.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límite por userId resiste proxies y VPNs que pueden compartir IP. Es la única defensa efectiva contra ataques de fuerza bruta autenticada.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error.middleware.js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Re-exporta el errorHandler de errors/ para usarlo en app.js de forma semántica.</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Mantiene app.js limpio y legible.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jobs/ — Colas asíncronas con BullMQ</w:t>
            </w:r>
          </w:p>
        </w:tc>
      </w:tr>
    </w:tbl>
    <w:p>
      <w:pPr>
        <w:spacing w:after="100"/>
      </w:pPr>
    </w:p>
    <w:p>
      <w:pPr>
        <w:spacing w:after="120"/>
        <w:jc w:val="left"/>
      </w:pPr>
      <w:r>
        <w:rPr>
          <w:color w:val="2C2C2A"/>
          <w:sz w:val="22"/>
          <w:szCs w:val="22"/>
        </w:rPr>
        <w:t xml:space="preserve">Ninguna operación lenta debe bloquear la respuesta HTTP al usuario. El envío de emails, la generación de facturas PDF y el procesamiento de órdenes complejas se delegan a workers en segundo plano.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notificationQueue.js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Cola de Redis (BullMQ) que almacena los jobs de notificación de despacho con el payload del pedido: orderId, cliente y teléfono para WhatsApp vía n8n.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 n8n o Evolution API fallan, BullMQ reintenta automáticamente con backoff exponencial. Sin queue, el mensaje WhatsApp simplemente se pierde y el cliente no recibe confirmación de despacho.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orderQueue.js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Procesa órdenes que requieren pasos adicionales: actualización de stock, notificación al proveedor, generación de factura.</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Libera el endpoint POST /orders para responder en menos de 200ms mientras el procesamiento ocurre en segundo plano.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workers/notificationWorker.js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Consume la notificationQueue, llama a n8n.service.js con el payload del pedido y marca el job como completado o fallido. Un orderWorker.js paralelo procesa la actualización de stock y generación de facturas PDF.</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La separación queue/worker permite escalar los workers horizontalmente. La cola de notificaciones y la de órdenes son independientes: un fallo en notificaciones no bloquea el procesamiento de stock.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uploads/ y webhooks/ — Integraciones externas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multer.config.js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Configura Multer para aceptar solo imágenes (jpeg, png, webp) con tamaño máximo de 5MB, almacenadas temporalmente en memoria.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Las imágenes en memoria (memoryStorage) se pasan directamente a MinIO a través de minioUpload.js y se descartan. Límite de 5MB por archivo configurado en la instancia de Multer.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config/minio.js + utils/minioUpload.js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Configura el cliente MinIO con las credenciales del .env. minioUpload.js inicializa el bucket al primer arranque, aplica política de lectura pública y sube archivos generando nombres aleatorios con crypto.</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MinIO es un object storage S3-compatible que corre como contenedor Docker en el propio stack (puerto 9000). URLs públicas accesibles desde el navegador. En producción puede apuntarse a AWS S3 cambiando solo las variables de entorno.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webhooks/stripe.js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Recibe eventos de Stripe (payment_intent.succeeded, charge.refunded) y verifica la firma HMAC antes de procesarlos.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verificación de firma, cualquiera puede llamar al webhook y marcar órdenes como pagadas. La firma es la única garantía de que el evento viene de Stripe.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webhooks/paypal.js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Equivalente para PayPal con su propio mecanismo de verificación de eventos.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Soportar dos procesadores de pago incrementa la tasa de conversión al ofrecer más opciones al cliente.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tests/ — Cobertura con Jest + Supertest</w:t>
            </w:r>
          </w:p>
        </w:tc>
      </w:tr>
    </w:tbl>
    <w:p>
      <w:pPr>
        <w:spacing w:after="100"/>
      </w:pPr>
    </w:p>
    <w:p>
      <w:pPr>
        <w:spacing w:after="120"/>
        <w:jc w:val="left"/>
      </w:pPr>
      <w:r>
        <w:rPr>
          <w:color w:val="2C2C2A"/>
          <w:sz w:val="22"/>
          <w:szCs w:val="22"/>
        </w:rPr>
        <w:t xml:space="preserve">La separación entre tests unitarios e de integración es una decisión arquitectónica, no solo organizativa. Permite correr los tests rápidos (unit) en cada commit y los lentos (integration) antes de cada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unit/products.service.test.js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Prueba la lógica de products.service.js mockeando el modelo Mongoose. Sin base de datos, sin HTTP.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Corre en menos de 100ms. Detecta regresiones de lógica de negocio inmediatamente.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unit/orders.service.test.js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Valida cálculos de totales, descuentos y stock disponible sin efectos secundarios.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La lógica financiera debe estar 100% cubierta por tests unitarios. Un error de redondeo en producción puede costar dinero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integration/auth.test.js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Levanta la aplicación Express contra una base de datos de test y prueba el flujo completo: registro, login, refresh token, logout.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Detecta problemas de integración entre middlewares, controllers y la base de datos que los tests unitarios no pueden ver.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integration/checkout.test.js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Simula el flujo completo de compra: añadir al carrito, crear orden, procesar pago (mock de Stripe), confirmar entrega.</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El checkout es el flujo más crítico del negocio. Cualquier regresión aquí impacta directamente los ingresos.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scripts/ — Herramientas de desarrollo y mantenimiento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seed.js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Crea usuarios de prueba, categorías, productos con imágenes placeholder y órdenes de ejemplo en la base de datos local.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seed, cada desarrollador que clone el proyecto pierde tiempo configurando datos manualmente. Con seed: npm run seed y en 10 segundos hay datos realistas para trabajar.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migrate.js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Aplica cambios de esquema en producción de forma segura: añadir campos con valores por defecto, renombrar índices, migrar datos de un campo a otro.</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MongoDB es schemaless pero los datos existentes no se actualizan solos. Una migración mal manejada en producción puede dejar documentos en estado inconsistente.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clearCache.js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Conecta a Redis y limpia las claves del namespace del proyecto sin afectar otros servicios que compartan la misma instancia.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En producción puede ocurrir que un bug escriba datos incorrectos en caché. Esta herramienta permite limpiar selectivamente sin reiniciar el servidor.</w:t>
            </w:r>
          </w:p>
        </w:tc>
      </w:tr>
    </w:tbl>
    <w:p>
      <w:pPr>
        <w:spacing w:after="200"/>
      </w:pPr>
    </w:p>
    <w:p>
      <w:r>
        <w:br w:type="page"/>
      </w:r>
    </w:p>
    <w:p>
      <w:pPr>
        <w:pStyle w:val="Heading1"/>
      </w:pPr>
      <w:r>
        <w:rPr>
          <w:b/>
          <w:bCs/>
        </w:rPr>
        <w:t xml:space="preserve">Frontend —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store/ — Estado global con Zustand</w:t>
            </w:r>
          </w:p>
        </w:tc>
      </w:tr>
    </w:tbl>
    <w:p>
      <w:pPr>
        <w:spacing w:after="100"/>
      </w:pPr>
    </w:p>
    <w:p>
      <w:pPr>
        <w:spacing w:after="120"/>
        <w:jc w:val="left"/>
      </w:pPr>
      <w:r>
        <w:rPr>
          <w:color w:val="2C2C2A"/>
          <w:sz w:val="22"/>
          <w:szCs w:val="22"/>
        </w:rPr>
        <w:t xml:space="preserve">Zustand reemplaza a Redux con una API mucho más simple y sin boilerplate. Cada store maneja un dominio específico, lo que evita el problema del "store monolítico" que se vuelve inmanejable.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authStore.js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Gestiona el accessToken en memoria (nunca en localStorage), los datos del usuario autenticado, y el estado de carga durante el login.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accessToken en memoria desaparece al cerrar el tab, lo que es un comportamiento de seguridad deseable. El refreshToken en cookie httpOnly se encarga de renovarlo.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cartStore.js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Estado local del carrito con sincronización al backend. Optimistic updates: la UI responde inmediatamente, el servidor confirma después.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Los optimistic updates hacen que la experiencia se sienta instantánea. Si el servidor rechaza la operación, el store revierte el 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checkoutStore.js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Mantiene el progreso del checkout entre pasos (envío, pago, confirmación). Persiste en sessionStorage para sobrevivir a recargas accidentales.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este store, el usuario que recarga accidentalmente en el paso de pago pierde todo el proceso y puede no volver a completar la compra.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uiStore.js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Estado global de la interfaz: modales abiertos, toasts activos, loading global, tema claro/oscuro.</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Centralizar el estado de UI evita el prop drilling de onClose, isOpen, showToast a través de múltiples niveles de componentes.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useConfiguratorStore.js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Estado del configurador 3D: prenda seleccionada, color, texto personalizado, posición y tamaño del diseño. Alimenta ConfiguratorPanel.jsx y SceneContent.jsx (Three.js).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Separa el estado de la escena 3D del resto de la app. El configurador puede funcionar sin autenticación; al añadir al carrito, se crea el item con las opciones del store.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queries/ — Caché de servidor con React Query</w:t>
            </w:r>
          </w:p>
        </w:tc>
      </w:tr>
    </w:tbl>
    <w:p>
      <w:pPr>
        <w:spacing w:after="100"/>
      </w:pPr>
    </w:p>
    <w:p>
      <w:pPr>
        <w:spacing w:after="120"/>
        <w:jc w:val="left"/>
      </w:pPr>
      <w:r>
        <w:rPr>
          <w:color w:val="2C2C2A"/>
          <w:sz w:val="22"/>
          <w:szCs w:val="22"/>
        </w:rPr>
        <w:t xml:space="preserve">React Query (@tanstack/query) maneja el ciclo de vida completo de las peticiones al servidor: carga, error, caché, refetch en background, y sincronización entre pestañas.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useProducts.js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Petición paginada de productos con caché de 5 minutos. Al navegar de vuelta al listado, los datos aparecen instantáneamente mientras se revalidan en segundo plano.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React Query, cada visita al listado hace una petición nueva. Con él, el usuario ve datos cacheados inmediatamente y React Query refresca en background si es necesario.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useOrders.js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Historial de órdenes del usuario. Se invalida automáticamente después de una compra exitosa.</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La invalidación automática garantiza que el historial siempre refleja el estado real sin necesidad de refetch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useUser.js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Datos del perfil del usuario autenticado. Se usa en múltiples componentes sin hacer múltiples peticiones gracias al caché compartido.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React Query deduplicata peticiones: si 5 componentes necesitan el mismo usuario, solo se hace 1 petición HTTP.</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useTickets.js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Consultas de tickets de soporte del usuario (useMyTickets) y del admin (useAllTickets) con invalidación automática al crear o actualizar un ticket.</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Conecta ProfileSupport.jsx y AdminTickets.jsx al servidor sin duplicar lógica de fetch. La caché compartida asegura que ambas vistas estén sincronizadas.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useBankAccounts.js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Obtiene las cuentas bancarias activas para mostrarlas en el paso de pago por transferencia del checkout (ProfileWallet.jsx y PaymentForm.jsx).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Filtra solo isActive: true, evitando que el cliente vea cuentas desactivadas por el admin sin necesidad de redeploy.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schemas/ — Validación en cliente con Zod</w:t>
            </w:r>
          </w:p>
        </w:tc>
      </w:tr>
    </w:tbl>
    <w:p>
      <w:pPr>
        <w:spacing w:after="100"/>
      </w:pPr>
    </w:p>
    <w:p>
      <w:pPr>
        <w:spacing w:after="120"/>
        <w:jc w:val="left"/>
      </w:pPr>
      <w:r>
        <w:rPr>
          <w:color w:val="2C2C2A"/>
          <w:sz w:val="22"/>
          <w:szCs w:val="22"/>
        </w:rPr>
        <w:t xml:space="preserve">Los schemas de Zod definen las reglas de validación de formularios en el cliente. Se usan junto con react-hook-form para validación en tiempo real sin peticiones al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authSchema.js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Valida email (formato), password (mínimo 8 chars, al menos una mayúscula y un número), y confirmación de contraseña coincidente.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usuario recibe feedback inmediato sin esperar la respuesta del servidor. Reduce la carga del backend al filtrar datos inválidos antes de enviarlos.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checkoutSchema.js</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Valida dirección de envío (campos requeridos, código postal por país), y datos de tarjeta (delegado a Stripe Elements para PCI compliance).</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Un schema de checkout bien definido reduce los errores de envío en un 40-60% según métricas de ecommerce.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contactSchema.js (pendiente)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Validación del formulario de contacto (ContactForm.jsx). Actualmente la validación vive dentro del componente; extraerla a un schema de Zod es la próxima tarea pendiente.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Centralizar la validación del formulario de contacto en Zod garantiza consistencia con el resto de los formularios del proyecto y facilita agregar campos futuros.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router/ — Navegación y protección de rutas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ProtectedRoute.jsx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Componente wrapper que verifica si el usuario está autenticado antes de renderizar la ruta. Si no lo está, redirige a /login guardando la URL de destino.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Después del login, el usuario es redirigido automáticamente a la página que intentaba visitar, no al home genérico.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AdminRoute.jsx</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Extiende ProtectedRoute añadiendo verificación de rol. Si el usuario está autenticado pero no es admin, redirige a 403.</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La protección de rutas en el frontend es UX; la protección real está en el backend. Ambas son necesarias.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index.jsx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Define todas las rutas con lazy loading: /, /productos, /productos/:slug, /cart, /checkout (protegida), /configurador (Three.js), /contacto, /nosotros, /login, /register, /forgot-password, /reset-password/:token, /profile (protegida), /admin y subrutas (protegidas por AdminRoute).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lazy loading reduce el bundle inicial de ~2MB a ~200KB, mejorando el Time to Interactive en un 60-70%.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components/common/ — Librería de componentes base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ErrorBoundary.jsx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Captura errores de JavaScript en el árbol de componentes y muestra una UI de fallback en vez de una pantalla en blanco.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ErrorBoundary, un error en ProductCard rompe toda la página de listado. Con él, solo el componente fallido muestra error mientras el resto funciona.</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Toast.jsx</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Sistema de notificaciones conectado al uiStore. Se invoca desde cualquier parte del código con useUiStore().addToast(...).</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Un sistema de toasts centralizado garantiza consistencia visual y evita que múltiples componentes implementen sus propias notificaciones.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Modal.jsx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Modal genérico con gestión de focus trap, cierre con Escape, y portal al body para evitar problemas de z-index.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Los detalles de accesibilidad (focus trap, aria-modal, escape) son críticos para usuarios con lectores de pantalla y requeridos por legislaciones como WCAG 2.1.</w:t>
            </w:r>
          </w:p>
        </w:tc>
      </w:tr>
    </w:tbl>
    <w:p>
      <w:pPr>
        <w:spacing w:after="200"/>
      </w:pPr>
    </w:p>
    <w:p>
      <w:r>
        <w:br w:type="page"/>
      </w:r>
    </w:p>
    <w:p>
      <w:pPr>
        <w:pStyle w:val="Heading1"/>
      </w:pPr>
      <w:r>
        <w:rPr>
          <w:b/>
          <w:bCs/>
        </w:rPr>
        <w:t xml:space="preserve">DevOps 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Dockerfile — Imagen de producción optimizada</w:t>
            </w:r>
          </w:p>
        </w:tc>
      </w:tr>
    </w:tbl>
    <w:p>
      <w:pPr>
        <w:spacing w:after="100"/>
      </w:pPr>
    </w:p>
    <w:p>
      <w:pPr>
        <w:spacing w:after="120"/>
        <w:jc w:val="left"/>
      </w:pPr>
      <w:r>
        <w:rPr>
          <w:color w:val="2C2C2A"/>
          <w:sz w:val="22"/>
          <w:szCs w:val="22"/>
        </w:rPr>
        <w:t xml:space="preserve">La imagen de Docker usa Node 20 Alpine (base mínima de ~5MB) con instalación solo de dependencias de producción. El stack completo corre con docker-compose: MongoDB, Redis, API, MinIO, n8n y Evolution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Dockerfile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Multi-stage build: instala dependencias, copia solo src/, excluye tests y scripts. La imagen final no contiene código de desarrollo ni devDependencies.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Una imagen más pequeña significa arranques más rápidos y menor superficie de ataque. El multi-stage build excluye tests/, scripts/ y devDependencies del artefacto final.</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20"/>
                <w:szCs w:val="20"/>
              </w:rPr>
              <w:t xml:space="preserve">.dockerignore</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Excluye node_modules, tests/, scripts/, .env, y archivos de configuración de editor del contexto de build.</w:t>
            </w:r>
          </w:p>
        </w:tc>
        <w:tc>
          <w:tcPr>
            <w:tcW w:type="dxa" w:w="35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val="false"/>
                <w:bCs w:val="false"/>
                <w:color w:val="2C2C2A"/>
                <w:sz w:val="20"/>
                <w:szCs w:val="20"/>
              </w:rPr>
              <w:t xml:space="preserve">Sin .dockerignore, Docker copia todo el proyecto al daemon, incluyendo node_modules de desarrollo que pueden pesar 500MB.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r>
              <w:rPr>
                <w:b/>
                <w:bCs/>
                <w:color w:val="534AB7"/>
                <w:sz w:val="26"/>
                <w:szCs w:val="26"/>
              </w:rPr>
              <w:t xml:space="preserve">.github/workflows/deploy.yml — CI/CD automático</w:t>
            </w:r>
          </w:p>
        </w:tc>
      </w:tr>
    </w:tbl>
    <w:p>
      <w:pPr>
        <w:spacing w:after="100"/>
      </w:pPr>
    </w:p>
    <w:p>
      <w:pPr>
        <w:spacing w:after="120"/>
        <w:jc w:val="left"/>
      </w:pPr>
      <w:r>
        <w:rPr>
          <w:color w:val="2C2C2A"/>
          <w:sz w:val="22"/>
          <w:szCs w:val="22"/>
        </w:rPr>
        <w:t xml:space="preserve">El pipeline de CI/CD corre automáticamente en cada push a main. Bloquea el deploy si algún test falla, garantizando que producción siempre recibe código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deploy.yml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Pasos: checkout → install → lint → unit tests → integration tests → build. Si cualquier paso falla, el pipeline se detiene y notifica. Adaptable a cualquier plataforma de despliegue.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Un deploy bloqueado por tests fallidos evita que un bug llegue a producción. El costo de un deploy cancelado es 0; el costo de un bug en producción puede ser alto.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b/>
                <w:bCs/>
                <w:color w:val="0F6E56"/>
                <w:sz w:val="26"/>
                <w:szCs w:val="26"/>
              </w:rPr>
              <w:t xml:space="preserve">health.routes.js — Monitoreo del stack</w:t>
            </w:r>
          </w:p>
        </w:tc>
      </w:tr>
    </w:tbl>
    <w:p>
      <w:pPr>
        <w:spacing w:after="100"/>
      </w:pPr>
    </w:p>
    <w:p>
      <w:pPr>
        <w:spacing w:after="120"/>
        <w:jc w:val="left"/>
      </w:pPr>
      <w:r>
        <w:rPr>
          <w:color w:val="2C2C2A"/>
          <w:sz w:val="22"/>
          <w:szCs w:val="22"/>
        </w:rPr>
        <w:t xml:space="preserve">GET /api/health devuelve el estado del servidor, la conexión a MongoDB, la conexión a Redis, y el uptime del proceso. Docker Compose usa este endpoint para determinar si el servicio está sano antes de enrutar tráfico.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Archivo / Carpeta</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Responsabilidad</w:t>
            </w:r>
          </w:p>
        </w:tc>
        <w:tc>
          <w:tcPr>
            <w:tcW w:type="dxa" w:w="35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Por qué importa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health.routes.js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Endpoint que verifica activamente la conectividad con MongoDB y Redis, y responde 200 si todo está bien o 503 si alguna dependencia falla.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Sin health check, Docker Compose no puede detectar que el servidor arrancó pero la conexión a MongoDB falló. El condition: service_healthy en docker-compose.yml garantiza orden correcto de arranque.</w:t>
            </w:r>
          </w:p>
        </w:tc>
      </w:tr>
    </w:tbl>
    <w:p>
      <w:pPr>
        <w:spacing w:after="400"/>
      </w:pPr>
    </w:p>
    <w:p>
      <w:r>
        <w:br w:type="page"/>
      </w:r>
    </w:p>
    <w:p>
      <w:pPr>
        <w:pStyle w:val="Heading1"/>
      </w:pPr>
      <w:r>
        <w:rPr>
          <w:b/>
          <w:bCs/>
        </w:rPr>
        <w:t xml:space="preserve">Integración con WhatsApp y Despacho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3F2FB" w:val="clear"/>
            <w:tcMar>
              <w:top w:type="dxa" w:w="120"/>
              <w:left w:type="dxa" w:w="200"/>
              <w:bottom w:type="dxa" w:w="120"/>
              <w:right w:type="dxa" w:w="200"/>
            </w:tcMar>
          </w:tcPr>
          <w:p>
            <w:r>
              <w:rPr>
                <w:b/>
                <w:bCs/>
                <w:color w:val="1565A0"/>
                <w:sz w:val="26"/>
                <w:szCs w:val="26"/>
              </w:rPr>
              <w:t xml:space="preserve">Flujo completo de una notificación de despacho</w:t>
            </w:r>
          </w:p>
        </w:tc>
      </w:tr>
    </w:tbl>
    <w:p>
      <w:pPr>
        <w:spacing w:after="100"/>
      </w:pPr>
    </w:p>
    <w:p>
      <w:pPr>
        <w:spacing w:after="120"/>
        <w:jc w:val="left"/>
      </w:pPr>
      <w:r>
        <w:rPr>
          <w:color w:val="2C2C2A"/>
          <w:sz w:val="22"/>
          <w:szCs w:val="22"/>
        </w:rPr>
        <w:t xml:space="preserve">Esta integración conecta el panel de administración con el cliente final a través de WhatsApp, usando n8n como orquestador de flujos y Evolution API como capa de mensajería. Cada entidad del proyecto cumple un rol específico en la cadena de notificación.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6160"/>
      </w:tblGrid>
      <w:tr>
        <w:tc>
          <w:tcPr>
            <w:tcW w:type="dxa" w:w="640"/>
            <w:tcBorders>
              <w:top w:val="single" w:color="CCCCCC" w:sz="1"/>
              <w:left w:val="single" w:color="CCCCCC" w:sz="1"/>
              <w:bottom w:val="single" w:color="CCCCCC" w:sz="1"/>
              <w:right w:val="single" w:color="CCCCCC" w:sz="1"/>
            </w:tcBorders>
            <w:shd w:fill="1565A0" w:val="clear"/>
            <w:tcMar>
              <w:top w:type="dxa" w:w="80"/>
              <w:left w:type="dxa" w:w="120"/>
              <w:bottom w:type="dxa" w:w="80"/>
              <w:right w:type="dxa" w:w="120"/>
            </w:tcMar>
          </w:tcPr>
          <w:p>
            <w:r>
              <w:rPr>
                <w:b/>
                <w:bCs/>
                <w:color w:val="FFFFFF"/>
                <w:sz w:val="20"/>
                <w:szCs w:val="20"/>
              </w:rPr>
              <w:t xml:space="preserve">#</w:t>
            </w:r>
          </w:p>
        </w:tc>
        <w:tc>
          <w:tcPr>
            <w:tcW w:type="dxa" w:w="2560"/>
            <w:tcBorders>
              <w:top w:val="single" w:color="CCCCCC" w:sz="1"/>
              <w:left w:val="single" w:color="CCCCCC" w:sz="1"/>
              <w:bottom w:val="single" w:color="CCCCCC" w:sz="1"/>
              <w:right w:val="single" w:color="CCCCCC" w:sz="1"/>
            </w:tcBorders>
            <w:shd w:fill="1565A0" w:val="clear"/>
            <w:tcMar>
              <w:top w:type="dxa" w:w="80"/>
              <w:left w:type="dxa" w:w="120"/>
              <w:bottom w:type="dxa" w:w="80"/>
              <w:right w:type="dxa" w:w="120"/>
            </w:tcMar>
          </w:tcPr>
          <w:p>
            <w:r>
              <w:rPr>
                <w:b/>
                <w:bCs/>
                <w:color w:val="FFFFFF"/>
                <w:sz w:val="20"/>
                <w:szCs w:val="20"/>
              </w:rPr>
              <w:t xml:space="preserve">Entidad / Archivo</w:t>
            </w:r>
          </w:p>
        </w:tc>
        <w:tc>
          <w:tcPr>
            <w:tcW w:type="dxa" w:w="6160"/>
            <w:tcBorders>
              <w:top w:val="single" w:color="CCCCCC" w:sz="1"/>
              <w:left w:val="single" w:color="CCCCCC" w:sz="1"/>
              <w:bottom w:val="single" w:color="CCCCCC" w:sz="1"/>
              <w:right w:val="single" w:color="CCCCCC" w:sz="1"/>
            </w:tcBorders>
            <w:shd w:fill="1565A0" w:val="clear"/>
            <w:tcMar>
              <w:top w:type="dxa" w:w="80"/>
              <w:left w:type="dxa" w:w="120"/>
              <w:bottom w:type="dxa" w:w="80"/>
              <w:right w:type="dxa" w:w="120"/>
            </w:tcMar>
          </w:tcPr>
          <w:p>
            <w:r>
              <w:rPr>
                <w:b/>
                <w:bCs/>
                <w:color w:val="FFFFFF"/>
                <w:sz w:val="20"/>
                <w:szCs w:val="20"/>
              </w:rPr>
              <w:t xml:space="preserve">Qué ocurre en este paso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565A0"/>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Profile/OrderTracking.jsx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cliente entra a su perfil y consulta el estado de su pedido. Esta vista consume el historial de tracking almacenado en </w:t>
            </w:r>
            <w:r>
              <w:rPr>
                <w:b/>
                <w:bCs/>
                <w:color w:val="2C2C2A"/>
                <w:sz w:val="20"/>
                <w:szCs w:val="20"/>
              </w:rPr>
              <w:t xml:space="preserve">order.model.js</w:t>
            </w:r>
            <w:r>
              <w:rPr>
                <w:b w:val="false"/>
                <w:bCs w:val="false"/>
                <w:color w:val="2C2C2A"/>
                <w:sz w:val="20"/>
                <w:szCs w:val="20"/>
              </w:rPr>
              <w:t xml:space="preserve"> (array de fechas y estados) y lo representa como una línea de tiempo visual.</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565A0"/>
                <w:sz w:val="20"/>
                <w:szCs w:val="20"/>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A"/>
                <w:sz w:val="20"/>
                <w:szCs w:val="20"/>
              </w:rPr>
              <w:t xml:space="preserve">Admin/ManageDispatch.jsx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A"/>
                <w:sz w:val="20"/>
                <w:szCs w:val="20"/>
              </w:rPr>
              <w:t xml:space="preserve">Vista exclusiva de logística en el panel Admin. El dueño de la tienda selecciona un pedido y cambia su estado a “En Tránsito”. Es el punto de entrada humano que dispara toda la cadena automática.</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565A0"/>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controllers/orders.controllers.js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Recibe la petición HTTP del Admin, extrae el nuevo estado del pedido y delega la lógica de negocio al servicio correspondiente. Siguiendo el patrón controller-service, no toca la base de datos directamente.</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565A0"/>
                <w:sz w:val="20"/>
                <w:szCs w:val="20"/>
              </w:rPr>
              <w:t xml:space="preserve">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A"/>
                <w:sz w:val="20"/>
                <w:szCs w:val="20"/>
              </w:rPr>
              <w:t xml:space="preserve">services/orders.service.js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A"/>
                <w:sz w:val="20"/>
                <w:szCs w:val="20"/>
              </w:rPr>
              <w:t xml:space="preserve">Actualiza el estado del pedido en MongoDB (incluyendo el nuevo registro en el array de tracking de </w:t>
            </w:r>
            <w:r>
              <w:rPr>
                <w:b/>
                <w:bCs/>
                <w:color w:val="2C2C2A"/>
                <w:sz w:val="20"/>
                <w:szCs w:val="20"/>
              </w:rPr>
              <w:t xml:space="preserve">order.model.js</w:t>
            </w:r>
            <w:r>
              <w:rPr>
                <w:b w:val="false"/>
                <w:bCs w:val="false"/>
                <w:color w:val="2C2C2A"/>
                <w:sz w:val="20"/>
                <w:szCs w:val="20"/>
              </w:rPr>
              <w:t xml:space="preserve">) y, una vez confirmado el guardado, coloca una tarea de notificación en la cola asíncrona.</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565A0"/>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jobs/notificationQueue.js + workers/notificationWorker.js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La cola (BullMQ sobre Redis) almacena el job de notificación. El worker lo consume en segundo plano, liberando el endpoint HTTP para responder en menos de 200ms. Si el envío falla, BullMQ reintenta automáticamente con backoff exponencial.</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565A0"/>
                <w:sz w:val="20"/>
                <w:szCs w:val="20"/>
              </w:rPr>
              <w:t xml:space="preserve">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A"/>
                <w:sz w:val="20"/>
                <w:szCs w:val="20"/>
              </w:rPr>
              <w:t xml:space="preserve">services/n8n.service.js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A"/>
                <w:sz w:val="20"/>
                <w:szCs w:val="20"/>
              </w:rPr>
              <w:t xml:space="preserve">Centraliza todos los disparos HTTP hacia los flujos de n8n. El worker lo llama con el payload del pedido (número, cliente, teléfono) y este servicio construye la petición y maneja errores de red.</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565A0"/>
                <w:sz w:val="20"/>
                <w:szCs w:val="20"/>
              </w:rPr>
              <w:t xml:space="preserve">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n8n + Evolution API (externo)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El flujo de n8n recibe el payload del webhook, lo procesa y usa Evolution API para enviar el WhatsApp al cliente final: “¡Hola! Tu pedido ya va en camino...”. Toda la lógica de mensajería vive fuera del código Node.js, lo que permite modificar los mensajes sin redeploy.</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565A0"/>
                <w:sz w:val="20"/>
                <w:szCs w:val="20"/>
              </w:rPr>
              <w:t xml:space="preserve">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C2C2A"/>
                <w:sz w:val="20"/>
                <w:szCs w:val="20"/>
              </w:rPr>
              <w:t xml:space="preserve">webhooks/n8n.webhook.js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C2C2A"/>
                <w:sz w:val="20"/>
                <w:szCs w:val="20"/>
              </w:rPr>
              <w:t xml:space="preserve">Canal de retorno: si n8n necesita confirmar la entrega o actualizar la base de datos (por ejemplo, cuando Evolution API confirma que el mensaje fue leído), este webhook recibe la llamada y aplica los cambios correspondientes.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565A0"/>
                <w:sz w:val="20"/>
                <w:szCs w:val="20"/>
              </w:rPr>
              <w:t xml:space="preserve">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C2C2A"/>
                <w:sz w:val="20"/>
                <w:szCs w:val="20"/>
              </w:rPr>
              <w:t xml:space="preserve">Raíz: docker-compose.yml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20"/>
                <w:szCs w:val="20"/>
              </w:rPr>
              <w:t xml:space="preserve">Orquesta y levanta todos los servicios juntos: MongoDB, Redis (BullMQ + rate limiting), API Node.js, MinIO (object storage), n8n (flujos de automatización) y Evolution API (mensajería WhatsApp). Un solo </w:t>
            </w:r>
            <w:r>
              <w:rPr>
                <w:b/>
                <w:bCs/>
                <w:color w:val="2C2C2A"/>
                <w:sz w:val="20"/>
                <w:szCs w:val="20"/>
              </w:rPr>
              <w:t xml:space="preserve">docker-compose up</w:t>
            </w:r>
            <w:r>
              <w:rPr>
                <w:b w:val="false"/>
                <w:bCs w:val="false"/>
                <w:color w:val="2C2C2A"/>
                <w:sz w:val="20"/>
                <w:szCs w:val="20"/>
              </w:rPr>
              <w:t xml:space="preserve"> levanta el stack completo en cualquier entorno.</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240"/>
              <w:left w:type="dxa" w:w="360"/>
              <w:bottom w:type="dxa" w:w="240"/>
              <w:right w:type="dxa" w:w="360"/>
            </w:tcMar>
          </w:tcPr>
          <w:p>
            <w:pPr>
              <w:spacing w:after="120"/>
              <w:jc w:val="center"/>
            </w:pPr>
            <w:r>
              <w:rPr>
                <w:b/>
                <w:bCs/>
                <w:color w:val="0F6E56"/>
                <w:sz w:val="28"/>
                <w:szCs w:val="28"/>
              </w:rPr>
              <w:t xml:space="preserve">Conclusión</w:t>
            </w:r>
          </w:p>
          <w:p>
            <w:pPr>
              <w:spacing w:after="120"/>
              <w:jc w:val="center"/>
            </w:pPr>
            <w:r>
              <w:rPr>
                <w:color w:val="2C2C2A"/>
                <w:sz w:val="22"/>
                <w:szCs w:val="22"/>
              </w:rPr>
              <w:t xml:space="preserve">Esta estructura no sobreingeniería el problema ni simplifica en exceso. Cada carpeta existe porque resuelve un problema concreto que aparece en producción.</w:t>
            </w:r>
          </w:p>
          <w:p>
            <w:pPr>
              <w:jc w:val="center"/>
            </w:pPr>
            <w:r>
              <w:rPr>
                <w:i/>
                <w:iCs/>
                <w:color w:val="2C2C2A"/>
                <w:sz w:val="22"/>
                <w:szCs w:val="22"/>
              </w:rPr>
              <w:t xml:space="preserve">El proyecto puede crecer en features, modelos y páginas sin necesidad de reestructurar. La siguiente tarea es implementar, no rediseñar.</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6E5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2C2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b5ec1b9c4c72a4dd1b57661a6d8a5379c9f51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2026-05-30T07:44:56.967Z</dcterms:created>
  <dcterms:modified xsi:type="dcterms:W3CDTF">2026-05-30T07:44:56.968Z</dcterms:modified>
</cp:coreProperties>
</file>

<file path=docProps/custom.xml><?xml version="1.0" encoding="utf-8"?>
<Properties xmlns="http://schemas.openxmlformats.org/officeDocument/2006/custom-properties" xmlns:vt="http://schemas.openxmlformats.org/officeDocument/2006/docPropsVTypes"/>
</file>