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5744" w14:textId="5D94C08D" w:rsidR="00834540" w:rsidRDefault="00834540" w:rsidP="00834540">
      <w:pPr>
        <w:jc w:val="center"/>
        <w:rPr>
          <w:rFonts w:ascii="Times New Roman" w:hAnsi="Times New Roman" w:cs="Times New Roman"/>
          <w:b/>
          <w:bCs/>
          <w:sz w:val="28"/>
          <w:szCs w:val="28"/>
        </w:rPr>
      </w:pPr>
      <w:r w:rsidRPr="00834540">
        <w:rPr>
          <w:rFonts w:ascii="Times New Roman" w:hAnsi="Times New Roman" w:cs="Times New Roman"/>
          <w:b/>
          <w:bCs/>
          <w:sz w:val="28"/>
          <w:szCs w:val="28"/>
        </w:rPr>
        <w:t>HICP Dashboard</w:t>
      </w:r>
    </w:p>
    <w:p w14:paraId="65869FE7" w14:textId="68566269" w:rsidR="00834540" w:rsidRDefault="00834540" w:rsidP="00834540">
      <w:pPr>
        <w:jc w:val="center"/>
        <w:rPr>
          <w:rFonts w:ascii="Times New Roman" w:hAnsi="Times New Roman" w:cs="Times New Roman"/>
          <w:b/>
          <w:bCs/>
          <w:sz w:val="28"/>
          <w:szCs w:val="28"/>
        </w:rPr>
      </w:pPr>
      <w:r w:rsidRPr="00834540">
        <w:drawing>
          <wp:anchor distT="0" distB="0" distL="114300" distR="114300" simplePos="0" relativeHeight="251656704" behindDoc="0" locked="0" layoutInCell="1" allowOverlap="1" wp14:anchorId="7E3EAE74" wp14:editId="3DC94751">
            <wp:simplePos x="0" y="0"/>
            <wp:positionH relativeFrom="column">
              <wp:posOffset>-15240</wp:posOffset>
            </wp:positionH>
            <wp:positionV relativeFrom="paragraph">
              <wp:posOffset>484505</wp:posOffset>
            </wp:positionV>
            <wp:extent cx="5943600" cy="3315335"/>
            <wp:effectExtent l="19050" t="19050" r="19050" b="18415"/>
            <wp:wrapSquare wrapText="bothSides"/>
            <wp:docPr id="197842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2563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15335"/>
                    </a:xfrm>
                    <a:prstGeom prst="rect">
                      <a:avLst/>
                    </a:prstGeom>
                    <a:ln>
                      <a:solidFill>
                        <a:schemeClr val="tx1"/>
                      </a:solidFill>
                    </a:ln>
                  </pic:spPr>
                </pic:pic>
              </a:graphicData>
            </a:graphic>
          </wp:anchor>
        </w:drawing>
      </w:r>
      <w:r w:rsidRPr="00834540">
        <w:rPr>
          <w:rFonts w:ascii="Times New Roman" w:hAnsi="Times New Roman" w:cs="Times New Roman"/>
          <w:b/>
          <w:bCs/>
          <w:sz w:val="28"/>
          <w:szCs w:val="28"/>
        </w:rPr>
        <w:t>Annual Inflation Rate Comparison between Romania and UE27 (2015–2025)</w:t>
      </w:r>
    </w:p>
    <w:p w14:paraId="6EB5E9CB" w14:textId="7A2B4080" w:rsidR="008D5967" w:rsidRDefault="008D5967" w:rsidP="00834540">
      <w:pPr>
        <w:rPr>
          <w:rFonts w:ascii="Times New Roman" w:hAnsi="Times New Roman" w:cs="Times New Roman"/>
          <w:sz w:val="28"/>
          <w:szCs w:val="28"/>
        </w:rPr>
      </w:pPr>
    </w:p>
    <w:p w14:paraId="611C7EE1" w14:textId="77777777" w:rsidR="00834540" w:rsidRPr="00834540" w:rsidRDefault="00834540" w:rsidP="00834540">
      <w:pPr>
        <w:jc w:val="both"/>
        <w:rPr>
          <w:rFonts w:ascii="Times New Roman" w:hAnsi="Times New Roman" w:cs="Times New Roman"/>
          <w:sz w:val="28"/>
          <w:szCs w:val="28"/>
        </w:rPr>
      </w:pPr>
      <w:r w:rsidRPr="00834540">
        <w:rPr>
          <w:rFonts w:ascii="Times New Roman" w:hAnsi="Times New Roman" w:cs="Times New Roman"/>
          <w:b/>
          <w:bCs/>
          <w:sz w:val="28"/>
          <w:szCs w:val="28"/>
        </w:rPr>
        <w:t>Slicers influencing this visual:</w:t>
      </w:r>
    </w:p>
    <w:p w14:paraId="1D3C6D02" w14:textId="77777777" w:rsidR="00834540" w:rsidRPr="00834540" w:rsidRDefault="00834540" w:rsidP="00834540">
      <w:pPr>
        <w:numPr>
          <w:ilvl w:val="0"/>
          <w:numId w:val="1"/>
        </w:numPr>
        <w:jc w:val="both"/>
        <w:rPr>
          <w:rFonts w:ascii="Times New Roman" w:hAnsi="Times New Roman" w:cs="Times New Roman"/>
          <w:sz w:val="24"/>
          <w:szCs w:val="24"/>
        </w:rPr>
      </w:pPr>
      <w:r w:rsidRPr="00834540">
        <w:rPr>
          <w:rFonts w:ascii="Times New Roman" w:hAnsi="Times New Roman" w:cs="Times New Roman"/>
          <w:sz w:val="24"/>
          <w:szCs w:val="24"/>
        </w:rPr>
        <w:t>COICOP Category</w:t>
      </w:r>
    </w:p>
    <w:p w14:paraId="322EB574" w14:textId="77777777" w:rsidR="00834540" w:rsidRPr="00834540" w:rsidRDefault="00834540" w:rsidP="00834540">
      <w:pPr>
        <w:numPr>
          <w:ilvl w:val="0"/>
          <w:numId w:val="1"/>
        </w:numPr>
        <w:jc w:val="both"/>
        <w:rPr>
          <w:rFonts w:ascii="Times New Roman" w:hAnsi="Times New Roman" w:cs="Times New Roman"/>
          <w:sz w:val="24"/>
          <w:szCs w:val="24"/>
        </w:rPr>
      </w:pPr>
      <w:r w:rsidRPr="00834540">
        <w:rPr>
          <w:rFonts w:ascii="Times New Roman" w:hAnsi="Times New Roman" w:cs="Times New Roman"/>
          <w:sz w:val="24"/>
          <w:szCs w:val="24"/>
        </w:rPr>
        <w:t>Year</w:t>
      </w:r>
    </w:p>
    <w:p w14:paraId="1BF3554F" w14:textId="0CDFF702" w:rsidR="00834540" w:rsidRDefault="00834540" w:rsidP="00834540">
      <w:pPr>
        <w:numPr>
          <w:ilvl w:val="0"/>
          <w:numId w:val="1"/>
        </w:numPr>
        <w:jc w:val="both"/>
        <w:rPr>
          <w:rFonts w:ascii="Times New Roman" w:hAnsi="Times New Roman" w:cs="Times New Roman"/>
          <w:sz w:val="24"/>
          <w:szCs w:val="24"/>
        </w:rPr>
      </w:pPr>
      <w:r w:rsidRPr="00834540">
        <w:rPr>
          <w:rFonts w:ascii="Times New Roman" w:hAnsi="Times New Roman" w:cs="Times New Roman"/>
          <w:sz w:val="24"/>
          <w:szCs w:val="24"/>
        </w:rPr>
        <w:t>Month</w:t>
      </w:r>
    </w:p>
    <w:p w14:paraId="7BC1FA2D" w14:textId="77777777" w:rsidR="008249D2" w:rsidRPr="00834540" w:rsidRDefault="008249D2" w:rsidP="008249D2">
      <w:pPr>
        <w:ind w:left="720"/>
        <w:jc w:val="both"/>
        <w:rPr>
          <w:rFonts w:ascii="Times New Roman" w:hAnsi="Times New Roman" w:cs="Times New Roman"/>
          <w:sz w:val="24"/>
          <w:szCs w:val="24"/>
        </w:rPr>
      </w:pPr>
    </w:p>
    <w:p w14:paraId="75FA59B0" w14:textId="77777777" w:rsidR="00834540" w:rsidRPr="00834540" w:rsidRDefault="00834540" w:rsidP="00834540">
      <w:pPr>
        <w:jc w:val="both"/>
        <w:rPr>
          <w:rFonts w:ascii="Times New Roman" w:hAnsi="Times New Roman" w:cs="Times New Roman"/>
          <w:b/>
          <w:bCs/>
          <w:sz w:val="28"/>
          <w:szCs w:val="28"/>
        </w:rPr>
      </w:pPr>
      <w:r w:rsidRPr="00834540">
        <w:rPr>
          <w:rFonts w:ascii="Times New Roman" w:hAnsi="Times New Roman" w:cs="Times New Roman"/>
          <w:b/>
          <w:bCs/>
          <w:sz w:val="28"/>
          <w:szCs w:val="28"/>
        </w:rPr>
        <w:t>Line Chart – Annual Inflation Rate (HICP YoY) – Romania vs EU27 by Category</w:t>
      </w:r>
    </w:p>
    <w:p w14:paraId="297D878A" w14:textId="110B8431" w:rsidR="00834540" w:rsidRDefault="00834540" w:rsidP="00834540">
      <w:pPr>
        <w:spacing w:line="360" w:lineRule="auto"/>
        <w:jc w:val="both"/>
        <w:rPr>
          <w:rFonts w:ascii="Times New Roman" w:hAnsi="Times New Roman" w:cs="Times New Roman"/>
          <w:sz w:val="24"/>
          <w:szCs w:val="24"/>
        </w:rPr>
      </w:pPr>
      <w:r w:rsidRPr="00834540">
        <w:rPr>
          <w:rFonts w:ascii="Times New Roman" w:hAnsi="Times New Roman" w:cs="Times New Roman"/>
          <w:i/>
          <w:iCs/>
          <w:sz w:val="24"/>
          <w:szCs w:val="24"/>
          <w:u w:val="single"/>
        </w:rPr>
        <w:t>Description:</w:t>
      </w:r>
      <w:r w:rsidRPr="00834540">
        <w:rPr>
          <w:rFonts w:ascii="Times New Roman" w:hAnsi="Times New Roman" w:cs="Times New Roman"/>
          <w:sz w:val="28"/>
          <w:szCs w:val="28"/>
        </w:rPr>
        <w:br/>
      </w:r>
      <w:r>
        <w:rPr>
          <w:rFonts w:ascii="Times New Roman" w:hAnsi="Times New Roman" w:cs="Times New Roman"/>
          <w:sz w:val="24"/>
          <w:szCs w:val="24"/>
        </w:rPr>
        <w:t xml:space="preserve">      </w:t>
      </w:r>
      <w:r w:rsidRPr="00834540">
        <w:rPr>
          <w:rFonts w:ascii="Times New Roman" w:hAnsi="Times New Roman" w:cs="Times New Roman"/>
          <w:sz w:val="24"/>
          <w:szCs w:val="24"/>
        </w:rPr>
        <w:t>Th</w:t>
      </w:r>
      <w:r>
        <w:rPr>
          <w:rFonts w:ascii="Times New Roman" w:hAnsi="Times New Roman" w:cs="Times New Roman"/>
          <w:sz w:val="24"/>
          <w:szCs w:val="24"/>
        </w:rPr>
        <w:t>e</w:t>
      </w:r>
      <w:r w:rsidRPr="00834540">
        <w:rPr>
          <w:rFonts w:ascii="Times New Roman" w:hAnsi="Times New Roman" w:cs="Times New Roman"/>
          <w:sz w:val="24"/>
          <w:szCs w:val="24"/>
        </w:rPr>
        <w:t xml:space="preserve"> chart presents the annual evolution of inflation rates (Year-over-Year, YoY) for Romania compared to the EU27 average between 2015 and 2025.</w:t>
      </w:r>
      <w:r>
        <w:rPr>
          <w:rFonts w:ascii="Times New Roman" w:hAnsi="Times New Roman" w:cs="Times New Roman"/>
          <w:sz w:val="24"/>
          <w:szCs w:val="24"/>
        </w:rPr>
        <w:t xml:space="preserve"> </w:t>
      </w:r>
      <w:r w:rsidRPr="00834540">
        <w:rPr>
          <w:rFonts w:ascii="Times New Roman" w:hAnsi="Times New Roman" w:cs="Times New Roman"/>
          <w:sz w:val="24"/>
          <w:szCs w:val="24"/>
        </w:rPr>
        <w:t>The data can be filtered by COICOP category (type of consumption expenditure) and Year.</w:t>
      </w:r>
      <w:r>
        <w:rPr>
          <w:rFonts w:ascii="Times New Roman" w:hAnsi="Times New Roman" w:cs="Times New Roman"/>
          <w:sz w:val="24"/>
          <w:szCs w:val="24"/>
        </w:rPr>
        <w:t xml:space="preserve"> </w:t>
      </w:r>
      <w:r w:rsidRPr="00834540">
        <w:rPr>
          <w:rFonts w:ascii="Times New Roman" w:hAnsi="Times New Roman" w:cs="Times New Roman"/>
          <w:sz w:val="24"/>
          <w:szCs w:val="24"/>
        </w:rPr>
        <w:t xml:space="preserve">The line chart shows how the annual inflation rate evolved in Romania versus the EU average, for a selected consumption category </w:t>
      </w:r>
      <w:r w:rsidRPr="00834540">
        <w:rPr>
          <w:rFonts w:ascii="Times New Roman" w:hAnsi="Times New Roman" w:cs="Times New Roman"/>
          <w:sz w:val="24"/>
          <w:szCs w:val="24"/>
        </w:rPr>
        <w:lastRenderedPageBreak/>
        <w:t>(e.g., food, housing, education).</w:t>
      </w:r>
      <w:r>
        <w:rPr>
          <w:rFonts w:ascii="Times New Roman" w:hAnsi="Times New Roman" w:cs="Times New Roman"/>
          <w:sz w:val="24"/>
          <w:szCs w:val="24"/>
        </w:rPr>
        <w:t xml:space="preserve"> </w:t>
      </w:r>
      <w:r w:rsidRPr="00834540">
        <w:rPr>
          <w:rFonts w:ascii="Times New Roman" w:hAnsi="Times New Roman" w:cs="Times New Roman"/>
          <w:sz w:val="24"/>
          <w:szCs w:val="24"/>
        </w:rPr>
        <w:t>Peaks in the curve indicate years with the highest inflation pressure for that category.</w:t>
      </w:r>
    </w:p>
    <w:p w14:paraId="643E5021" w14:textId="77777777" w:rsidR="008249D2" w:rsidRPr="00834540" w:rsidRDefault="008249D2" w:rsidP="00834540">
      <w:pPr>
        <w:spacing w:line="360" w:lineRule="auto"/>
        <w:jc w:val="both"/>
        <w:rPr>
          <w:rFonts w:ascii="Times New Roman" w:hAnsi="Times New Roman" w:cs="Times New Roman"/>
          <w:sz w:val="24"/>
          <w:szCs w:val="24"/>
        </w:rPr>
      </w:pPr>
    </w:p>
    <w:p w14:paraId="4FC57560" w14:textId="3EC6FDEC" w:rsidR="00834540" w:rsidRPr="00834540" w:rsidRDefault="00834540" w:rsidP="00834540">
      <w:pPr>
        <w:jc w:val="both"/>
        <w:rPr>
          <w:rFonts w:ascii="Times New Roman" w:hAnsi="Times New Roman" w:cs="Times New Roman"/>
          <w:b/>
          <w:bCs/>
          <w:sz w:val="28"/>
          <w:szCs w:val="28"/>
        </w:rPr>
      </w:pPr>
      <w:r w:rsidRPr="00834540">
        <w:rPr>
          <w:rFonts w:ascii="Times New Roman" w:hAnsi="Times New Roman" w:cs="Times New Roman"/>
          <w:b/>
          <w:bCs/>
          <w:sz w:val="28"/>
          <w:szCs w:val="28"/>
        </w:rPr>
        <w:t>Card – Peak Annual Inflation (HICP YoY) – Romania</w:t>
      </w:r>
    </w:p>
    <w:p w14:paraId="2E8371D5" w14:textId="4B6302BD" w:rsidR="00834540" w:rsidRDefault="00834540" w:rsidP="00834540">
      <w:pPr>
        <w:spacing w:line="360" w:lineRule="auto"/>
        <w:jc w:val="both"/>
        <w:rPr>
          <w:rFonts w:ascii="Times New Roman" w:hAnsi="Times New Roman" w:cs="Times New Roman"/>
          <w:sz w:val="24"/>
          <w:szCs w:val="24"/>
        </w:rPr>
      </w:pPr>
      <w:r w:rsidRPr="00834540">
        <w:rPr>
          <w:rFonts w:ascii="Times New Roman" w:hAnsi="Times New Roman" w:cs="Times New Roman"/>
          <w:i/>
          <w:iCs/>
          <w:sz w:val="24"/>
          <w:szCs w:val="24"/>
          <w:u w:val="single"/>
        </w:rPr>
        <w:t>Description:</w:t>
      </w:r>
      <w:r w:rsidRPr="00834540">
        <w:rPr>
          <w:rFonts w:ascii="Times New Roman" w:hAnsi="Times New Roman" w:cs="Times New Roman"/>
          <w:sz w:val="28"/>
          <w:szCs w:val="28"/>
        </w:rPr>
        <w:br/>
      </w:r>
      <w:r>
        <w:rPr>
          <w:rFonts w:ascii="Times New Roman" w:hAnsi="Times New Roman" w:cs="Times New Roman"/>
          <w:sz w:val="24"/>
          <w:szCs w:val="24"/>
        </w:rPr>
        <w:t xml:space="preserve">    </w:t>
      </w:r>
      <w:r w:rsidRPr="00834540">
        <w:rPr>
          <w:rFonts w:ascii="Times New Roman" w:hAnsi="Times New Roman" w:cs="Times New Roman"/>
          <w:sz w:val="24"/>
          <w:szCs w:val="24"/>
        </w:rPr>
        <w:t>This card displays the maximum annual inflation rate (YoY) recorded in Romania between 2015 and 2025 for the selected COICOP category.</w:t>
      </w:r>
      <w:r>
        <w:rPr>
          <w:rFonts w:ascii="Times New Roman" w:hAnsi="Times New Roman" w:cs="Times New Roman"/>
          <w:sz w:val="24"/>
          <w:szCs w:val="24"/>
        </w:rPr>
        <w:t xml:space="preserve"> </w:t>
      </w:r>
      <w:r w:rsidRPr="00834540">
        <w:rPr>
          <w:rFonts w:ascii="Times New Roman" w:hAnsi="Times New Roman" w:cs="Times New Roman"/>
          <w:sz w:val="24"/>
          <w:szCs w:val="24"/>
        </w:rPr>
        <w:t>It provides an at-a-glance indicator of the inflation peak during the period. It helps identify the highest inflation level reached in Romania for each consumption category, allowing quick comparisons between sectors and timeframes.</w:t>
      </w:r>
    </w:p>
    <w:p w14:paraId="6A7A0A6A" w14:textId="77777777" w:rsidR="008249D2" w:rsidRPr="00834540" w:rsidRDefault="008249D2" w:rsidP="00834540">
      <w:pPr>
        <w:spacing w:line="360" w:lineRule="auto"/>
        <w:jc w:val="both"/>
        <w:rPr>
          <w:rFonts w:ascii="Times New Roman" w:hAnsi="Times New Roman" w:cs="Times New Roman"/>
          <w:sz w:val="24"/>
          <w:szCs w:val="24"/>
        </w:rPr>
      </w:pPr>
    </w:p>
    <w:p w14:paraId="03B2B1A1" w14:textId="5C7D690E" w:rsidR="00834540" w:rsidRPr="00834540" w:rsidRDefault="00834540" w:rsidP="00834540">
      <w:pPr>
        <w:jc w:val="both"/>
        <w:rPr>
          <w:rFonts w:ascii="Times New Roman" w:hAnsi="Times New Roman" w:cs="Times New Roman"/>
          <w:b/>
          <w:bCs/>
          <w:sz w:val="28"/>
          <w:szCs w:val="28"/>
        </w:rPr>
      </w:pPr>
      <w:r w:rsidRPr="00834540">
        <w:rPr>
          <w:rFonts w:ascii="Times New Roman" w:hAnsi="Times New Roman" w:cs="Times New Roman"/>
          <w:b/>
          <w:bCs/>
          <w:sz w:val="28"/>
          <w:szCs w:val="28"/>
        </w:rPr>
        <w:t>Clustered Column Chart – Average HICP (Base Year 2015=100) – Romania vs EU27</w:t>
      </w:r>
    </w:p>
    <w:p w14:paraId="79551845" w14:textId="7E6792FF" w:rsidR="00834540" w:rsidRDefault="00834540" w:rsidP="008249D2">
      <w:pPr>
        <w:spacing w:line="360" w:lineRule="auto"/>
        <w:jc w:val="both"/>
        <w:rPr>
          <w:rFonts w:ascii="Times New Roman" w:hAnsi="Times New Roman" w:cs="Times New Roman"/>
          <w:sz w:val="24"/>
          <w:szCs w:val="24"/>
        </w:rPr>
      </w:pPr>
      <w:r w:rsidRPr="00834540">
        <w:rPr>
          <w:rFonts w:ascii="Times New Roman" w:hAnsi="Times New Roman" w:cs="Times New Roman"/>
          <w:i/>
          <w:iCs/>
          <w:sz w:val="24"/>
          <w:szCs w:val="24"/>
          <w:u w:val="single"/>
        </w:rPr>
        <w:t>Description:</w:t>
      </w:r>
      <w:r w:rsidRPr="00834540">
        <w:rPr>
          <w:rFonts w:ascii="Times New Roman" w:hAnsi="Times New Roman" w:cs="Times New Roman"/>
          <w:sz w:val="28"/>
          <w:szCs w:val="28"/>
        </w:rPr>
        <w:br/>
      </w:r>
      <w:r w:rsidR="008249D2">
        <w:rPr>
          <w:rFonts w:ascii="Times New Roman" w:hAnsi="Times New Roman" w:cs="Times New Roman"/>
          <w:sz w:val="24"/>
          <w:szCs w:val="24"/>
        </w:rPr>
        <w:t xml:space="preserve">     </w:t>
      </w:r>
      <w:r w:rsidR="008249D2" w:rsidRPr="008249D2">
        <w:rPr>
          <w:rFonts w:ascii="Times New Roman" w:hAnsi="Times New Roman" w:cs="Times New Roman"/>
          <w:sz w:val="24"/>
          <w:szCs w:val="24"/>
        </w:rPr>
        <w:t>This chart illustrates the average Consumer Price Index (HICP) for Romania and the EU27, expressed relative to the base year 2015 (set to 100).</w:t>
      </w:r>
      <w:r w:rsidR="008249D2">
        <w:rPr>
          <w:rFonts w:ascii="Times New Roman" w:hAnsi="Times New Roman" w:cs="Times New Roman"/>
          <w:sz w:val="24"/>
          <w:szCs w:val="24"/>
        </w:rPr>
        <w:t xml:space="preserve"> </w:t>
      </w:r>
      <w:r w:rsidR="008249D2" w:rsidRPr="008249D2">
        <w:rPr>
          <w:rFonts w:ascii="Times New Roman" w:hAnsi="Times New Roman" w:cs="Times New Roman"/>
          <w:sz w:val="24"/>
          <w:szCs w:val="24"/>
        </w:rPr>
        <w:t>It highlights the cumulative price growth since 2015 rather than the percentage change.</w:t>
      </w:r>
    </w:p>
    <w:p w14:paraId="7AE8E991" w14:textId="77777777" w:rsidR="008249D2" w:rsidRPr="00834540" w:rsidRDefault="008249D2" w:rsidP="008249D2">
      <w:pPr>
        <w:spacing w:line="360" w:lineRule="auto"/>
        <w:jc w:val="both"/>
        <w:rPr>
          <w:rFonts w:ascii="Times New Roman" w:hAnsi="Times New Roman" w:cs="Times New Roman"/>
          <w:sz w:val="24"/>
          <w:szCs w:val="24"/>
        </w:rPr>
      </w:pPr>
    </w:p>
    <w:p w14:paraId="5EA197CD" w14:textId="3C03F40D" w:rsidR="00834540" w:rsidRPr="00834540" w:rsidRDefault="00834540" w:rsidP="00834540">
      <w:pPr>
        <w:jc w:val="both"/>
        <w:rPr>
          <w:rFonts w:ascii="Times New Roman" w:hAnsi="Times New Roman" w:cs="Times New Roman"/>
          <w:b/>
          <w:bCs/>
          <w:sz w:val="28"/>
          <w:szCs w:val="28"/>
        </w:rPr>
      </w:pPr>
      <w:r w:rsidRPr="00834540">
        <w:rPr>
          <w:rFonts w:ascii="Times New Roman" w:hAnsi="Times New Roman" w:cs="Times New Roman"/>
          <w:b/>
          <w:bCs/>
          <w:sz w:val="28"/>
          <w:szCs w:val="28"/>
        </w:rPr>
        <w:t>Donut Chart – Monthly Structure of Inflation (HICP YoY) by COICOP – Romania</w:t>
      </w:r>
    </w:p>
    <w:p w14:paraId="78497F37" w14:textId="335B7786" w:rsidR="00834540" w:rsidRPr="00834540" w:rsidRDefault="00834540" w:rsidP="008249D2">
      <w:pPr>
        <w:spacing w:line="360" w:lineRule="auto"/>
        <w:jc w:val="both"/>
        <w:rPr>
          <w:rFonts w:ascii="Times New Roman" w:hAnsi="Times New Roman" w:cs="Times New Roman"/>
          <w:sz w:val="24"/>
          <w:szCs w:val="24"/>
        </w:rPr>
      </w:pPr>
      <w:r w:rsidRPr="00834540">
        <w:rPr>
          <w:rFonts w:ascii="Times New Roman" w:hAnsi="Times New Roman" w:cs="Times New Roman"/>
          <w:i/>
          <w:iCs/>
          <w:sz w:val="24"/>
          <w:szCs w:val="24"/>
          <w:u w:val="single"/>
        </w:rPr>
        <w:t>Description:</w:t>
      </w:r>
      <w:r w:rsidRPr="00834540">
        <w:rPr>
          <w:rFonts w:ascii="Times New Roman" w:hAnsi="Times New Roman" w:cs="Times New Roman"/>
          <w:sz w:val="28"/>
          <w:szCs w:val="28"/>
        </w:rPr>
        <w:br/>
      </w:r>
      <w:r w:rsidR="008249D2">
        <w:rPr>
          <w:rFonts w:ascii="Times New Roman" w:hAnsi="Times New Roman" w:cs="Times New Roman"/>
          <w:sz w:val="24"/>
          <w:szCs w:val="24"/>
        </w:rPr>
        <w:t xml:space="preserve">    </w:t>
      </w:r>
      <w:r w:rsidR="008249D2" w:rsidRPr="008249D2">
        <w:rPr>
          <w:rFonts w:ascii="Times New Roman" w:hAnsi="Times New Roman" w:cs="Times New Roman"/>
          <w:sz w:val="24"/>
          <w:szCs w:val="24"/>
        </w:rPr>
        <w:t>The pie chart presents the composition of inflation (YoY) for Romania, showing the share of each COICOP category in total inflation for the selected month</w:t>
      </w:r>
      <w:r w:rsidR="008249D2">
        <w:rPr>
          <w:rFonts w:ascii="Times New Roman" w:hAnsi="Times New Roman" w:cs="Times New Roman"/>
          <w:sz w:val="24"/>
          <w:szCs w:val="24"/>
        </w:rPr>
        <w:t xml:space="preserve">. </w:t>
      </w:r>
      <w:r w:rsidR="008249D2" w:rsidRPr="008249D2">
        <w:rPr>
          <w:rFonts w:ascii="Times New Roman" w:hAnsi="Times New Roman" w:cs="Times New Roman"/>
          <w:sz w:val="24"/>
          <w:szCs w:val="24"/>
        </w:rPr>
        <w:t>Each slice represents the proportion of inflation generated by a specific type of expenditure.</w:t>
      </w:r>
    </w:p>
    <w:p w14:paraId="5FCD3EB9" w14:textId="77777777" w:rsidR="008249D2" w:rsidRDefault="008249D2" w:rsidP="00834540">
      <w:pPr>
        <w:jc w:val="both"/>
        <w:rPr>
          <w:rFonts w:ascii="Times New Roman" w:hAnsi="Times New Roman" w:cs="Times New Roman"/>
          <w:sz w:val="28"/>
          <w:szCs w:val="28"/>
        </w:rPr>
      </w:pPr>
    </w:p>
    <w:p w14:paraId="02B16EB2" w14:textId="77777777" w:rsidR="008249D2" w:rsidRDefault="008249D2" w:rsidP="00834540">
      <w:pPr>
        <w:jc w:val="both"/>
        <w:rPr>
          <w:rFonts w:ascii="Times New Roman" w:hAnsi="Times New Roman" w:cs="Times New Roman"/>
          <w:sz w:val="28"/>
          <w:szCs w:val="28"/>
        </w:rPr>
      </w:pPr>
    </w:p>
    <w:p w14:paraId="5CC1AEFC" w14:textId="5FEC2E19" w:rsidR="00834540" w:rsidRPr="00834540" w:rsidRDefault="00834540" w:rsidP="00834540">
      <w:pPr>
        <w:jc w:val="both"/>
        <w:rPr>
          <w:rFonts w:ascii="Times New Roman" w:hAnsi="Times New Roman" w:cs="Times New Roman"/>
          <w:b/>
          <w:bCs/>
          <w:sz w:val="28"/>
          <w:szCs w:val="28"/>
        </w:rPr>
      </w:pPr>
      <w:r w:rsidRPr="00834540">
        <w:rPr>
          <w:rFonts w:ascii="Times New Roman" w:hAnsi="Times New Roman" w:cs="Times New Roman"/>
          <w:b/>
          <w:bCs/>
          <w:sz w:val="28"/>
          <w:szCs w:val="28"/>
        </w:rPr>
        <w:lastRenderedPageBreak/>
        <w:t>Area Chart – Monthly Inflation Rate (HICP MoM) – Romania vs EU27 (All Categories)</w:t>
      </w:r>
    </w:p>
    <w:p w14:paraId="4D349EA7" w14:textId="68B60098" w:rsidR="00834540" w:rsidRPr="00834540" w:rsidRDefault="00834540" w:rsidP="00860AB2">
      <w:pPr>
        <w:spacing w:line="360" w:lineRule="auto"/>
        <w:jc w:val="both"/>
        <w:rPr>
          <w:rFonts w:ascii="Times New Roman" w:hAnsi="Times New Roman" w:cs="Times New Roman"/>
          <w:sz w:val="24"/>
          <w:szCs w:val="24"/>
        </w:rPr>
      </w:pPr>
      <w:r w:rsidRPr="00834540">
        <w:rPr>
          <w:rFonts w:ascii="Times New Roman" w:hAnsi="Times New Roman" w:cs="Times New Roman"/>
          <w:i/>
          <w:iCs/>
          <w:sz w:val="24"/>
          <w:szCs w:val="24"/>
          <w:u w:val="single"/>
        </w:rPr>
        <w:t>Description:</w:t>
      </w:r>
      <w:r w:rsidRPr="00834540">
        <w:rPr>
          <w:rFonts w:ascii="Times New Roman" w:hAnsi="Times New Roman" w:cs="Times New Roman"/>
          <w:sz w:val="28"/>
          <w:szCs w:val="28"/>
        </w:rPr>
        <w:br/>
      </w:r>
      <w:r w:rsidR="0055564A" w:rsidRPr="0055564A">
        <w:rPr>
          <w:rFonts w:ascii="Times New Roman" w:hAnsi="Times New Roman" w:cs="Times New Roman"/>
          <w:sz w:val="24"/>
          <w:szCs w:val="24"/>
        </w:rPr>
        <w:t>This chart shows the month-over-month (MoM) rate of inflation for all consumption categories combined, comparing Romania with the EU27.</w:t>
      </w:r>
      <w:r w:rsidR="0055564A">
        <w:rPr>
          <w:rFonts w:ascii="Times New Roman" w:hAnsi="Times New Roman" w:cs="Times New Roman"/>
          <w:sz w:val="24"/>
          <w:szCs w:val="24"/>
        </w:rPr>
        <w:t xml:space="preserve"> </w:t>
      </w:r>
      <w:r w:rsidR="0055564A" w:rsidRPr="0055564A">
        <w:rPr>
          <w:rFonts w:ascii="Times New Roman" w:hAnsi="Times New Roman" w:cs="Times New Roman"/>
          <w:sz w:val="24"/>
          <w:szCs w:val="24"/>
        </w:rPr>
        <w:t>It reflects short-term changes in inflation dynamics. It captures monthly volatility in inflation and highlights the periods with the strongest fluctuations, such as energy crises or post-pandemic rebounds.</w:t>
      </w:r>
      <w:r w:rsidRPr="00834540">
        <w:rPr>
          <w:rFonts w:ascii="Times New Roman" w:hAnsi="Times New Roman" w:cs="Times New Roman"/>
          <w:sz w:val="28"/>
          <w:szCs w:val="28"/>
        </w:rPr>
        <w:br/>
      </w:r>
    </w:p>
    <w:p w14:paraId="089F6602" w14:textId="4FB47803" w:rsidR="00834540" w:rsidRDefault="008F2AE9" w:rsidP="00834540">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DC8BFC9" wp14:editId="5CB2CF6C">
                <wp:simplePos x="0" y="0"/>
                <wp:positionH relativeFrom="column">
                  <wp:posOffset>-304800</wp:posOffset>
                </wp:positionH>
                <wp:positionV relativeFrom="paragraph">
                  <wp:posOffset>502920</wp:posOffset>
                </wp:positionV>
                <wp:extent cx="259080" cy="350520"/>
                <wp:effectExtent l="0" t="0" r="45720" b="49530"/>
                <wp:wrapNone/>
                <wp:docPr id="879885027" name="Connector: Curved 1"/>
                <wp:cNvGraphicFramePr/>
                <a:graphic xmlns:a="http://schemas.openxmlformats.org/drawingml/2006/main">
                  <a:graphicData uri="http://schemas.microsoft.com/office/word/2010/wordprocessingShape">
                    <wps:wsp>
                      <wps:cNvCnPr/>
                      <wps:spPr>
                        <a:xfrm>
                          <a:off x="0" y="0"/>
                          <a:ext cx="259080" cy="35052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03046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4pt;margin-top:39.6pt;width:20.4pt;height:27.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" adj="10800" strokecolor="#4579b8 [3044]">
                <v:stroke endarrow="block"/>
              </v:shape>
            </w:pict>
          </mc:Fallback>
        </mc:AlternateContent>
      </w:r>
      <w:r w:rsidRPr="008F2AE9">
        <w:rPr>
          <w:rFonts w:ascii="Times New Roman" w:hAnsi="Times New Roman" w:cs="Times New Roman"/>
          <w:sz w:val="28"/>
          <w:szCs w:val="28"/>
        </w:rPr>
        <w:drawing>
          <wp:anchor distT="0" distB="0" distL="114300" distR="114300" simplePos="0" relativeHeight="251659776" behindDoc="0" locked="0" layoutInCell="1" allowOverlap="1" wp14:anchorId="28A66232" wp14:editId="036B1113">
            <wp:simplePos x="0" y="0"/>
            <wp:positionH relativeFrom="column">
              <wp:posOffset>22860</wp:posOffset>
            </wp:positionH>
            <wp:positionV relativeFrom="paragraph">
              <wp:posOffset>480060</wp:posOffset>
            </wp:positionV>
            <wp:extent cx="5943600" cy="3333115"/>
            <wp:effectExtent l="19050" t="19050" r="19050" b="19685"/>
            <wp:wrapSquare wrapText="bothSides"/>
            <wp:docPr id="21205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399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33115"/>
                    </a:xfrm>
                    <a:prstGeom prst="rect">
                      <a:avLst/>
                    </a:prstGeom>
                    <a:ln>
                      <a:solidFill>
                        <a:schemeClr val="tx1"/>
                      </a:solidFill>
                    </a:ln>
                  </pic:spPr>
                </pic:pic>
              </a:graphicData>
            </a:graphic>
          </wp:anchor>
        </w:drawing>
      </w:r>
      <w:r w:rsidR="00860AB2">
        <w:rPr>
          <w:rFonts w:ascii="Times New Roman" w:hAnsi="Times New Roman" w:cs="Times New Roman"/>
          <w:sz w:val="28"/>
          <w:szCs w:val="28"/>
        </w:rPr>
        <w:t>Exemple:</w:t>
      </w:r>
    </w:p>
    <w:p w14:paraId="4A85E57C" w14:textId="77777777" w:rsidR="007D0ABC" w:rsidRPr="007D0ABC" w:rsidRDefault="007D0ABC" w:rsidP="007D0ABC">
      <w:pPr>
        <w:rPr>
          <w:rFonts w:ascii="Times New Roman" w:hAnsi="Times New Roman" w:cs="Times New Roman"/>
          <w:sz w:val="28"/>
          <w:szCs w:val="28"/>
        </w:rPr>
      </w:pPr>
    </w:p>
    <w:p w14:paraId="238A029F" w14:textId="0A4B88BF" w:rsidR="007D0ABC" w:rsidRPr="007D0ABC" w:rsidRDefault="007D0ABC" w:rsidP="007D0ABC">
      <w:pPr>
        <w:tabs>
          <w:tab w:val="left" w:pos="393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D0ABC">
        <w:rPr>
          <w:rFonts w:ascii="Times New Roman" w:hAnsi="Times New Roman" w:cs="Times New Roman"/>
          <w:sz w:val="24"/>
          <w:szCs w:val="24"/>
        </w:rPr>
        <w:t>For a more recent exemple, i</w:t>
      </w:r>
      <w:r w:rsidRPr="007D0ABC">
        <w:rPr>
          <w:rFonts w:ascii="Times New Roman" w:hAnsi="Times New Roman" w:cs="Times New Roman"/>
          <w:sz w:val="24"/>
          <w:szCs w:val="24"/>
        </w:rPr>
        <w:t xml:space="preserve">n September 2025, inflation in Romania reached 17.3% in the housing, water, electricity, gas and fuels category — the highest value recorded since 2015. This strong price growth was mainly driven by rising energy and utility costs, amplified by global energy market pressures and domestic supply constraints. Compared to the EU27 average of around 2.5%, Romania’s inflation remains significantly above the European benchmark, reflecting structural price rigidity in non-competitive sectors. The Consumer Price Index (Base </w:t>
      </w:r>
      <w:r w:rsidRPr="007D0ABC">
        <w:rPr>
          <w:rFonts w:ascii="Times New Roman" w:hAnsi="Times New Roman" w:cs="Times New Roman"/>
          <w:sz w:val="24"/>
          <w:szCs w:val="24"/>
        </w:rPr>
        <w:lastRenderedPageBreak/>
        <w:t>2015=100) shows Romania at 158, versus 133 for the EU, illustrating a faster cumulative price increase since 2015. The monthly inflation trend (HICP MoM) indicates stabilization after the 2022 peak but persistent volatility. Overall, Romania faces sustained cost-push inflation, underscoring the need for improved energy efficiency and fiscal coordination to curb long-term price instability.</w:t>
      </w:r>
    </w:p>
    <w:p w14:paraId="2E6559E0" w14:textId="77777777" w:rsidR="007D0ABC" w:rsidRPr="007D0ABC" w:rsidRDefault="007D0ABC" w:rsidP="007D0ABC">
      <w:pPr>
        <w:spacing w:line="360" w:lineRule="auto"/>
        <w:jc w:val="both"/>
        <w:rPr>
          <w:rFonts w:ascii="Times New Roman" w:hAnsi="Times New Roman" w:cs="Times New Roman"/>
          <w:sz w:val="24"/>
          <w:szCs w:val="24"/>
        </w:rPr>
      </w:pPr>
    </w:p>
    <w:p w14:paraId="01D4AC6E" w14:textId="77777777" w:rsidR="007D0ABC" w:rsidRPr="007D0ABC" w:rsidRDefault="007D0ABC" w:rsidP="007D0ABC">
      <w:pPr>
        <w:rPr>
          <w:rFonts w:ascii="Times New Roman" w:hAnsi="Times New Roman" w:cs="Times New Roman"/>
          <w:sz w:val="28"/>
          <w:szCs w:val="28"/>
        </w:rPr>
      </w:pPr>
    </w:p>
    <w:p w14:paraId="125F2124" w14:textId="77777777" w:rsidR="007D0ABC" w:rsidRPr="007D0ABC" w:rsidRDefault="007D0ABC" w:rsidP="007D0ABC">
      <w:pPr>
        <w:rPr>
          <w:rFonts w:ascii="Times New Roman" w:hAnsi="Times New Roman" w:cs="Times New Roman"/>
          <w:sz w:val="28"/>
          <w:szCs w:val="28"/>
        </w:rPr>
      </w:pPr>
    </w:p>
    <w:p w14:paraId="66AEE1A1" w14:textId="77777777" w:rsidR="007D0ABC" w:rsidRPr="007D0ABC" w:rsidRDefault="007D0ABC" w:rsidP="007D0ABC">
      <w:pPr>
        <w:rPr>
          <w:rFonts w:ascii="Times New Roman" w:hAnsi="Times New Roman" w:cs="Times New Roman"/>
          <w:sz w:val="28"/>
          <w:szCs w:val="28"/>
        </w:rPr>
      </w:pPr>
    </w:p>
    <w:p w14:paraId="0FB3BBD2" w14:textId="77777777" w:rsidR="007D0ABC" w:rsidRPr="007D0ABC" w:rsidRDefault="007D0ABC" w:rsidP="007D0ABC">
      <w:pPr>
        <w:rPr>
          <w:rFonts w:ascii="Times New Roman" w:hAnsi="Times New Roman" w:cs="Times New Roman"/>
          <w:sz w:val="28"/>
          <w:szCs w:val="28"/>
        </w:rPr>
      </w:pPr>
    </w:p>
    <w:p w14:paraId="11FE4BCD" w14:textId="77777777" w:rsidR="007D0ABC" w:rsidRPr="007D0ABC" w:rsidRDefault="007D0ABC" w:rsidP="007D0ABC">
      <w:pPr>
        <w:rPr>
          <w:rFonts w:ascii="Times New Roman" w:hAnsi="Times New Roman" w:cs="Times New Roman"/>
          <w:sz w:val="28"/>
          <w:szCs w:val="28"/>
        </w:rPr>
      </w:pPr>
    </w:p>
    <w:p w14:paraId="4131234F" w14:textId="77777777" w:rsidR="007D0ABC" w:rsidRPr="007D0ABC" w:rsidRDefault="007D0ABC" w:rsidP="007D0ABC">
      <w:pPr>
        <w:rPr>
          <w:rFonts w:ascii="Times New Roman" w:hAnsi="Times New Roman" w:cs="Times New Roman"/>
          <w:sz w:val="28"/>
          <w:szCs w:val="28"/>
        </w:rPr>
      </w:pPr>
    </w:p>
    <w:p w14:paraId="2FD5F41E" w14:textId="77777777" w:rsidR="007D0ABC" w:rsidRPr="007D0ABC" w:rsidRDefault="007D0ABC" w:rsidP="007D0ABC">
      <w:pPr>
        <w:rPr>
          <w:rFonts w:ascii="Times New Roman" w:hAnsi="Times New Roman" w:cs="Times New Roman"/>
          <w:sz w:val="28"/>
          <w:szCs w:val="28"/>
        </w:rPr>
      </w:pPr>
    </w:p>
    <w:sectPr w:rsidR="007D0ABC" w:rsidRPr="007D0AB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86A8" w14:textId="77777777" w:rsidR="00517057" w:rsidRDefault="00517057" w:rsidP="00860AB2">
      <w:pPr>
        <w:spacing w:after="0" w:line="240" w:lineRule="auto"/>
      </w:pPr>
      <w:r>
        <w:separator/>
      </w:r>
    </w:p>
  </w:endnote>
  <w:endnote w:type="continuationSeparator" w:id="0">
    <w:p w14:paraId="00B40537" w14:textId="77777777" w:rsidR="00517057" w:rsidRDefault="00517057" w:rsidP="0086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12CD" w14:textId="77777777" w:rsidR="00517057" w:rsidRDefault="00517057" w:rsidP="00860AB2">
      <w:pPr>
        <w:spacing w:after="0" w:line="240" w:lineRule="auto"/>
      </w:pPr>
      <w:r>
        <w:separator/>
      </w:r>
    </w:p>
  </w:footnote>
  <w:footnote w:type="continuationSeparator" w:id="0">
    <w:p w14:paraId="7A8CCE04" w14:textId="77777777" w:rsidR="00517057" w:rsidRDefault="00517057" w:rsidP="00860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96A9" w14:textId="06413F1E" w:rsidR="00860AB2" w:rsidRPr="00860AB2" w:rsidRDefault="00860AB2" w:rsidP="00860AB2">
    <w:pPr>
      <w:pStyle w:val="Header"/>
      <w:jc w:val="right"/>
      <w:rPr>
        <w:rFonts w:ascii="Times New Roman" w:hAnsi="Times New Roman" w:cs="Times New Roman"/>
      </w:rPr>
    </w:pPr>
    <w:r w:rsidRPr="00860AB2">
      <w:rPr>
        <w:rFonts w:ascii="Times New Roman" w:hAnsi="Times New Roman" w:cs="Times New Roman"/>
      </w:rPr>
      <w:t>IACOB DENISA-MIHAELA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CEC"/>
    <w:multiLevelType w:val="multilevel"/>
    <w:tmpl w:val="902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41C7"/>
    <w:multiLevelType w:val="multilevel"/>
    <w:tmpl w:val="6D6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71D5A"/>
    <w:multiLevelType w:val="multilevel"/>
    <w:tmpl w:val="946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D65EE"/>
    <w:multiLevelType w:val="multilevel"/>
    <w:tmpl w:val="76B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A1BEF"/>
    <w:multiLevelType w:val="multilevel"/>
    <w:tmpl w:val="CB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15D81"/>
    <w:multiLevelType w:val="multilevel"/>
    <w:tmpl w:val="D58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208616">
    <w:abstractNumId w:val="2"/>
  </w:num>
  <w:num w:numId="2" w16cid:durableId="1050570453">
    <w:abstractNumId w:val="0"/>
  </w:num>
  <w:num w:numId="3" w16cid:durableId="1368138011">
    <w:abstractNumId w:val="3"/>
  </w:num>
  <w:num w:numId="4" w16cid:durableId="1026834942">
    <w:abstractNumId w:val="4"/>
  </w:num>
  <w:num w:numId="5" w16cid:durableId="881332035">
    <w:abstractNumId w:val="5"/>
  </w:num>
  <w:num w:numId="6" w16cid:durableId="200266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7C3E"/>
    <w:rsid w:val="0017341C"/>
    <w:rsid w:val="00343E30"/>
    <w:rsid w:val="00483CC1"/>
    <w:rsid w:val="00517057"/>
    <w:rsid w:val="0055564A"/>
    <w:rsid w:val="007D0ABC"/>
    <w:rsid w:val="008249D2"/>
    <w:rsid w:val="00834540"/>
    <w:rsid w:val="00860AB2"/>
    <w:rsid w:val="008D5967"/>
    <w:rsid w:val="008F2AE9"/>
    <w:rsid w:val="00D67C3E"/>
    <w:rsid w:val="00FE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9122"/>
  <w15:chartTrackingRefBased/>
  <w15:docId w15:val="{AC25B716-1D7B-491B-9B55-3000B0FA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67C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67C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67C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67C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67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67C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67C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67C3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67C3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67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C3E"/>
    <w:rPr>
      <w:rFonts w:eastAsiaTheme="majorEastAsia" w:cstheme="majorBidi"/>
      <w:color w:val="272727" w:themeColor="text1" w:themeTint="D8"/>
    </w:rPr>
  </w:style>
  <w:style w:type="paragraph" w:styleId="Title">
    <w:name w:val="Title"/>
    <w:basedOn w:val="Normal"/>
    <w:next w:val="Normal"/>
    <w:link w:val="TitleChar"/>
    <w:uiPriority w:val="10"/>
    <w:qFormat/>
    <w:rsid w:val="00D67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C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7C3E"/>
    <w:rPr>
      <w:i/>
      <w:iCs/>
      <w:color w:val="404040" w:themeColor="text1" w:themeTint="BF"/>
    </w:rPr>
  </w:style>
  <w:style w:type="paragraph" w:styleId="ListParagraph">
    <w:name w:val="List Paragraph"/>
    <w:basedOn w:val="Normal"/>
    <w:uiPriority w:val="34"/>
    <w:qFormat/>
    <w:rsid w:val="00D67C3E"/>
    <w:pPr>
      <w:ind w:left="720"/>
      <w:contextualSpacing/>
    </w:pPr>
  </w:style>
  <w:style w:type="character" w:styleId="IntenseEmphasis">
    <w:name w:val="Intense Emphasis"/>
    <w:basedOn w:val="DefaultParagraphFont"/>
    <w:uiPriority w:val="21"/>
    <w:qFormat/>
    <w:rsid w:val="00D67C3E"/>
    <w:rPr>
      <w:i/>
      <w:iCs/>
      <w:color w:val="365F91" w:themeColor="accent1" w:themeShade="BF"/>
    </w:rPr>
  </w:style>
  <w:style w:type="paragraph" w:styleId="IntenseQuote">
    <w:name w:val="Intense Quote"/>
    <w:basedOn w:val="Normal"/>
    <w:next w:val="Normal"/>
    <w:link w:val="IntenseQuoteChar"/>
    <w:uiPriority w:val="30"/>
    <w:qFormat/>
    <w:rsid w:val="00D67C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7C3E"/>
    <w:rPr>
      <w:i/>
      <w:iCs/>
      <w:color w:val="365F91" w:themeColor="accent1" w:themeShade="BF"/>
    </w:rPr>
  </w:style>
  <w:style w:type="character" w:styleId="IntenseReference">
    <w:name w:val="Intense Reference"/>
    <w:basedOn w:val="DefaultParagraphFont"/>
    <w:uiPriority w:val="32"/>
    <w:qFormat/>
    <w:rsid w:val="00D67C3E"/>
    <w:rPr>
      <w:b/>
      <w:bCs/>
      <w:smallCaps/>
      <w:color w:val="365F91" w:themeColor="accent1" w:themeShade="BF"/>
      <w:spacing w:val="5"/>
    </w:rPr>
  </w:style>
  <w:style w:type="paragraph" w:styleId="Header">
    <w:name w:val="header"/>
    <w:basedOn w:val="Normal"/>
    <w:link w:val="HeaderChar"/>
    <w:uiPriority w:val="99"/>
    <w:unhideWhenUsed/>
    <w:rsid w:val="00860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B2"/>
  </w:style>
  <w:style w:type="paragraph" w:styleId="Footer">
    <w:name w:val="footer"/>
    <w:basedOn w:val="Normal"/>
    <w:link w:val="FooterChar"/>
    <w:uiPriority w:val="99"/>
    <w:unhideWhenUsed/>
    <w:rsid w:val="00860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M DENISA-MIHAELA</dc:creator>
  <cp:keywords/>
  <dc:description/>
  <cp:lastModifiedBy>IACOB M DENISA-MIHAELA</cp:lastModifiedBy>
  <cp:revision>6</cp:revision>
  <dcterms:created xsi:type="dcterms:W3CDTF">2025-11-04T08:11:00Z</dcterms:created>
  <dcterms:modified xsi:type="dcterms:W3CDTF">2025-11-04T08:38:00Z</dcterms:modified>
</cp:coreProperties>
</file>