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text/>
        <w:id w:val="1832105107"/>
        <w:dataBinding w:prefixMappings="xmlns:ns0='http://purl.org/dc/elements/1.1/' xmlns:ns1='http://schemas.openxmlformats.org/package/2006/metadata/core-properties' " w:xpath="/ns1:coreProperties[1]/ns0:title[1]" w:storeItemID="{6C3C8BC8-F283-45AE-878A-BAB7291924A1}"/>
        <w:alias w:val="Titre "/>
      </w:sdtPr>
      <w:sdtContent>
        <w:p>
          <w:pPr>
            <w:pStyle w:val="Titreprincipal"/>
            <w:shd w:val="clear" w:fill="FBE4D5"/>
            <w:rPr/>
          </w:pPr>
          <w:r>
            <w:rPr/>
            <w:t>Rapport ENSTA 2021 – ROB305 – Howard Wolowitz</w:t>
          </w:r>
        </w:p>
      </w:sdtContent>
    </w:sdt>
    <w:p>
      <w:pPr>
        <w:pStyle w:val="Titre1"/>
        <w:numPr>
          <w:ilvl w:val="0"/>
          <w:numId w:val="2"/>
        </w:numPr>
        <w:ind w:left="0" w:hanging="851"/>
        <w:rPr/>
      </w:pPr>
      <w:r>
        <w:rPr/>
        <w:t>Mesure de temps et échantillonnage en temps</w:t>
      </w:r>
    </w:p>
    <w:p>
      <w:pPr>
        <w:pStyle w:val="Normal"/>
        <w:rPr>
          <w:lang w:val="en-US"/>
        </w:rPr>
      </w:pPr>
      <w:r>
        <w:rPr>
          <w:lang w:val="en-US"/>
        </w:rPr>
        <w:t xml:space="preserve">Lorem ipsum dolor sit amet, consectetur adipiscing elit. Sed non risus. Suspendisse lectus tortor, dignissim sit amet, adipiscing nec, ultricies sed, dolor. Cras elementum ultrices diam. Maecenas ligula massa, varius a, semper congue, euismod non, mi. </w:t>
      </w:r>
    </w:p>
    <w:p>
      <w:pPr>
        <w:pStyle w:val="Titre2"/>
        <w:numPr>
          <w:ilvl w:val="1"/>
          <w:numId w:val="2"/>
        </w:numPr>
        <w:ind w:left="0" w:hanging="284"/>
        <w:rPr/>
      </w:pPr>
      <w:r>
        <w:rPr>
          <w:rStyle w:val="Heading2Char"/>
        </w:rPr>
        <w:t>Gestion simplifiée du temps Posix</w:t>
      </w:r>
    </w:p>
    <w:p>
      <w:pPr>
        <w:pStyle w:val="Normal"/>
        <w:ind w:left="0" w:hanging="284"/>
        <w:rPr>
          <w:lang w:val="en-US"/>
        </w:rPr>
      </w:pPr>
      <w:r>
        <w:rPr>
          <w:rStyle w:val="Heading2Char"/>
          <w:rFonts w:eastAsia="Calibri" w:cs="Arial"/>
          <w:color w:val="auto"/>
          <w:kern w:val="0"/>
          <w:sz w:val="19"/>
          <w:szCs w:val="19"/>
          <w:lang w:val="fr-FR" w:eastAsia="en-US" w:bidi="ar-SA"/>
          <w14:ligatures w14:val="all"/>
          <w14:numForm w14:val="lining"/>
          <w14:numSpacing w14:val="tabular"/>
        </w:rPr>
        <w:tab/>
        <w:t>Nous avons implémenté un ensemble de fonctions facilitant l’utilisation de la structure timespec, ainsi que surchargé des opérateurs pour pouvoir les utiliser. Nous les avons ensuite testés.</w:t>
      </w:r>
      <w:r>
        <w:rPr>
          <w:rStyle w:val="Heading2Char"/>
        </w:rPr>
        <w:t xml:space="preserve"> </w:t>
      </w:r>
    </w:p>
    <w:p>
      <w:pPr>
        <w:pStyle w:val="Titre2"/>
        <w:numPr>
          <w:ilvl w:val="1"/>
          <w:numId w:val="2"/>
        </w:numPr>
        <w:ind w:left="0" w:hanging="284"/>
        <w:rPr/>
      </w:pPr>
      <w:r>
        <w:rPr>
          <w:rStyle w:val="Heading2Char"/>
        </w:rPr>
        <w:t>Timers</w:t>
      </w:r>
      <w:r>
        <w:rPr/>
        <w:t xml:space="preserve"> avec callback</w:t>
      </w:r>
    </w:p>
    <w:p>
      <w:pPr>
        <w:pStyle w:val="Normal"/>
        <w:rPr>
          <w:rFonts w:ascii="Charter" w:hAnsi="Charter"/>
          <w:sz w:val="19"/>
          <w:szCs w:val="19"/>
        </w:rPr>
      </w:pPr>
      <w:r>
        <w:rPr>
          <w:sz w:val="19"/>
          <w:szCs w:val="19"/>
        </w:rPr>
        <w:t xml:space="preserve">Nous avons implémenté un </w:t>
      </w:r>
      <w:r>
        <w:rPr>
          <w:i/>
          <w:iCs/>
          <w:sz w:val="19"/>
          <w:szCs w:val="19"/>
        </w:rPr>
        <w:t>callback</w:t>
      </w:r>
      <w:r>
        <w:rPr>
          <w:i w:val="false"/>
          <w:iCs w:val="false"/>
          <w:sz w:val="19"/>
          <w:szCs w:val="19"/>
        </w:rPr>
        <w:t xml:space="preserve"> qui incrémente un compteur, comme on peut le voir ci-dessous.</w:t>
      </w:r>
    </w:p>
    <w:p>
      <w:pPr>
        <w:pStyle w:val="Code"/>
        <w:shd w:val="clear" w:fill="ECF1F8"/>
        <w:rPr/>
      </w:pPr>
      <w:r>
        <w:rPr/>
        <w:t>void handler(int /*sig*/, siginfo_t* si, void* /*unused*/)</w:t>
      </w:r>
    </w:p>
    <w:p>
      <w:pPr>
        <w:pStyle w:val="Code"/>
        <w:shd w:val="clear" w:fill="ECF1F8"/>
        <w:rPr/>
      </w:pPr>
      <w:r>
        <w:rPr/>
        <w:t>{</w:t>
      </w:r>
    </w:p>
    <w:p>
      <w:pPr>
        <w:pStyle w:val="Code"/>
        <w:shd w:val="clear" w:fill="ECF1F8"/>
        <w:rPr/>
      </w:pPr>
      <w:r>
        <w:rPr/>
        <w:tab/>
        <w:t>int* p_counter = (int*) si-&gt; si_value.sival_ptr;</w:t>
      </w:r>
    </w:p>
    <w:p>
      <w:pPr>
        <w:pStyle w:val="Code"/>
        <w:shd w:val="clear" w:fill="ECF1F8"/>
        <w:rPr/>
      </w:pPr>
      <w:r>
        <w:rPr/>
        <w:tab/>
        <w:t>*p_counter += 1; // ou p_counter[0]</w:t>
      </w:r>
    </w:p>
    <w:p>
      <w:pPr>
        <w:pStyle w:val="Code"/>
        <w:shd w:val="clear" w:fill="ECF1F8"/>
        <w:rPr/>
      </w:pPr>
      <w:r>
        <w:rPr/>
        <w:tab/>
        <w:t>std::cout &lt;&lt; *p_counter &lt;&lt; std::endl;</w:t>
      </w:r>
    </w:p>
    <w:p>
      <w:pPr>
        <w:pStyle w:val="Code"/>
        <w:shd w:val="clear" w:fill="ECF1F8"/>
        <w:rPr>
          <w:lang w:val="en-US"/>
        </w:rPr>
      </w:pPr>
      <w:r>
        <w:rPr>
          <w:lang w:val="en-US"/>
        </w:rPr>
        <w:t>}</w:t>
      </w:r>
    </w:p>
    <w:p>
      <w:pPr>
        <w:pStyle w:val="Titre2"/>
        <w:numPr>
          <w:ilvl w:val="1"/>
          <w:numId w:val="2"/>
        </w:numPr>
        <w:ind w:left="0" w:hanging="284"/>
        <w:rPr/>
      </w:pPr>
      <w:r>
        <w:rPr/>
        <w:t>Fonction simple consommant du CPU</w:t>
      </w:r>
    </w:p>
    <w:p>
      <w:pPr>
        <w:pStyle w:val="Normal"/>
        <w:rPr/>
      </w:pPr>
      <w:r>
        <w:rPr/>
        <w:t>P</w:t>
      </w:r>
      <w:r>
        <w:rPr>
          <w:sz w:val="19"/>
          <w:szCs w:val="19"/>
        </w:rPr>
        <w:t>our un compteur de 2000, les valeurs finales obtenues sont :</w:t>
      </w:r>
    </w:p>
    <w:p>
      <w:pPr>
        <w:pStyle w:val="Code"/>
        <w:shd w:val="clear" w:fill="ECF1F8"/>
        <w:rPr/>
      </w:pPr>
      <w:r>
        <w:rPr/>
        <w:t>2000</w:t>
      </w:r>
    </w:p>
    <w:p>
      <w:pPr>
        <w:pStyle w:val="Code"/>
        <w:shd w:val="clear" w:fill="ECF1F8"/>
        <w:rPr/>
      </w:pPr>
      <w:r>
        <w:rPr/>
        <w:t>time : 0,000075313s</w:t>
      </w:r>
    </w:p>
    <w:p>
      <w:pPr>
        <w:pStyle w:val="Titre2"/>
        <w:numPr>
          <w:ilvl w:val="1"/>
          <w:numId w:val="2"/>
        </w:numPr>
        <w:ind w:left="0" w:hanging="284"/>
        <w:rPr/>
      </w:pPr>
      <w:r>
        <w:rPr/>
        <w:t>Mesure du temps d’exécution d’une fonction</w:t>
      </w:r>
    </w:p>
    <w:p>
      <w:pPr>
        <w:pStyle w:val="Normal"/>
        <w:rPr/>
      </w:pPr>
      <w:r>
        <w:rPr/>
        <w:t xml:space="preserve">En calibrant la fonction </w:t>
      </w:r>
      <w:r>
        <w:rPr>
          <w:i/>
          <w:iCs/>
        </w:rPr>
        <w:t>incr()</w:t>
      </w:r>
      <w:r>
        <w:rPr>
          <w:i w:val="false"/>
          <w:iCs w:val="false"/>
        </w:rPr>
        <w:t xml:space="preserve"> de manière linéaire (ax+b), nous avons trouvé comme paramètres </w:t>
      </w:r>
    </w:p>
    <w:p>
      <w:pPr>
        <w:pStyle w:val="Code"/>
        <w:shd w:val="clear" w:fill="ECF1F8"/>
        <w:rPr/>
      </w:pPr>
      <w:r>
        <w:rPr/>
        <w:t>a : 1.81389e+07</w:t>
      </w:r>
    </w:p>
    <w:p>
      <w:pPr>
        <w:pStyle w:val="Code"/>
        <w:shd w:val="clear" w:fill="ECF1F8"/>
        <w:rPr/>
      </w:pPr>
      <w:r>
        <w:rPr/>
        <w:t>b : 18720</w:t>
      </w:r>
    </w:p>
    <w:p>
      <w:pPr>
        <w:pStyle w:val="Normal"/>
        <w:rPr/>
      </w:pPr>
      <w:r>
        <w:rPr>
          <w:i w:val="false"/>
          <w:iCs w:val="false"/>
        </w:rPr>
        <w:t>En faisant des vérifications entre le temps estimé et le temps réel, nous avons obtenu comme résultats :</w:t>
      </w:r>
    </w:p>
    <w:p>
      <w:pPr>
        <w:pStyle w:val="Code"/>
        <w:shd w:val="clear" w:fill="ECF1F8"/>
        <w:rPr/>
      </w:pPr>
      <w:r>
        <w:rPr/>
        <w:t>time : 55,117513781s</w:t>
      </w:r>
    </w:p>
    <w:p>
      <w:pPr>
        <w:pStyle w:val="Code"/>
        <w:shd w:val="clear" w:fill="ECF1F8"/>
        <w:rPr/>
      </w:pPr>
      <w:r>
        <w:rPr/>
        <w:t>expected time : 55,129140625s</w:t>
      </w:r>
    </w:p>
    <w:p>
      <w:pPr>
        <w:pStyle w:val="Code"/>
        <w:shd w:val="clear" w:fill="ECF1F8"/>
        <w:rPr/>
      </w:pPr>
      <w:r>
        <w:rPr/>
        <w:t>diff time : -1,988373156s</w:t>
      </w:r>
    </w:p>
    <w:p>
      <w:pPr>
        <w:pStyle w:val="Normal"/>
        <w:rPr/>
      </w:pPr>
      <w:r>
        <w:rPr/>
        <w:t>Donc l’estimation est plutôt satisfaisante.</w:t>
      </w:r>
    </w:p>
    <w:p>
      <w:pPr>
        <w:pStyle w:val="Titre2"/>
        <w:numPr>
          <w:ilvl w:val="1"/>
          <w:numId w:val="2"/>
        </w:numPr>
        <w:ind w:left="0" w:hanging="284"/>
        <w:rPr/>
      </w:pPr>
      <w:r>
        <w:rPr/>
        <w:t>Amélioration des mesures</w:t>
      </w:r>
    </w:p>
    <w:p>
      <w:pPr>
        <w:pStyle w:val="Normal"/>
        <w:rPr/>
      </w:pPr>
      <w:r>
        <w:rPr>
          <w:color w:val="000000"/>
          <w:highlight w:val="red"/>
          <w14:ligatures w14:val="all"/>
          <w14:numForm w14:val="lining"/>
          <w14:numSpacing w14:val="tabular"/>
        </w:rPr>
        <w:t>todo</w:t>
      </w:r>
    </w:p>
    <w:p>
      <w:pPr>
        <w:pStyle w:val="Titre1"/>
        <w:numPr>
          <w:ilvl w:val="0"/>
          <w:numId w:val="2"/>
        </w:numPr>
        <w:ind w:left="0" w:hanging="851"/>
        <w:rPr/>
      </w:pPr>
      <w:r>
        <w:rPr/>
        <w:t xml:space="preserve">Familiarisation avec l’API multitâches </w:t>
      </w:r>
      <w:r>
        <w:rPr>
          <w:rStyle w:val="Accentuation"/>
        </w:rPr>
        <w:t>pthread</w:t>
      </w:r>
    </w:p>
    <w:p>
      <w:pPr>
        <w:pStyle w:val="Titre2"/>
        <w:numPr>
          <w:ilvl w:val="1"/>
          <w:numId w:val="2"/>
        </w:numPr>
        <w:ind w:left="0" w:hanging="284"/>
        <w:rPr/>
      </w:pPr>
      <w:r>
        <w:rPr/>
        <w:t>Exécution sur plusieurs tâches sans mutex</w:t>
      </w:r>
    </w:p>
    <w:p>
      <w:pPr>
        <w:pStyle w:val="Normal"/>
        <w:ind w:left="0" w:hanging="284"/>
        <w:rPr/>
      </w:pPr>
      <w:r>
        <w:rPr/>
        <w:t xml:space="preserve"> </w:t>
      </w:r>
      <w:r>
        <w:rPr>
          <w:rFonts w:eastAsia="Calibri" w:cs="Arial"/>
          <w:color w:val="auto"/>
          <w:kern w:val="0"/>
          <w:sz w:val="19"/>
          <w:szCs w:val="19"/>
          <w:lang w:val="fr-FR" w:eastAsia="en-US" w:bidi="ar-SA"/>
          <w14:ligatures w14:val="all"/>
          <w14:numForm w14:val="lining"/>
          <w14:numSpacing w14:val="tabular"/>
        </w:rPr>
        <w:t>Après plusieurs exécutions, nous remarquons que le compteur n’a jamais la valeur attendue,</w:t>
      </w:r>
    </w:p>
    <w:p>
      <w:pPr>
        <w:pStyle w:val="Normal"/>
        <w:ind w:left="0" w:hanging="284"/>
        <w:rPr/>
      </w:pPr>
      <w:r>
        <w:rPr>
          <w:rFonts w:eastAsia="Calibri" w:cs="Arial"/>
          <w:color w:val="auto"/>
          <w:kern w:val="0"/>
          <w:sz w:val="19"/>
          <w:szCs w:val="19"/>
          <w:lang w:val="fr-FR" w:eastAsia="en-US" w:bidi="ar-SA"/>
          <w14:ligatures w14:val="all"/>
          <w14:numForm w14:val="lining"/>
          <w14:numSpacing w14:val="tabular"/>
        </w:rPr>
        <w:t>elle est toujours inférieure. Un exemple est donné ci-dessous :</w:t>
      </w:r>
    </w:p>
    <w:p>
      <w:pPr>
        <w:pStyle w:val="Code"/>
        <w:rPr/>
      </w:pPr>
      <w:r>
        <w:rPr/>
        <w:t>nLoops = 10000, nTasks = 50</w:t>
      </w:r>
    </w:p>
    <w:p>
      <w:pPr>
        <w:pStyle w:val="Code"/>
        <w:rPr/>
      </w:pPr>
      <w:r>
        <w:rPr/>
        <w:t>counter = 86223</w:t>
      </w:r>
    </w:p>
    <w:p>
      <w:pPr>
        <w:pStyle w:val="Normal"/>
        <w:rPr/>
      </w:pPr>
      <w:r>
        <w:rPr/>
        <w:t xml:space="preserve">Les différents threads qui modifient le compteur se font suspendre pendant leurs modifications, donc la valeur du compteur n’est pas à jour lorsqu’un autre thread prend la main. Il faut ajouter un </w:t>
      </w:r>
      <w:r>
        <w:rPr>
          <w:i/>
          <w:iCs/>
        </w:rPr>
        <w:t>mutex</w:t>
      </w:r>
      <w:r>
        <w:rPr>
          <w:i w:val="false"/>
          <w:iCs w:val="false"/>
        </w:rPr>
        <w:t xml:space="preserve"> sur le compteur pour résoudre ce problème.</w:t>
      </w:r>
    </w:p>
    <w:p>
      <w:pPr>
        <w:pStyle w:val="Titre2"/>
        <w:numPr>
          <w:ilvl w:val="1"/>
          <w:numId w:val="2"/>
        </w:numPr>
        <w:ind w:left="0" w:hanging="284"/>
        <w:rPr/>
      </w:pPr>
      <w:r>
        <w:rPr/>
        <w:t>Mesure de temps d’exécution</w:t>
      </w:r>
    </w:p>
    <w:p>
      <w:pPr>
        <w:pStyle w:val="Normal"/>
        <w:rPr/>
      </w:pPr>
      <w:r>
        <w:rPr/>
        <w:t xml:space="preserve">Nous avons mesuré le temps d’exécution pour les paramètres demandés avec la priorité </w:t>
      </w:r>
      <w:r>
        <w:rPr>
          <w:i/>
          <w:iCs/>
        </w:rPr>
        <w:t>SCHED_RR</w:t>
      </w:r>
      <w:r>
        <w:rPr>
          <w:i w:val="false"/>
          <w:iCs w:val="false"/>
        </w:rPr>
        <w:t>.</w:t>
      </w:r>
    </w:p>
    <w:tbl>
      <w:tblPr>
        <w:tblW w:w="6375" w:type="dxa"/>
        <w:jc w:val="left"/>
        <w:tblInd w:w="-4" w:type="dxa"/>
        <w:tblCellMar>
          <w:top w:w="0" w:type="dxa"/>
          <w:left w:w="2" w:type="dxa"/>
          <w:bottom w:w="0" w:type="dxa"/>
          <w:right w:w="2" w:type="dxa"/>
        </w:tblCellMar>
      </w:tblPr>
      <w:tblGrid>
        <w:gridCol w:w="1250"/>
        <w:gridCol w:w="1286"/>
        <w:gridCol w:w="1277"/>
        <w:gridCol w:w="1276"/>
        <w:gridCol w:w="1286"/>
      </w:tblGrid>
      <w:tr>
        <w:trPr>
          <w:trHeight w:val="256" w:hRule="atLeast"/>
        </w:trPr>
        <w:tc>
          <w:tcPr>
            <w:tcW w:w="1250" w:type="dxa"/>
            <w:tcBorders>
              <w:top w:val="single" w:sz="2" w:space="0" w:color="000000"/>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Nt</w:t>
            </w:r>
            <w:r>
              <w:rPr/>
              <w:t xml:space="preserve">asks </w:t>
            </w:r>
            <w:r>
              <w:rPr/>
              <w:t>\</w:t>
            </w:r>
            <w:r>
              <w:rPr/>
              <w:t xml:space="preserve"> nLoops</w:t>
            </w:r>
          </w:p>
        </w:tc>
        <w:tc>
          <w:tcPr>
            <w:tcW w:w="1286" w:type="dxa"/>
            <w:tcBorders>
              <w:top w:val="single" w:sz="2" w:space="0" w:color="000000"/>
              <w:bottom w:val="single" w:sz="2" w:space="0" w:color="000000"/>
            </w:tcBorders>
            <w:vAlign w:val="bottom"/>
          </w:tcPr>
          <w:p>
            <w:pPr>
              <w:pStyle w:val="Normal"/>
              <w:tabs>
                <w:tab w:val="clear" w:pos="720"/>
              </w:tabs>
              <w:spacing w:before="60" w:after="100"/>
              <w:jc w:val="right"/>
              <w:rPr/>
            </w:pPr>
            <w:r>
              <w:rPr/>
              <w:t>1,00E+07</w:t>
            </w:r>
          </w:p>
        </w:tc>
        <w:tc>
          <w:tcPr>
            <w:tcW w:w="1277" w:type="dxa"/>
            <w:tcBorders>
              <w:top w:val="single" w:sz="2" w:space="0" w:color="000000"/>
              <w:bottom w:val="single" w:sz="2" w:space="0" w:color="000000"/>
            </w:tcBorders>
            <w:vAlign w:val="bottom"/>
          </w:tcPr>
          <w:p>
            <w:pPr>
              <w:pStyle w:val="Normal"/>
              <w:tabs>
                <w:tab w:val="clear" w:pos="720"/>
              </w:tabs>
              <w:spacing w:before="60" w:after="100"/>
              <w:jc w:val="right"/>
              <w:rPr/>
            </w:pPr>
            <w:r>
              <w:rPr/>
              <w:t>2,00E+07</w:t>
            </w:r>
          </w:p>
        </w:tc>
        <w:tc>
          <w:tcPr>
            <w:tcW w:w="1276" w:type="dxa"/>
            <w:tcBorders>
              <w:top w:val="single" w:sz="2" w:space="0" w:color="000000"/>
              <w:bottom w:val="single" w:sz="2" w:space="0" w:color="000000"/>
            </w:tcBorders>
            <w:vAlign w:val="bottom"/>
          </w:tcPr>
          <w:p>
            <w:pPr>
              <w:pStyle w:val="Normal"/>
              <w:tabs>
                <w:tab w:val="clear" w:pos="720"/>
              </w:tabs>
              <w:spacing w:before="60" w:after="100"/>
              <w:jc w:val="right"/>
              <w:rPr/>
            </w:pPr>
            <w:r>
              <w:rPr/>
              <w:t>3,00E+07</w:t>
            </w:r>
          </w:p>
        </w:tc>
        <w:tc>
          <w:tcPr>
            <w:tcW w:w="1286" w:type="dxa"/>
            <w:tcBorders>
              <w:top w:val="single" w:sz="2" w:space="0" w:color="000000"/>
              <w:bottom w:val="single" w:sz="2" w:space="0" w:color="000000"/>
              <w:right w:val="single" w:sz="2" w:space="0" w:color="000000"/>
            </w:tcBorders>
            <w:vAlign w:val="bottom"/>
          </w:tcPr>
          <w:p>
            <w:pPr>
              <w:pStyle w:val="Normal"/>
              <w:tabs>
                <w:tab w:val="clear" w:pos="720"/>
              </w:tabs>
              <w:spacing w:before="60" w:after="100"/>
              <w:jc w:val="right"/>
              <w:rPr/>
            </w:pPr>
            <w:r>
              <w:rPr/>
              <w:t>4,00E+07</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1</w:t>
            </w:r>
          </w:p>
        </w:tc>
        <w:tc>
          <w:tcPr>
            <w:tcW w:w="1286" w:type="dxa"/>
            <w:tcBorders/>
            <w:vAlign w:val="bottom"/>
          </w:tcPr>
          <w:p>
            <w:pPr>
              <w:pStyle w:val="Normal"/>
              <w:tabs>
                <w:tab w:val="clear" w:pos="720"/>
              </w:tabs>
              <w:spacing w:before="60" w:after="100"/>
              <w:jc w:val="right"/>
              <w:rPr/>
            </w:pPr>
            <w:r>
              <w:rPr/>
              <w:t>0,8107</w:t>
            </w:r>
          </w:p>
        </w:tc>
        <w:tc>
          <w:tcPr>
            <w:tcW w:w="1277" w:type="dxa"/>
            <w:tcBorders/>
            <w:vAlign w:val="bottom"/>
          </w:tcPr>
          <w:p>
            <w:pPr>
              <w:pStyle w:val="Normal"/>
              <w:tabs>
                <w:tab w:val="clear" w:pos="720"/>
              </w:tabs>
              <w:spacing w:before="60" w:after="100"/>
              <w:jc w:val="right"/>
              <w:rPr/>
            </w:pPr>
            <w:r>
              <w:rPr/>
              <w:t>0,1596</w:t>
            </w:r>
          </w:p>
        </w:tc>
        <w:tc>
          <w:tcPr>
            <w:tcW w:w="1276" w:type="dxa"/>
            <w:tcBorders/>
            <w:vAlign w:val="bottom"/>
          </w:tcPr>
          <w:p>
            <w:pPr>
              <w:pStyle w:val="Normal"/>
              <w:tabs>
                <w:tab w:val="clear" w:pos="720"/>
              </w:tabs>
              <w:spacing w:before="60" w:after="100"/>
              <w:jc w:val="right"/>
              <w:rPr/>
            </w:pPr>
            <w:r>
              <w:rPr/>
              <w:t>1,2382</w:t>
            </w:r>
          </w:p>
        </w:tc>
        <w:tc>
          <w:tcPr>
            <w:tcW w:w="1286" w:type="dxa"/>
            <w:tcBorders>
              <w:right w:val="single" w:sz="2" w:space="0" w:color="000000"/>
            </w:tcBorders>
            <w:vAlign w:val="bottom"/>
          </w:tcPr>
          <w:p>
            <w:pPr>
              <w:pStyle w:val="Normal"/>
              <w:tabs>
                <w:tab w:val="clear" w:pos="720"/>
              </w:tabs>
              <w:spacing w:before="60" w:after="100"/>
              <w:jc w:val="right"/>
              <w:rPr/>
            </w:pPr>
            <w:r>
              <w:rPr/>
              <w:t>1,3163</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2</w:t>
            </w:r>
          </w:p>
        </w:tc>
        <w:tc>
          <w:tcPr>
            <w:tcW w:w="1286" w:type="dxa"/>
            <w:tcBorders/>
            <w:vAlign w:val="bottom"/>
          </w:tcPr>
          <w:p>
            <w:pPr>
              <w:pStyle w:val="Normal"/>
              <w:tabs>
                <w:tab w:val="clear" w:pos="720"/>
              </w:tabs>
              <w:spacing w:before="60" w:after="100"/>
              <w:jc w:val="right"/>
              <w:rPr/>
            </w:pPr>
            <w:r>
              <w:rPr/>
              <w:t>0,387</w:t>
            </w:r>
          </w:p>
        </w:tc>
        <w:tc>
          <w:tcPr>
            <w:tcW w:w="1277" w:type="dxa"/>
            <w:tcBorders/>
            <w:vAlign w:val="bottom"/>
          </w:tcPr>
          <w:p>
            <w:pPr>
              <w:pStyle w:val="Normal"/>
              <w:tabs>
                <w:tab w:val="clear" w:pos="720"/>
              </w:tabs>
              <w:spacing w:before="60" w:after="100"/>
              <w:jc w:val="right"/>
              <w:rPr/>
            </w:pPr>
            <w:r>
              <w:rPr/>
              <w:t>1,7798</w:t>
            </w:r>
          </w:p>
        </w:tc>
        <w:tc>
          <w:tcPr>
            <w:tcW w:w="1276" w:type="dxa"/>
            <w:tcBorders/>
            <w:vAlign w:val="bottom"/>
          </w:tcPr>
          <w:p>
            <w:pPr>
              <w:pStyle w:val="Normal"/>
              <w:tabs>
                <w:tab w:val="clear" w:pos="720"/>
              </w:tabs>
              <w:spacing w:before="60" w:after="100"/>
              <w:jc w:val="right"/>
              <w:rPr/>
            </w:pPr>
            <w:r>
              <w:rPr/>
              <w:t>1,1568</w:t>
            </w:r>
          </w:p>
        </w:tc>
        <w:tc>
          <w:tcPr>
            <w:tcW w:w="1286" w:type="dxa"/>
            <w:tcBorders>
              <w:right w:val="single" w:sz="2" w:space="0" w:color="000000"/>
            </w:tcBorders>
            <w:vAlign w:val="bottom"/>
          </w:tcPr>
          <w:p>
            <w:pPr>
              <w:pStyle w:val="Normal"/>
              <w:tabs>
                <w:tab w:val="clear" w:pos="720"/>
              </w:tabs>
              <w:spacing w:before="60" w:after="100"/>
              <w:jc w:val="right"/>
              <w:rPr/>
            </w:pPr>
            <w:r>
              <w:rPr/>
              <w:t>2,5448</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3</w:t>
            </w:r>
          </w:p>
        </w:tc>
        <w:tc>
          <w:tcPr>
            <w:tcW w:w="1286" w:type="dxa"/>
            <w:tcBorders/>
            <w:vAlign w:val="bottom"/>
          </w:tcPr>
          <w:p>
            <w:pPr>
              <w:pStyle w:val="Normal"/>
              <w:tabs>
                <w:tab w:val="clear" w:pos="720"/>
              </w:tabs>
              <w:spacing w:before="60" w:after="100"/>
              <w:jc w:val="right"/>
              <w:rPr/>
            </w:pPr>
            <w:r>
              <w:rPr/>
              <w:t>1,2236</w:t>
            </w:r>
          </w:p>
        </w:tc>
        <w:tc>
          <w:tcPr>
            <w:tcW w:w="1277" w:type="dxa"/>
            <w:tcBorders/>
            <w:vAlign w:val="bottom"/>
          </w:tcPr>
          <w:p>
            <w:pPr>
              <w:pStyle w:val="Normal"/>
              <w:tabs>
                <w:tab w:val="clear" w:pos="720"/>
              </w:tabs>
              <w:spacing w:before="60" w:after="100"/>
              <w:jc w:val="right"/>
              <w:rPr/>
            </w:pPr>
            <w:r>
              <w:rPr/>
              <w:t>3,4495</w:t>
            </w:r>
          </w:p>
        </w:tc>
        <w:tc>
          <w:tcPr>
            <w:tcW w:w="1276" w:type="dxa"/>
            <w:tcBorders/>
            <w:vAlign w:val="bottom"/>
          </w:tcPr>
          <w:p>
            <w:pPr>
              <w:pStyle w:val="Normal"/>
              <w:tabs>
                <w:tab w:val="clear" w:pos="720"/>
              </w:tabs>
              <w:spacing w:before="60" w:after="100"/>
              <w:jc w:val="right"/>
              <w:rPr/>
            </w:pPr>
            <w:r>
              <w:rPr/>
              <w:t>5,6759</w:t>
            </w:r>
          </w:p>
        </w:tc>
        <w:tc>
          <w:tcPr>
            <w:tcW w:w="1286" w:type="dxa"/>
            <w:tcBorders>
              <w:right w:val="single" w:sz="2" w:space="0" w:color="000000"/>
            </w:tcBorders>
            <w:vAlign w:val="bottom"/>
          </w:tcPr>
          <w:p>
            <w:pPr>
              <w:pStyle w:val="Normal"/>
              <w:tabs>
                <w:tab w:val="clear" w:pos="720"/>
              </w:tabs>
              <w:spacing w:before="60" w:after="100"/>
              <w:jc w:val="right"/>
              <w:rPr/>
            </w:pPr>
            <w:r>
              <w:rPr/>
              <w:t>7,9004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4</w:t>
            </w:r>
          </w:p>
        </w:tc>
        <w:tc>
          <w:tcPr>
            <w:tcW w:w="1286" w:type="dxa"/>
            <w:tcBorders/>
            <w:vAlign w:val="bottom"/>
          </w:tcPr>
          <w:p>
            <w:pPr>
              <w:pStyle w:val="Normal"/>
              <w:tabs>
                <w:tab w:val="clear" w:pos="720"/>
              </w:tabs>
              <w:spacing w:before="60" w:after="100"/>
              <w:jc w:val="right"/>
              <w:rPr/>
            </w:pPr>
            <w:r>
              <w:rPr/>
              <w:t>2,7276</w:t>
            </w:r>
          </w:p>
        </w:tc>
        <w:tc>
          <w:tcPr>
            <w:tcW w:w="1277" w:type="dxa"/>
            <w:tcBorders/>
            <w:vAlign w:val="bottom"/>
          </w:tcPr>
          <w:p>
            <w:pPr>
              <w:pStyle w:val="Normal"/>
              <w:tabs>
                <w:tab w:val="clear" w:pos="720"/>
              </w:tabs>
              <w:spacing w:before="60" w:after="100"/>
              <w:jc w:val="right"/>
              <w:rPr/>
            </w:pPr>
            <w:r>
              <w:rPr/>
              <w:t>5,3206</w:t>
            </w:r>
          </w:p>
        </w:tc>
        <w:tc>
          <w:tcPr>
            <w:tcW w:w="1276" w:type="dxa"/>
            <w:tcBorders/>
            <w:vAlign w:val="bottom"/>
          </w:tcPr>
          <w:p>
            <w:pPr>
              <w:pStyle w:val="Normal"/>
              <w:tabs>
                <w:tab w:val="clear" w:pos="720"/>
              </w:tabs>
              <w:spacing w:before="60" w:after="100"/>
              <w:jc w:val="right"/>
              <w:rPr/>
            </w:pPr>
            <w:r>
              <w:rPr/>
              <w:t>8,1586</w:t>
            </w:r>
          </w:p>
        </w:tc>
        <w:tc>
          <w:tcPr>
            <w:tcW w:w="1286" w:type="dxa"/>
            <w:tcBorders>
              <w:right w:val="single" w:sz="2" w:space="0" w:color="000000"/>
            </w:tcBorders>
            <w:vAlign w:val="bottom"/>
          </w:tcPr>
          <w:p>
            <w:pPr>
              <w:pStyle w:val="Normal"/>
              <w:tabs>
                <w:tab w:val="clear" w:pos="720"/>
              </w:tabs>
              <w:spacing w:before="60" w:after="100"/>
              <w:jc w:val="right"/>
              <w:rPr/>
            </w:pPr>
            <w:r>
              <w:rPr/>
              <w:t>10,1834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5</w:t>
            </w:r>
          </w:p>
        </w:tc>
        <w:tc>
          <w:tcPr>
            <w:tcW w:w="1286" w:type="dxa"/>
            <w:tcBorders/>
            <w:vAlign w:val="bottom"/>
          </w:tcPr>
          <w:p>
            <w:pPr>
              <w:pStyle w:val="Normal"/>
              <w:tabs>
                <w:tab w:val="clear" w:pos="720"/>
              </w:tabs>
              <w:spacing w:before="60" w:after="100"/>
              <w:jc w:val="right"/>
              <w:rPr/>
            </w:pPr>
            <w:r>
              <w:rPr/>
              <w:t>2,8067</w:t>
            </w:r>
          </w:p>
        </w:tc>
        <w:tc>
          <w:tcPr>
            <w:tcW w:w="1277" w:type="dxa"/>
            <w:tcBorders/>
            <w:vAlign w:val="bottom"/>
          </w:tcPr>
          <w:p>
            <w:pPr>
              <w:pStyle w:val="Normal"/>
              <w:tabs>
                <w:tab w:val="clear" w:pos="720"/>
              </w:tabs>
              <w:spacing w:before="60" w:after="100"/>
              <w:jc w:val="right"/>
              <w:rPr/>
            </w:pPr>
            <w:r>
              <w:rPr/>
              <w:t>6,1146</w:t>
            </w:r>
          </w:p>
        </w:tc>
        <w:tc>
          <w:tcPr>
            <w:tcW w:w="1276" w:type="dxa"/>
            <w:tcBorders/>
            <w:vAlign w:val="bottom"/>
          </w:tcPr>
          <w:p>
            <w:pPr>
              <w:pStyle w:val="Normal"/>
              <w:tabs>
                <w:tab w:val="clear" w:pos="720"/>
              </w:tabs>
              <w:spacing w:before="60" w:after="100"/>
              <w:jc w:val="right"/>
              <w:rPr/>
            </w:pPr>
            <w:r>
              <w:rPr/>
              <w:t>9,3115</w:t>
            </w:r>
          </w:p>
        </w:tc>
        <w:tc>
          <w:tcPr>
            <w:tcW w:w="1286" w:type="dxa"/>
            <w:tcBorders>
              <w:right w:val="single" w:sz="2" w:space="0" w:color="000000"/>
            </w:tcBorders>
            <w:vAlign w:val="bottom"/>
          </w:tcPr>
          <w:p>
            <w:pPr>
              <w:pStyle w:val="Normal"/>
              <w:tabs>
                <w:tab w:val="clear" w:pos="720"/>
              </w:tabs>
              <w:spacing w:before="60" w:after="100"/>
              <w:jc w:val="right"/>
              <w:rPr/>
            </w:pPr>
            <w:r>
              <w:rPr/>
              <w:t>12,6413</w:t>
            </w:r>
          </w:p>
        </w:tc>
      </w:tr>
      <w:tr>
        <w:trPr>
          <w:trHeight w:val="256" w:hRule="atLeast"/>
        </w:trPr>
        <w:tc>
          <w:tcPr>
            <w:tcW w:w="1250" w:type="dxa"/>
            <w:tcBorders>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6</w:t>
            </w:r>
          </w:p>
        </w:tc>
        <w:tc>
          <w:tcPr>
            <w:tcW w:w="1286" w:type="dxa"/>
            <w:tcBorders>
              <w:bottom w:val="single" w:sz="2" w:space="0" w:color="000000"/>
            </w:tcBorders>
            <w:vAlign w:val="bottom"/>
          </w:tcPr>
          <w:p>
            <w:pPr>
              <w:pStyle w:val="Normal"/>
              <w:tabs>
                <w:tab w:val="clear" w:pos="720"/>
              </w:tabs>
              <w:spacing w:before="60" w:after="100"/>
              <w:jc w:val="right"/>
              <w:rPr/>
            </w:pPr>
            <w:r>
              <w:rPr/>
              <w:t>3,2901</w:t>
            </w:r>
          </w:p>
        </w:tc>
        <w:tc>
          <w:tcPr>
            <w:tcW w:w="1277" w:type="dxa"/>
            <w:tcBorders>
              <w:bottom w:val="single" w:sz="2" w:space="0" w:color="000000"/>
            </w:tcBorders>
            <w:vAlign w:val="bottom"/>
          </w:tcPr>
          <w:p>
            <w:pPr>
              <w:pStyle w:val="Normal"/>
              <w:tabs>
                <w:tab w:val="clear" w:pos="720"/>
              </w:tabs>
              <w:spacing w:before="60" w:after="100"/>
              <w:jc w:val="right"/>
              <w:rPr/>
            </w:pPr>
            <w:r>
              <w:rPr/>
              <w:t>7,287</w:t>
            </w:r>
          </w:p>
        </w:tc>
        <w:tc>
          <w:tcPr>
            <w:tcW w:w="1276" w:type="dxa"/>
            <w:tcBorders>
              <w:bottom w:val="single" w:sz="2" w:space="0" w:color="000000"/>
            </w:tcBorders>
            <w:vAlign w:val="bottom"/>
          </w:tcPr>
          <w:p>
            <w:pPr>
              <w:pStyle w:val="Normal"/>
              <w:tabs>
                <w:tab w:val="clear" w:pos="720"/>
              </w:tabs>
              <w:spacing w:before="60" w:after="100"/>
              <w:jc w:val="right"/>
              <w:rPr/>
            </w:pPr>
            <w:r>
              <w:rPr/>
              <w:t>11,8882</w:t>
            </w:r>
          </w:p>
        </w:tc>
        <w:tc>
          <w:tcPr>
            <w:tcW w:w="1286" w:type="dxa"/>
            <w:tcBorders>
              <w:bottom w:val="single" w:sz="2" w:space="0" w:color="000000"/>
              <w:right w:val="single" w:sz="2" w:space="0" w:color="000000"/>
            </w:tcBorders>
            <w:vAlign w:val="bottom"/>
          </w:tcPr>
          <w:p>
            <w:pPr>
              <w:pStyle w:val="Normal"/>
              <w:tabs>
                <w:tab w:val="clear" w:pos="720"/>
              </w:tabs>
              <w:spacing w:before="60" w:after="100"/>
              <w:jc w:val="right"/>
              <w:rPr/>
            </w:pPr>
            <w:r>
              <w:rPr/>
              <w:t>15,933</w:t>
            </w:r>
          </w:p>
        </w:tc>
      </w:tr>
    </w:tbl>
    <w:p>
      <w:pPr>
        <w:pStyle w:val="Normal"/>
        <w:rPr/>
      </w:pPr>
      <w:r>
        <w:rPr/>
        <w:t xml:space="preserve">Nous en déduisons que l’architecture de notre processeur est </w:t>
      </w:r>
      <w:r>
        <w:rPr>
          <w:color w:val="000000"/>
          <w:highlight w:val="red"/>
          <w14:ligatures w14:val="all"/>
          <w14:numForm w14:val="lining"/>
          <w14:numSpacing w14:val="tabular"/>
        </w:rPr>
        <w:t>todo.</w:t>
      </w:r>
    </w:p>
    <w:p>
      <w:pPr>
        <w:pStyle w:val="Titre2"/>
        <w:numPr>
          <w:ilvl w:val="1"/>
          <w:numId w:val="2"/>
        </w:numPr>
        <w:ind w:left="0" w:hanging="284"/>
        <w:rPr/>
      </w:pPr>
      <w:r>
        <w:rPr/>
        <w:t>Exécution sur plusieurs tâches avec mutex</w:t>
      </w:r>
    </w:p>
    <w:p>
      <w:pPr>
        <w:pStyle w:val="Normal"/>
        <w:ind w:left="0" w:hanging="284"/>
        <w:rPr/>
      </w:pPr>
      <w:r>
        <w:rPr/>
        <w:t>Nous avons protégé le compteur avec un mutex, et la valeur du compteur est alors celle qui est attendue. En voici un exemple ci-dessous :</w:t>
      </w:r>
    </w:p>
    <w:p>
      <w:pPr>
        <w:pStyle w:val="Code"/>
        <w:rPr/>
      </w:pPr>
      <w:r>
        <w:rPr/>
        <w:t>nLoops = 10000000, nTasks = 5, protect = 1, schedPolicyInput = SCHED_RR</w:t>
      </w:r>
    </w:p>
    <w:p>
      <w:pPr>
        <w:pStyle w:val="Code"/>
        <w:rPr/>
      </w:pPr>
      <w:r>
        <w:rPr/>
        <w:t>counter = 5e+07</w:t>
      </w:r>
    </w:p>
    <w:p>
      <w:pPr>
        <w:pStyle w:val="Code"/>
        <w:rPr/>
      </w:pPr>
      <w:r>
        <w:rPr/>
        <w:t>time : 29,059909937s</w:t>
      </w:r>
    </w:p>
    <w:p>
      <w:pPr>
        <w:pStyle w:val="Normal"/>
        <w:ind w:left="0" w:hanging="284"/>
        <w:rPr/>
      </w:pPr>
      <w:r>
        <w:rPr/>
        <w:t>On peut remarquer en revanche que le temps d’exécution est très largement supérieur à ce qui a été observé à la question précédente. C’est dû au fait que les threads doivent maintenant attendre les uns sur les autres, au lieu de faire chacun leur tâche de leur côté.</w:t>
      </w:r>
    </w:p>
    <w:p>
      <w:pPr>
        <w:pStyle w:val="Titre1"/>
        <w:numPr>
          <w:ilvl w:val="0"/>
          <w:numId w:val="2"/>
        </w:numPr>
        <w:ind w:left="0" w:hanging="851"/>
        <w:rPr/>
      </w:pPr>
      <w:r>
        <w:rPr/>
        <w:t>Classes pour la gestion du temps</w:t>
      </w:r>
    </w:p>
    <w:p>
      <w:pPr>
        <w:pStyle w:val="Titre2"/>
        <w:numPr>
          <w:ilvl w:val="1"/>
          <w:numId w:val="2"/>
        </w:numPr>
        <w:ind w:left="0" w:hanging="284"/>
        <w:rPr/>
      </w:pPr>
      <w:r>
        <w:rPr/>
        <w:t>Classe Chrono</w:t>
      </w:r>
    </w:p>
    <w:p>
      <w:pPr>
        <w:pStyle w:val="Normal"/>
        <w:ind w:left="0" w:hanging="284"/>
        <w:rPr/>
      </w:pPr>
      <w:r>
        <w:rPr/>
        <w:t xml:space="preserve">Nous avons créé une classe </w:t>
      </w:r>
      <w:r>
        <w:rPr>
          <w:i/>
          <w:iCs/>
        </w:rPr>
        <w:t>Chrono</w:t>
      </w:r>
      <w:r>
        <w:rPr>
          <w:i w:val="false"/>
          <w:iCs w:val="false"/>
        </w:rPr>
        <w:t xml:space="preserve"> qui se comporte comme un chronomètre.</w:t>
      </w:r>
    </w:p>
    <w:p>
      <w:pPr>
        <w:pStyle w:val="Titre2"/>
        <w:numPr>
          <w:ilvl w:val="1"/>
          <w:numId w:val="2"/>
        </w:numPr>
        <w:ind w:left="0" w:hanging="284"/>
        <w:rPr/>
      </w:pPr>
      <w:r>
        <w:rPr/>
        <w:t>Classe Timer</w:t>
      </w:r>
    </w:p>
    <w:p>
      <w:pPr>
        <w:pStyle w:val="Normal"/>
        <w:ind w:left="0" w:hanging="284"/>
        <w:rPr/>
      </w:pPr>
      <w:r>
        <w:rPr/>
        <w:t xml:space="preserve">Dans les classes </w:t>
      </w:r>
      <w:r>
        <w:rPr>
          <w:i/>
          <w:iCs/>
        </w:rPr>
        <w:t>Timer</w:t>
      </w:r>
      <w:r>
        <w:rPr>
          <w:i w:val="false"/>
          <w:iCs w:val="false"/>
        </w:rPr>
        <w:t xml:space="preserve"> et </w:t>
      </w:r>
      <w:r>
        <w:rPr>
          <w:i/>
          <w:iCs/>
        </w:rPr>
        <w:t>PeriodicTimer</w:t>
      </w:r>
      <w:r>
        <w:rPr>
          <w:i w:val="false"/>
          <w:iCs w:val="false"/>
        </w:rPr>
        <w:t xml:space="preserve">, les constructeurs, destructeurs et méthodes </w:t>
      </w:r>
      <w:r>
        <w:rPr>
          <w:i/>
          <w:iCs/>
        </w:rPr>
        <w:t>start</w:t>
      </w:r>
      <w:r>
        <w:rPr>
          <w:i w:val="false"/>
          <w:iCs w:val="false"/>
        </w:rPr>
        <w:t xml:space="preserve"> et </w:t>
      </w:r>
      <w:r>
        <w:rPr>
          <w:i/>
          <w:iCs/>
        </w:rPr>
        <w:t>stop</w:t>
      </w:r>
      <w:r>
        <w:rPr>
          <w:i w:val="false"/>
          <w:iCs w:val="false"/>
        </w:rPr>
        <w:t xml:space="preserve"> sont publiques parce que n’importe quel programme peut créer un timer, le démarrer et l’arrêter. </w:t>
      </w:r>
    </w:p>
    <w:p>
      <w:pPr>
        <w:pStyle w:val="Normal"/>
        <w:ind w:left="0" w:hanging="284"/>
        <w:rPr/>
      </w:pPr>
      <w:r>
        <w:rPr>
          <w:i w:val="false"/>
          <w:iCs w:val="false"/>
        </w:rPr>
        <w:t xml:space="preserve">En revanche, la fonction </w:t>
      </w:r>
      <w:r>
        <w:rPr>
          <w:i/>
          <w:iCs/>
        </w:rPr>
        <w:t>callback</w:t>
      </w:r>
      <w:r>
        <w:rPr>
          <w:i w:val="false"/>
          <w:iCs w:val="false"/>
        </w:rPr>
        <w:t xml:space="preserve"> est protégée parce que les programmes extérieurs n’ont pas à y avoir accès puisque son appel est géré quand le timer se termine, mais les classes qui en dérivent doivent l’implémenter.</w:t>
      </w:r>
    </w:p>
    <w:p>
      <w:pPr>
        <w:pStyle w:val="Normal"/>
        <w:ind w:left="0" w:hanging="284"/>
        <w:rPr/>
      </w:pPr>
      <w:r>
        <w:rPr>
          <w:i w:val="false"/>
          <w:iCs w:val="false"/>
        </w:rPr>
        <w:t xml:space="preserve">La fonction </w:t>
      </w:r>
      <w:r>
        <w:rPr>
          <w:i/>
          <w:iCs/>
        </w:rPr>
        <w:t>call_callback</w:t>
      </w:r>
      <w:r>
        <w:rPr>
          <w:i w:val="false"/>
          <w:iCs w:val="false"/>
        </w:rPr>
        <w:t xml:space="preserve"> est privée parce qu’elle est appelée uniquement par une instance de </w:t>
      </w:r>
      <w:r>
        <w:rPr>
          <w:i/>
          <w:iCs/>
        </w:rPr>
        <w:t>Timer</w:t>
      </w:r>
      <w:r>
        <w:rPr>
          <w:i w:val="false"/>
          <w:iCs w:val="false"/>
        </w:rPr>
        <w:t xml:space="preserve"> elle-même, au moment où le timer se termine.</w:t>
      </w:r>
    </w:p>
    <w:p>
      <w:pPr>
        <w:pStyle w:val="Normal"/>
        <w:ind w:left="0" w:hanging="284"/>
        <w:rPr>
          <w:highlight w:val="red"/>
          <w14:ligatures w14:val="all"/>
          <w14:numForm w14:val="lining"/>
          <w14:numSpacing w14:val="tabular"/>
        </w:rPr>
      </w:pPr>
      <w:r>
        <w:rPr>
          <w:i w:val="false"/>
          <w:iCs w:val="false"/>
          <w:highlight w:val="red"/>
          <w14:ligatures w14:val="all"/>
          <w14:numForm w14:val="lining"/>
          <w14:numSpacing w14:val="tabular"/>
        </w:rPr>
        <w:t>Todo : pourquoi timer_t tid est protégé</w:t>
      </w:r>
    </w:p>
    <w:p>
      <w:pPr>
        <w:pStyle w:val="Normal"/>
        <w:ind w:left="0" w:hanging="284"/>
        <w:rPr>
          <w:i w:val="false"/>
          <w:i w:val="false"/>
          <w:iCs w:val="false"/>
        </w:rPr>
      </w:pPr>
      <w:r>
        <w:rPr/>
      </w:r>
    </w:p>
    <w:p>
      <w:pPr>
        <w:pStyle w:val="Normal"/>
        <w:ind w:left="0" w:hanging="284"/>
        <w:rPr/>
      </w:pPr>
      <w:r>
        <w:rPr>
          <w:i w:val="false"/>
          <w:iCs w:val="false"/>
        </w:rPr>
        <w:t xml:space="preserve">La méthode </w:t>
      </w:r>
      <w:r>
        <w:rPr>
          <w:i/>
          <w:iCs/>
        </w:rPr>
        <w:t>call_callback</w:t>
      </w:r>
      <w:r>
        <w:rPr>
          <w:i w:val="false"/>
          <w:iCs w:val="false"/>
        </w:rPr>
        <w:t xml:space="preserve"> sert à appeler la fonction à exécuter quand le timer se termine. Dans le lancement d’un timer posix, la fonction qui est appelée lorsque le timer se termine a des arguments précis, donc faire une fonction </w:t>
      </w:r>
      <w:r>
        <w:rPr>
          <w:i/>
          <w:iCs/>
        </w:rPr>
        <w:t>call_callback</w:t>
      </w:r>
      <w:r>
        <w:rPr>
          <w:i w:val="false"/>
          <w:iCs w:val="false"/>
        </w:rPr>
        <w:t xml:space="preserve"> permet plus de libertés sur la « vraie » fonction </w:t>
      </w:r>
      <w:r>
        <w:rPr>
          <w:i/>
          <w:iCs/>
        </w:rPr>
        <w:t>callback</w:t>
      </w:r>
      <w:r>
        <w:rPr>
          <w:i w:val="false"/>
          <w:iCs w:val="false"/>
        </w:rPr>
        <w:t>. Elle est statique parce que dans les arguments de cette fonction il ne peut pas y avoir de type Timer en premier argument.</w:t>
      </w:r>
    </w:p>
    <w:p>
      <w:pPr>
        <w:pStyle w:val="Normal"/>
        <w:ind w:left="0" w:hanging="284"/>
        <w:rPr>
          <w:i w:val="false"/>
          <w:i w:val="false"/>
          <w:iCs w:val="false"/>
        </w:rPr>
      </w:pPr>
      <w:r>
        <w:rPr/>
      </w:r>
    </w:p>
    <w:p>
      <w:pPr>
        <w:pStyle w:val="Normal"/>
        <w:ind w:left="0" w:hanging="284"/>
        <w:rPr/>
      </w:pPr>
      <w:r>
        <w:rPr>
          <w:i w:val="false"/>
          <w:iCs w:val="false"/>
        </w:rPr>
        <w:t xml:space="preserve">La fonction </w:t>
      </w:r>
      <w:r>
        <w:rPr>
          <w:i/>
          <w:iCs/>
        </w:rPr>
        <w:t>callback</w:t>
      </w:r>
      <w:r>
        <w:rPr>
          <w:i w:val="false"/>
          <w:iCs w:val="false"/>
        </w:rPr>
        <w:t xml:space="preserve"> doit être définie comme virtuelle puisque chaque classe qui en hérite doit définir quelles actions sont souhaitées lorsque le timer se termine.</w:t>
      </w:r>
    </w:p>
    <w:p>
      <w:pPr>
        <w:pStyle w:val="Titre2"/>
        <w:numPr>
          <w:ilvl w:val="1"/>
          <w:numId w:val="2"/>
        </w:numPr>
        <w:ind w:left="0" w:hanging="284"/>
        <w:rPr/>
      </w:pPr>
      <w:r>
        <w:rPr/>
        <w:t>Calibration en temps d’une boucle</w:t>
      </w:r>
    </w:p>
    <w:p>
      <w:pPr>
        <w:pStyle w:val="Normal"/>
        <w:ind w:left="0" w:hanging="284"/>
        <w:rPr/>
      </w:pPr>
      <w:r>
        <w:rPr/>
        <w:t xml:space="preserve">Nous avons implémenté les classes </w:t>
      </w:r>
      <w:r>
        <w:rPr>
          <w:i/>
          <w:iCs/>
        </w:rPr>
        <w:t>Looper</w:t>
      </w:r>
      <w:r>
        <w:rPr>
          <w:i w:val="false"/>
          <w:iCs w:val="false"/>
        </w:rPr>
        <w:t xml:space="preserve">, </w:t>
      </w:r>
      <w:r>
        <w:rPr>
          <w:i/>
          <w:iCs/>
        </w:rPr>
        <w:t>Calibrator</w:t>
      </w:r>
      <w:r>
        <w:rPr>
          <w:i w:val="false"/>
          <w:iCs w:val="false"/>
        </w:rPr>
        <w:t xml:space="preserve"> et </w:t>
      </w:r>
      <w:r>
        <w:rPr>
          <w:i/>
          <w:iCs/>
        </w:rPr>
        <w:t>CpuLoop</w:t>
      </w:r>
      <w:r>
        <w:rPr>
          <w:i w:val="false"/>
          <w:iCs w:val="false"/>
        </w:rPr>
        <w:t xml:space="preserve">, et nous les avons testées grâce à la classe </w:t>
      </w:r>
      <w:r>
        <w:rPr>
          <w:i/>
          <w:iCs/>
        </w:rPr>
        <w:t>Chrono</w:t>
      </w:r>
      <w:r>
        <w:rPr>
          <w:i w:val="false"/>
          <w:iCs w:val="false"/>
        </w:rPr>
        <w:t xml:space="preserve">. </w:t>
      </w:r>
    </w:p>
    <w:p>
      <w:pPr>
        <w:pStyle w:val="Titre1"/>
        <w:numPr>
          <w:ilvl w:val="0"/>
          <w:numId w:val="2"/>
        </w:numPr>
        <w:ind w:left="0" w:hanging="851"/>
        <w:rPr/>
      </w:pPr>
      <w:r>
        <w:rPr/>
        <w:t>Classes de base pour la programmation multitâche</w:t>
      </w:r>
    </w:p>
    <w:p>
      <w:pPr>
        <w:pStyle w:val="Titre2"/>
        <w:numPr>
          <w:ilvl w:val="1"/>
          <w:numId w:val="2"/>
        </w:numPr>
        <w:ind w:left="0" w:hanging="284"/>
        <w:rPr/>
      </w:pPr>
      <w:r>
        <w:rPr/>
        <w:t>Classe Thread</w:t>
      </w:r>
    </w:p>
    <w:p>
      <w:pPr>
        <w:pStyle w:val="Normal"/>
        <w:ind w:left="0" w:hanging="284"/>
        <w:rPr/>
      </w:pPr>
      <w:r>
        <w:rPr/>
        <w:t xml:space="preserve">Nous avons implémenté les classes </w:t>
      </w:r>
      <w:r>
        <w:rPr>
          <w:i/>
          <w:iCs/>
        </w:rPr>
        <w:t>PosixThread</w:t>
      </w:r>
      <w:r>
        <w:rPr>
          <w:i w:val="false"/>
          <w:iCs w:val="false"/>
        </w:rPr>
        <w:t xml:space="preserve"> et </w:t>
      </w:r>
      <w:r>
        <w:rPr>
          <w:i/>
          <w:iCs/>
        </w:rPr>
        <w:t>Thread</w:t>
      </w:r>
      <w:r>
        <w:rPr>
          <w:i w:val="false"/>
          <w:iCs w:val="false"/>
        </w:rPr>
        <w:t xml:space="preserve"> encapsulant les fonctions de gestion de thread Posix.</w:t>
      </w:r>
    </w:p>
    <w:p>
      <w:pPr>
        <w:pStyle w:val="Normal"/>
        <w:ind w:left="0" w:hanging="284"/>
        <w:rPr/>
      </w:pPr>
      <w:r>
        <w:rPr>
          <w:i w:val="false"/>
          <w:iCs w:val="false"/>
        </w:rPr>
        <w:t xml:space="preserve">Pour les tester, nous avons implémenté la class </w:t>
      </w:r>
      <w:r>
        <w:rPr>
          <w:i/>
          <w:iCs/>
        </w:rPr>
        <w:t>ThreadIncr</w:t>
      </w:r>
      <w:r>
        <w:rPr>
          <w:i w:val="false"/>
          <w:iCs w:val="false"/>
        </w:rPr>
        <w:t xml:space="preserve"> qui incrémente un compteur. Nous retrouvons les mêmes problèmes de compteur qu’au TP2a, ce qui est normal.</w:t>
      </w:r>
    </w:p>
    <w:p>
      <w:pPr>
        <w:pStyle w:val="Code"/>
        <w:rPr/>
      </w:pPr>
      <w:r>
        <w:rPr/>
        <w:t xml:space="preserve">$ </w:t>
      </w:r>
      <w:r>
        <w:rPr/>
        <w:t>./td4a.out 10000000 5</w:t>
      </w:r>
    </w:p>
    <w:p>
      <w:pPr>
        <w:pStyle w:val="Code"/>
        <w:rPr/>
      </w:pPr>
      <w:r>
        <w:rPr/>
        <w:t>counter = 1.25398e+07</w:t>
      </w:r>
    </w:p>
    <w:p>
      <w:pPr>
        <w:pStyle w:val="Normal"/>
        <w:ind w:left="0" w:hanging="284"/>
        <w:rPr>
          <w:i w:val="false"/>
          <w:i w:val="false"/>
          <w:iCs w:val="false"/>
        </w:rPr>
      </w:pPr>
      <w:r>
        <w:rPr/>
      </w:r>
    </w:p>
    <w:p>
      <w:pPr>
        <w:pStyle w:val="Normal"/>
        <w:ind w:left="0" w:hanging="284"/>
        <w:rPr>
          <w:highlight w:val="red"/>
          <w14:ligatures w14:val="all"/>
          <w14:numForm w14:val="lining"/>
          <w14:numSpacing w14:val="tabular"/>
        </w:rPr>
      </w:pPr>
      <w:r>
        <w:rPr>
          <w:i w:val="false"/>
          <w:iCs w:val="false"/>
          <w:highlight w:val="red"/>
          <w14:ligatures w14:val="all"/>
          <w14:numForm w14:val="lining"/>
          <w14:numSpacing w14:val="tabular"/>
        </w:rPr>
        <w:t xml:space="preserve">Todo : </w:t>
      </w:r>
      <w:r>
        <w:rPr>
          <w:i/>
          <w:iCs/>
          <w:highlight w:val="red"/>
          <w14:ligatures w14:val="all"/>
          <w14:numForm w14:val="lining"/>
          <w14:numSpacing w14:val="tabular"/>
        </w:rPr>
        <w:t>Imaginez...</w:t>
      </w:r>
    </w:p>
    <w:p>
      <w:pPr>
        <w:pStyle w:val="Titre2"/>
        <w:numPr>
          <w:ilvl w:val="1"/>
          <w:numId w:val="2"/>
        </w:numPr>
        <w:ind w:left="0" w:hanging="284"/>
        <w:rPr/>
      </w:pPr>
      <w:r>
        <w:rPr/>
        <w:t>Classes Mutex et Mutex::Lock</w:t>
      </w:r>
    </w:p>
    <w:p>
      <w:pPr>
        <w:pStyle w:val="Normal"/>
        <w:ind w:left="-284" w:hanging="0"/>
        <w:rPr/>
      </w:pPr>
      <w:r>
        <w:rPr/>
        <w:t xml:space="preserve">Nous avons implémenté </w:t>
      </w:r>
      <w:r>
        <w:rPr>
          <w:i/>
          <w:iCs/>
        </w:rPr>
        <w:t>Mutex</w:t>
      </w:r>
      <w:r>
        <w:rPr>
          <w:i w:val="false"/>
          <w:iCs w:val="false"/>
        </w:rPr>
        <w:t xml:space="preserve">, </w:t>
      </w:r>
      <w:r>
        <w:rPr>
          <w:i/>
          <w:iCs/>
        </w:rPr>
        <w:t>Mutex::Monitor, Mutex::Lock</w:t>
      </w:r>
      <w:r>
        <w:rPr>
          <w:i w:val="false"/>
          <w:iCs w:val="false"/>
        </w:rPr>
        <w:t xml:space="preserve"> et </w:t>
      </w:r>
      <w:r>
        <w:rPr>
          <w:i/>
          <w:iCs/>
        </w:rPr>
        <w:t>Mutex::TryLock</w:t>
      </w:r>
      <w:r>
        <w:rPr>
          <w:i w:val="false"/>
          <w:iCs w:val="false"/>
        </w:rPr>
        <w:t xml:space="preserve">. Pour les tester, nous avons réutilisé la même classe </w:t>
      </w:r>
      <w:r>
        <w:rPr>
          <w:i/>
          <w:iCs/>
        </w:rPr>
        <w:t>ThreadIncr</w:t>
      </w:r>
      <w:r>
        <w:rPr>
          <w:i w:val="false"/>
          <w:iCs w:val="false"/>
        </w:rPr>
        <w:t xml:space="preserve"> qu’à la question précédente, agrémentée d’un mutex. Et cela résout les problèmes de compteur, comme au TP2c : </w:t>
      </w:r>
    </w:p>
    <w:p>
      <w:pPr>
        <w:pStyle w:val="Code"/>
        <w:rPr/>
      </w:pPr>
      <w:r>
        <w:rPr/>
        <w:t xml:space="preserve">$ </w:t>
      </w:r>
      <w:r>
        <w:rPr/>
        <w:t>./td4b.out 10000000 5</w:t>
      </w:r>
    </w:p>
    <w:p>
      <w:pPr>
        <w:pStyle w:val="Code"/>
        <w:rPr/>
      </w:pPr>
      <w:r>
        <w:rPr/>
        <w:t>counter = 5e+07</w:t>
      </w:r>
    </w:p>
    <w:p>
      <w:pPr>
        <w:pStyle w:val="Titre2"/>
        <w:numPr>
          <w:ilvl w:val="1"/>
          <w:numId w:val="2"/>
        </w:numPr>
        <w:ind w:left="0" w:hanging="284"/>
        <w:rPr/>
      </w:pPr>
      <w:r>
        <w:rPr/>
        <w:t>Classe Semaphore</w:t>
      </w:r>
    </w:p>
    <w:p>
      <w:pPr>
        <w:pStyle w:val="Titre2"/>
        <w:numPr>
          <w:ilvl w:val="1"/>
          <w:numId w:val="2"/>
        </w:numPr>
        <w:ind w:left="0" w:hanging="284"/>
        <w:rPr/>
      </w:pPr>
      <w:r>
        <w:rPr/>
        <w:t>Classe Fifo multitâches</w:t>
      </w:r>
    </w:p>
    <w:p>
      <w:pPr>
        <w:pStyle w:val="Titre1"/>
        <w:numPr>
          <w:ilvl w:val="0"/>
          <w:numId w:val="2"/>
        </w:numPr>
        <w:ind w:left="0" w:hanging="851"/>
        <w:rPr/>
      </w:pPr>
      <w:r>
        <w:rPr/>
        <w:t>Inversion de priorité</w:t>
      </w:r>
    </w:p>
    <w:p>
      <w:pPr>
        <w:pStyle w:val="Normal"/>
        <w:widowControl/>
        <w:bidi w:val="0"/>
        <w:spacing w:lineRule="auto" w:line="276" w:before="60" w:after="100"/>
        <w:jc w:val="both"/>
        <w:rPr/>
      </w:pPr>
      <w:r>
        <w:rPr/>
      </w:r>
    </w:p>
    <w:sectPr>
      <w:footerReference w:type="default" r:id="rId2"/>
      <w:type w:val="nextPage"/>
      <w:pgSz w:w="11906" w:h="16838"/>
      <w:pgMar w:left="2381" w:right="2098" w:header="0" w:top="1418" w:footer="709"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font>
  <w:font w:name="Charter">
    <w:charset w:val="01"/>
    <w:family w:val="roman"/>
    <w:pitch w:val="variable"/>
    <w:embedRegular r:id="rId6" w:fontKey="{06014A78-CABC-4EF0-12AC-5CD89AEFDE06}"/>
  </w:font>
  <w:font w:name="Fira Sans">
    <w:charset w:val="01"/>
    <w:family w:val="roman"/>
    <w:pitch w:val="variable"/>
    <w:embedRegular r:id="rId7" w:fontKey="{07014A78-CABC-4EF0-12AC-5CD89AEFDE07}"/>
    <w:embedItalic r:id="rId8" w:fontKey="{08014A78-CABC-4EF0-12AC-5CD89AEFDE08}"/>
  </w:font>
  <w:font w:name="Fira Sans Medium">
    <w:charset w:val="01"/>
    <w:family w:val="roman"/>
    <w:pitch w:val="variable"/>
  </w:font>
  <w:font w:name="Liberation Sans">
    <w:altName w:val="Arial"/>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Fira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lang w:val="en-US"/>
      </w:rPr>
    </w:pPr>
    <w:sdt>
      <w:sdtPr>
        <w:text/>
        <w:dataBinding w:prefixMappings="xmlns:ns0='http://purl.org/dc/elements/1.1/' xmlns:ns1='http://schemas.openxmlformats.org/package/2006/metadata/core-properties' " w:xpath="/ns1:coreProperties[1]/ns0:title[1]" w:storeItemID="{6C3C8BC8-F283-45AE-878A-BAB7291924A1}"/>
        <w:alias w:val="Titre "/>
      </w:sdtPr>
      <w:sdtContent>
        <w:r>
          <w:rPr>
            <w:lang w:val="en-US"/>
          </w:rPr>
          <w:t xml:space="preserve">Rapport ENSTA 2021 – ROB305 – </w:t>
        </w:r>
        <w:r>
          <w:rPr>
            <w:lang w:val="en-US"/>
          </w:rPr>
          <w:t>Iad Abdul-Raouf et Madeleine Becker</w:t>
          <w:tab/>
        </w:r>
        <w:r>
          <w:rPr/>
          <w:fldChar w:fldCharType="begin"/>
        </w:r>
        <w:r>
          <w:rPr/>
          <w:instrText> PAGE </w:instrText>
        </w:r>
        <w:r>
          <w:rPr/>
          <w:fldChar w:fldCharType="separate"/>
        </w:r>
        <w:r>
          <w:rPr/>
          <w:t>2</w:t>
        </w:r>
        <w:r>
          <w:rPr/>
          <w:fldChar w:fldCharType="end"/>
        </w:r>
        <w:r>
          <w:rPr>
            <w:lang w:val="en-US"/>
          </w:rPr>
          <w:t>/</w:t>
        </w:r>
        <w:r>
          <w:rPr/>
          <w:fldChar w:fldCharType="begin"/>
        </w:r>
        <w:r>
          <w:rPr/>
          <w:instrText> NUMPAGES </w:instrText>
        </w:r>
        <w:r>
          <w:rPr/>
          <w:fldChar w:fldCharType="separate"/>
        </w:r>
        <w:r>
          <w:rPr/>
          <w:t>3</w:t>
        </w:r>
        <w:r>
          <w:rPr/>
          <w:fldChar w:fldCharType="end"/>
        </w:r>
      </w:sdtContent>
    </w:sdt>
  </w:p>
  <w:p>
    <w:pPr>
      <w:pStyle w:val="Pieddepage"/>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TD-%1]"/>
      <w:lvlJc w:val="left"/>
      <w:pPr>
        <w:tabs>
          <w:tab w:val="num" w:pos="0"/>
        </w:tabs>
        <w:ind w:left="360" w:hanging="360"/>
      </w:pPr>
    </w:lvl>
    <w:lvl w:ilvl="1">
      <w:start w:val="1"/>
      <w:pStyle w:val="Titre2"/>
      <w:numFmt w:val="lowerLetter"/>
      <w:lvlText w:val="%2)"/>
      <w:lvlJc w:val="left"/>
      <w:pPr>
        <w:tabs>
          <w:tab w:val="num" w:pos="0"/>
        </w:tabs>
        <w:ind w:left="720" w:hanging="36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TD-%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68"/>
  <w:embedTrueTypeFont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aa3"/>
    <w:pPr>
      <w:widowControl/>
      <w:suppressAutoHyphens w:val="true"/>
      <w:bidi w:val="0"/>
      <w:spacing w:lineRule="auto" w:line="276" w:before="60" w:after="100"/>
      <w:jc w:val="both"/>
    </w:pPr>
    <w:rPr>
      <w:rFonts w:ascii="Charter" w:hAnsi="Charter" w:eastAsia="Calibri" w:cs="Arial"/>
      <w:color w:val="auto"/>
      <w:kern w:val="0"/>
      <w:sz w:val="19"/>
      <w:szCs w:val="19"/>
      <w:lang w:val="fr-FR" w:eastAsia="en-US" w:bidi="ar-SA"/>
      <w14:ligatures w14:val="all"/>
      <w14:numForm w14:val="lining"/>
      <w14:numSpacing w14:val="tabular"/>
    </w:rPr>
  </w:style>
  <w:style w:type="paragraph" w:styleId="Titre1">
    <w:name w:val="Heading 1"/>
    <w:basedOn w:val="Normal"/>
    <w:next w:val="Normal"/>
    <w:link w:val="Heading1Char"/>
    <w:uiPriority w:val="9"/>
    <w:qFormat/>
    <w:rsid w:val="00347aa3"/>
    <w:pPr>
      <w:keepNext w:val="true"/>
      <w:keepLines/>
      <w:numPr>
        <w:ilvl w:val="0"/>
        <w:numId w:val="1"/>
      </w:numPr>
      <w:spacing w:before="360" w:after="0"/>
      <w:ind w:left="0" w:hanging="851"/>
      <w:outlineLvl w:val="0"/>
    </w:pPr>
    <w:rPr>
      <w:rFonts w:ascii="Fira Sans" w:hAnsi="Fira Sans" w:eastAsia="" w:cs="" w:cstheme="majorBidi" w:eastAsiaTheme="majorEastAsia"/>
      <w:color w:val="1F4E79" w:themeColor="accent1" w:themeShade="80"/>
      <w:spacing w:val="-12"/>
      <w:sz w:val="22"/>
      <w:szCs w:val="22"/>
    </w:rPr>
  </w:style>
  <w:style w:type="paragraph" w:styleId="Titre2">
    <w:name w:val="Heading 2"/>
    <w:basedOn w:val="Normal"/>
    <w:next w:val="Normal"/>
    <w:link w:val="Heading2Char"/>
    <w:uiPriority w:val="9"/>
    <w:unhideWhenUsed/>
    <w:qFormat/>
    <w:rsid w:val="00347aa3"/>
    <w:pPr>
      <w:keepNext w:val="true"/>
      <w:keepLines/>
      <w:numPr>
        <w:ilvl w:val="1"/>
        <w:numId w:val="1"/>
      </w:numPr>
      <w:spacing w:before="240" w:after="0"/>
      <w:ind w:left="0" w:hanging="284"/>
      <w:outlineLvl w:val="1"/>
    </w:pPr>
    <w:rPr>
      <w:rFonts w:ascii="Fira Sans" w:hAnsi="Fira Sans" w:eastAsia="" w:cs="" w:cstheme="majorBidi" w:eastAsiaTheme="majorEastAsia"/>
      <w:color w:val="2F5496" w:themeColor="accent5" w:themeShade="bf"/>
      <w:spacing w:val="-10"/>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47aa3"/>
    <w:rPr>
      <w:rFonts w:ascii="Fira Sans" w:hAnsi="Fira Sans" w:eastAsia="" w:cs="" w:cstheme="majorBidi" w:eastAsiaTheme="majorEastAsia"/>
      <w:color w:val="1F4E79" w:themeColor="accent1" w:themeShade="80"/>
      <w:spacing w:val="-12"/>
    </w:rPr>
  </w:style>
  <w:style w:type="character" w:styleId="Heading2Char" w:customStyle="1">
    <w:name w:val="Heading 2 Char"/>
    <w:basedOn w:val="DefaultParagraphFont"/>
    <w:link w:val="Heading2"/>
    <w:uiPriority w:val="9"/>
    <w:qFormat/>
    <w:rsid w:val="00347aa3"/>
    <w:rPr>
      <w:rFonts w:ascii="Fira Sans" w:hAnsi="Fira Sans" w:eastAsia="" w:cs="" w:cstheme="majorBidi" w:eastAsiaTheme="majorEastAsia"/>
      <w:color w:val="2F5496" w:themeColor="accent5" w:themeShade="bf"/>
      <w:spacing w:val="-10"/>
      <w:sz w:val="20"/>
      <w:szCs w:val="20"/>
      <w14:ligatures w14:val="all"/>
    </w:rPr>
  </w:style>
  <w:style w:type="character" w:styleId="TitleChar" w:customStyle="1">
    <w:name w:val="Title Char"/>
    <w:basedOn w:val="DefaultParagraphFont"/>
    <w:link w:val="Title"/>
    <w:uiPriority w:val="10"/>
    <w:qFormat/>
    <w:rsid w:val="002217e2"/>
    <w:rPr>
      <w:rFonts w:ascii="Fira Sans Medium" w:hAnsi="Fira Sans Medium" w:eastAsia="" w:cs="" w:cstheme="majorBidi" w:eastAsiaTheme="majorEastAsia"/>
      <w:color w:val="1F4E79" w:themeColor="accent1" w:themeShade="80"/>
      <w:kern w:val="2"/>
      <w:sz w:val="28"/>
      <w:szCs w:val="28"/>
      <w:shd w:fill="FBE4D5" w:val="clear"/>
      <w:lang w:val="en-US"/>
    </w:rPr>
  </w:style>
  <w:style w:type="character" w:styleId="Accentuation">
    <w:name w:val="Accentuation"/>
    <w:basedOn w:val="DefaultParagraphFont"/>
    <w:uiPriority w:val="20"/>
    <w:qFormat/>
    <w:rsid w:val="00e15bea"/>
    <w:rPr>
      <w:i/>
      <w:iCs/>
    </w:rPr>
  </w:style>
  <w:style w:type="character" w:styleId="SubtleEmphasis">
    <w:name w:val="Subtle Emphasis"/>
    <w:basedOn w:val="DefaultParagraphFont"/>
    <w:uiPriority w:val="19"/>
    <w:qFormat/>
    <w:rsid w:val="00e15bea"/>
    <w:rPr>
      <w:i/>
      <w:iCs/>
      <w:color w:val="404040" w:themeColor="text1" w:themeTint="bf"/>
    </w:rPr>
  </w:style>
  <w:style w:type="character" w:styleId="HeaderChar" w:customStyle="1">
    <w:name w:val="Header Char"/>
    <w:basedOn w:val="DefaultParagraphFont"/>
    <w:link w:val="Header"/>
    <w:uiPriority w:val="99"/>
    <w:qFormat/>
    <w:rsid w:val="005a7896"/>
    <w:rPr>
      <w:rFonts w:ascii="Charter" w:hAnsi="Charter"/>
      <w:sz w:val="19"/>
      <w:szCs w:val="19"/>
    </w:rPr>
  </w:style>
  <w:style w:type="character" w:styleId="FooterChar" w:customStyle="1">
    <w:name w:val="Footer Char"/>
    <w:basedOn w:val="DefaultParagraphFont"/>
    <w:link w:val="Footer"/>
    <w:uiPriority w:val="99"/>
    <w:qFormat/>
    <w:rsid w:val="005a7896"/>
    <w:rPr>
      <w:rFonts w:ascii="Charter" w:hAnsi="Charter"/>
      <w:color w:val="1F4E79" w:themeColor="accent1" w:themeShade="80"/>
      <w:sz w:val="17"/>
      <w:szCs w:val="17"/>
    </w:rPr>
  </w:style>
  <w:style w:type="character" w:styleId="PlaceholderText">
    <w:name w:val="Placeholder Text"/>
    <w:basedOn w:val="DefaultParagraphFont"/>
    <w:uiPriority w:val="99"/>
    <w:semiHidden/>
    <w:qFormat/>
    <w:rsid w:val="005a7896"/>
    <w:rPr>
      <w:color w:val="808080"/>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leChar"/>
    <w:uiPriority w:val="10"/>
    <w:qFormat/>
    <w:rsid w:val="002217e2"/>
    <w:pPr>
      <w:shd w:val="clear" w:color="auto" w:fill="FBE4D5" w:themeFill="accent2" w:themeFillTint="33"/>
      <w:spacing w:before="0" w:after="360"/>
      <w:jc w:val="center"/>
    </w:pPr>
    <w:rPr>
      <w:rFonts w:ascii="Fira Sans Medium" w:hAnsi="Fira Sans Medium" w:eastAsia="" w:cs="" w:cstheme="majorBidi" w:eastAsiaTheme="majorEastAsia"/>
      <w:color w:val="1F4E79" w:themeColor="accent1" w:themeShade="80"/>
      <w:kern w:val="2"/>
      <w:sz w:val="28"/>
      <w:szCs w:val="28"/>
      <w:lang w:val="en-US"/>
    </w:rPr>
  </w:style>
  <w:style w:type="paragraph" w:styleId="Entteetpieddepage">
    <w:name w:val="En-tête et pied de page"/>
    <w:basedOn w:val="Normal"/>
    <w:qFormat/>
    <w:pPr/>
    <w:rPr/>
  </w:style>
  <w:style w:type="paragraph" w:styleId="Entte">
    <w:name w:val="Header"/>
    <w:basedOn w:val="Normal"/>
    <w:link w:val="HeaderChar"/>
    <w:uiPriority w:val="99"/>
    <w:unhideWhenUsed/>
    <w:rsid w:val="005a7896"/>
    <w:pPr>
      <w:tabs>
        <w:tab w:val="clear" w:pos="720"/>
        <w:tab w:val="center" w:pos="4703" w:leader="none"/>
        <w:tab w:val="right" w:pos="9406" w:leader="none"/>
      </w:tabs>
      <w:spacing w:lineRule="auto" w:line="240" w:before="0" w:after="0"/>
    </w:pPr>
    <w:rPr/>
  </w:style>
  <w:style w:type="paragraph" w:styleId="Pieddepage">
    <w:name w:val="Footer"/>
    <w:basedOn w:val="Normal"/>
    <w:link w:val="FooterChar"/>
    <w:uiPriority w:val="99"/>
    <w:unhideWhenUsed/>
    <w:rsid w:val="005a7896"/>
    <w:pPr>
      <w:tabs>
        <w:tab w:val="clear" w:pos="720"/>
        <w:tab w:val="center" w:pos="4703" w:leader="none"/>
        <w:tab w:val="right" w:pos="9406" w:leader="none"/>
      </w:tabs>
      <w:spacing w:lineRule="auto" w:line="240" w:before="0" w:after="0"/>
    </w:pPr>
    <w:rPr>
      <w:color w:val="1F4E79" w:themeColor="accent1" w:themeShade="80"/>
      <w:sz w:val="17"/>
      <w:szCs w:val="17"/>
    </w:rPr>
  </w:style>
  <w:style w:type="paragraph" w:styleId="Code" w:customStyle="1">
    <w:name w:val="Code"/>
    <w:basedOn w:val="Normal"/>
    <w:qFormat/>
    <w:rsid w:val="002217e2"/>
    <w:pPr>
      <w:keepNext w:val="true"/>
      <w:keepLines/>
      <w:pBdr>
        <w:top w:val="single" w:sz="4" w:space="3" w:color="2E74B5"/>
        <w:left w:val="single" w:sz="4" w:space="4" w:color="2E74B5"/>
        <w:bottom w:val="single" w:sz="4" w:space="3" w:color="2E74B5"/>
        <w:right w:val="single" w:sz="4" w:space="4" w:color="2E74B5"/>
      </w:pBdr>
      <w:shd w:val="clear" w:color="auto" w:fill="ECF1F8"/>
      <w:tabs>
        <w:tab w:val="clear" w:pos="720"/>
        <w:tab w:val="left" w:pos="426" w:leader="none"/>
        <w:tab w:val="left" w:pos="851" w:leader="none"/>
        <w:tab w:val="left" w:pos="1276" w:leader="none"/>
        <w:tab w:val="left" w:pos="1701" w:leader="none"/>
        <w:tab w:val="left" w:pos="2127" w:leader="none"/>
        <w:tab w:val="left" w:pos="2552" w:leader="none"/>
        <w:tab w:val="left" w:pos="2977" w:leader="none"/>
        <w:tab w:val="left" w:pos="3402" w:leader="none"/>
        <w:tab w:val="left" w:pos="3828" w:leader="none"/>
        <w:tab w:val="left" w:pos="4253" w:leader="none"/>
        <w:tab w:val="left" w:pos="4678" w:leader="none"/>
        <w:tab w:val="left" w:pos="5103" w:leader="none"/>
        <w:tab w:val="left" w:pos="5529" w:leader="none"/>
        <w:tab w:val="left" w:pos="5954" w:leader="none"/>
        <w:tab w:val="left" w:pos="6379" w:leader="none"/>
        <w:tab w:val="left" w:pos="6804" w:leader="none"/>
      </w:tabs>
      <w:spacing w:lineRule="auto" w:line="240" w:before="120" w:after="120"/>
      <w:ind w:right="57" w:hanging="0"/>
      <w:contextualSpacing/>
      <w:jc w:val="left"/>
    </w:pPr>
    <w:rPr>
      <w:rFonts w:ascii="Fira Mono" w:hAnsi="Fira Mono"/>
      <w:color w:val="660033"/>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glossaryDocument" Target="glossary/document.xml"/><Relationship Id="rId8" Type="http://schemas.openxmlformats.org/officeDocument/2006/relationships/customXml" Target="../customXml/item1.xml"/><Relationship Id="rId9" Type="http://schemas.openxmlformats.org/officeDocument/2006/relationships/customXml" Target="../customXml/item2.xml"/><Relationship Id="rId10" Type="http://schemas.openxmlformats.org/officeDocument/2006/relationships/customXml" Target="../customXml/item3.xml"/><Relationship Id="rId11"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F7E42F1F6E44EE294A24C2C6999EF29"/>
        <w:category>
          <w:name w:val="General"/>
          <w:gallery w:val="placeholder"/>
        </w:category>
        <w:types>
          <w:type w:val="bbPlcHdr"/>
        </w:types>
        <w:behaviors>
          <w:behavior w:val="content"/>
        </w:behaviors>
        <w:guid w:val="{D16B2867-D722-4028-AFCC-EA6218C175A7}"/>
      </w:docPartPr>
      <w:docPartBody>
        <w:p w:rsidR="00000000" w:rsidRDefault="0077534B">
          <w:pPr>
            <w:pStyle w:val="DF7E42F1F6E44EE294A24C2C6999EF29"/>
          </w:pPr>
          <w:r w:rsidRPr="00C77265">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arter">
    <w:panose1 w:val="02000503060000020004"/>
    <w:charset w:val="00"/>
    <w:family w:val="auto"/>
    <w:pitch w:val="variable"/>
    <w:sig w:usb0="00000003" w:usb1="00000000" w:usb2="00000000" w:usb3="00000000" w:csb0="00000001" w:csb1="00000000"/>
  </w:font>
  <w:font w:name="Fira Sans">
    <w:panose1 w:val="020B0503050000020004"/>
    <w:charset w:val="00"/>
    <w:family w:val="swiss"/>
    <w:pitch w:val="variable"/>
    <w:sig w:usb0="600002FF" w:usb1="02000001" w:usb2="00000000" w:usb3="00000000" w:csb0="0000019F" w:csb1="00000000"/>
  </w:font>
  <w:font w:name="Fira Sans Medium">
    <w:panose1 w:val="020B0603050000020004"/>
    <w:charset w:val="00"/>
    <w:family w:val="swiss"/>
    <w:pitch w:val="variable"/>
    <w:sig w:usb0="600002FF" w:usb1="02000001" w:usb2="00000000" w:usb3="00000000" w:csb0="0000019F" w:csb1="00000000"/>
  </w:font>
  <w:font w:name="Fira Mono">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F7E42F1F6E44EE294A24C2C6999EF29">
    <w:name w:val="DF7E42F1F6E44EE294A24C2C6999E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F9EFDCD54FDB40861CA3BF3455B9EF" ma:contentTypeVersion="3" ma:contentTypeDescription="Create a new document." ma:contentTypeScope="" ma:versionID="8362593133812c30a5efc4812f78a07c">
  <xsd:schema xmlns:xsd="http://www.w3.org/2001/XMLSchema" xmlns:xs="http://www.w3.org/2001/XMLSchema" xmlns:p="http://schemas.microsoft.com/office/2006/metadata/properties" xmlns:ns2="37411471-a6ff-40c1-ad62-bd08f695b602" targetNamespace="http://schemas.microsoft.com/office/2006/metadata/properties" ma:root="true" ma:fieldsID="72f079e85e304cd3c63193ad270438ba" ns2:_="">
    <xsd:import namespace="37411471-a6ff-40c1-ad62-bd08f695b6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411471-a6ff-40c1-ad62-bd08f695b6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37411471-a6ff-40c1-ad62-bd08f695b602" xsi:nil="true"/>
  </documentManagement>
</p:properties>
</file>

<file path=customXml/itemProps1.xml><?xml version="1.0" encoding="utf-8"?>
<ds:datastoreItem xmlns:ds="http://schemas.openxmlformats.org/officeDocument/2006/customXml" ds:itemID="{71488ED8-A497-4EFD-A923-C14F981256EA}"/>
</file>

<file path=customXml/itemProps2.xml><?xml version="1.0" encoding="utf-8"?>
<ds:datastoreItem xmlns:ds="http://schemas.openxmlformats.org/officeDocument/2006/customXml" ds:itemID="{A88D3695-77D0-4494-A105-89768E660FA4}"/>
</file>

<file path=customXml/itemProps3.xml><?xml version="1.0" encoding="utf-8"?>
<ds:datastoreItem xmlns:ds="http://schemas.openxmlformats.org/officeDocument/2006/customXml" ds:itemID="{DA6E867B-C9CA-40A4-A84F-2040F7AF254C}">
  <ds:schemaRefs>
    <ds:schemaRef ds:uri="http://schemas.openxmlformats.org/officeDocument/2006/bibliography"/>
  </ds:schemaRefs>
</ds:datastoreItem>
</file>

<file path=customXml/itemProps4.xml><?xml version="1.0" encoding="utf-8"?>
<ds:datastoreItem xmlns:ds="http://schemas.openxmlformats.org/officeDocument/2006/customXml" ds:itemID="{0141F22B-D91D-4147-97DD-556A82FE5339}"/>
</file>

<file path=docProps/app.xml><?xml version="1.0" encoding="utf-8"?>
<Properties xmlns="http://schemas.openxmlformats.org/officeDocument/2006/extended-properties" xmlns:vt="http://schemas.openxmlformats.org/officeDocument/2006/docPropsVTypes">
  <Template>Rapport ENSTA.dotx</Template>
  <TotalTime>380</TotalTime>
  <Application>LibreOffice/6.4.6.2$Linux_X86_64 LibreOffice_project/40$Build-2</Application>
  <Pages>3</Pages>
  <Words>840</Words>
  <Characters>4491</Characters>
  <CharactersWithSpaces>5220</CharactersWithSpaces>
  <Paragraphs>106</Paragraphs>
  <Company>CEA Saclay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2021-03-17T15:31:00Z</dcterms:created>
  <dc:creator>Shebli ANVAR</dc:creator>
  <dc:description/>
  <dc:language>fr-FR</dc:language>
  <cp:lastModifiedBy/>
  <dcterms:modified xsi:type="dcterms:W3CDTF">2021-04-04T21:27:34Z</dcterms:modified>
  <cp:revision>29</cp:revision>
  <dc:subject/>
  <dc:title>Rapport ENSTA 2021 – ROB305 – Howard Wolowitz</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CEA Saclay</vt:lpwstr>
  </property>
  <property fmtid="{D5CDD505-2E9C-101B-9397-08002B2CF9AE}" pid="4" name="ContentTypeId">
    <vt:lpwstr>0x0101002EF9EFDCD54FDB40861CA3BF3455B9EF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