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40"/>
      </w:pPr>
      <w:r>
        <w:rPr/>
        <w:t xml:space="preserve">VarshaSetu: PPT update guide</w:t>
      </w:r>
    </w:p>
    <w:p>
      <w:pPr>
        <w:spacing w:after="160"/>
      </w:pPr>
      <w:r>
        <w:rPr>
          <w:color w:val="5A6B75"/>
        </w:rPr>
        <w:t xml:space="preserve">SIH26080 · Team Metrologix · prepared 3 October 2026 against the live site (varshasetu.vercel.app) and the repository</w:t>
      </w:r>
    </w:p>
    <w:tbl>
      <w:tblPr>
        <w:tblW w:w="15038" w:type="dxa"/>
        <w:tblLayout w:type="fixed"/>
        <w:tblCellMar>
          <w:top w:w="80" w:type="dxa"/>
          <w:left w:w="140" w:type="dxa"/>
          <w:bottom w:w="80" w:type="dxa"/>
          <w:right w:w="140" w:type="dxa"/>
        </w:tblCellMar>
      </w:tblPr>
      <w:tblGrid>
        <w:gridCol w:w="15038"/>
      </w:tblGrid>
      <w:tr>
        <w:tc>
          <w:tcPr>
            <w:tcW w:w="15038" w:type="dxa"/>
            <w:shd w:val="clear" w:color="auto" w:fill="E8F4F8"/>
          </w:tcPr>
          <w:p>
            <w:pPr>
              <w:spacing w:after="40"/>
            </w:pPr>
            <w:r>
              <w:rPr>
                <w:b/>
                <w:color w:val="1B2B34"/>
                <w:sz w:val="20"/>
                <w:szCs w:val="20"/>
              </w:rPr>
              <w:t xml:space="preserve">How to use this document.</w:t>
            </w:r>
            <w:r>
              <w:rPr>
                <w:color w:val="1B2B34"/>
                <w:sz w:val="20"/>
                <w:szCs w:val="20"/>
              </w:rPr>
              <w:t xml:space="preserve"> Your deck keeps its six slides and its layout. Each slide below lists what to change, with the current text beside the replacement so you can paste it straight into the same box. Diagram changes are marked </w:t>
            </w:r>
            <w:r>
              <w:rPr>
                <w:b/>
                <w:color w:val="1B2B34"/>
                <w:sz w:val="20"/>
                <w:szCs w:val="20"/>
              </w:rPr>
              <w:t xml:space="preserve">DIAGRAM</w:t>
            </w:r>
            <w:r>
              <w:rPr>
                <w:color w:val="1B2B34"/>
                <w:sz w:val="20"/>
                <w:szCs w:val="20"/>
              </w:rPr>
              <w:t xml:space="preserve"> and appear only where they matter (slides 2 and 3, one small addition on slide 5). Every number comes from the website or its frozen evidence, so it will match what a judge sees on screen. Items are tagged </w:t>
            </w:r>
            <w:r>
              <w:rPr>
                <w:b/>
                <w:color w:val="1B2B34"/>
                <w:sz w:val="20"/>
                <w:szCs w:val="20"/>
              </w:rPr>
              <w:t xml:space="preserve">MUST</w:t>
            </w:r>
            <w:r>
              <w:rPr>
                <w:color w:val="1B2B34"/>
                <w:sz w:val="20"/>
                <w:szCs w:val="20"/>
              </w:rPr>
              <w:t xml:space="preserve"> (wrong or misleading today), </w:t>
            </w:r>
            <w:r>
              <w:rPr>
                <w:b/>
                <w:color w:val="1B2B34"/>
                <w:sz w:val="20"/>
                <w:szCs w:val="20"/>
              </w:rPr>
              <w:t xml:space="preserve">SHOULD</w:t>
            </w:r>
            <w:r>
              <w:rPr>
                <w:color w:val="1B2B34"/>
                <w:sz w:val="20"/>
                <w:szCs w:val="20"/>
              </w:rPr>
              <w:t xml:space="preserve"> (important new results missing) or </w:t>
            </w:r>
            <w:r>
              <w:rPr>
                <w:b/>
                <w:color w:val="1B2B34"/>
                <w:sz w:val="20"/>
                <w:szCs w:val="20"/>
              </w:rPr>
              <w:t xml:space="preserve">OPTIONAL</w:t>
            </w:r>
            <w:r>
              <w:rPr>
                <w:color w:val="1B2B34"/>
                <w:sz w:val="20"/>
                <w:szCs w:val="20"/>
              </w:rPr>
              <w:t xml:space="preserve">.</w:t>
            </w:r>
          </w:p>
        </w:tc>
      </w:tr>
    </w:tbl>
    <w:p>
      <w:pPr>
        <w:spacing w:after="100"/>
      </w:pPr>
    </w:p>
    <w:p>
      <w:pPr>
        <w:pStyle w:val="Heading1"/>
        <w:keepNext/>
        <w:spacing w:after="80"/>
      </w:pPr>
      <w:r>
        <w:rPr/>
        <w:t xml:space="preserve">1. What to fix first</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700"/>
        <w:gridCol w:w="1200"/>
        <w:gridCol w:w="10138"/>
        <w:gridCol w:w="3000"/>
      </w:tblGrid>
      <w:tr>
        <w:trPr>
          <w:tblHeader/>
        </w:trPr>
        <w:tc>
          <w:tcPr>
            <w:tcW w:w="7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t>
            </w:r>
          </w:p>
        </w:tc>
        <w:tc>
          <w:tcPr>
            <w:tcW w:w="12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Slide</w:t>
            </w:r>
          </w:p>
        </w:tc>
        <w:tc>
          <w:tcPr>
            <w:tcW w:w="101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Problem</w:t>
            </w:r>
          </w:p>
        </w:tc>
        <w:tc>
          <w:tcPr>
            <w:tcW w:w="30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Priority</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1</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4</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Internal note left on the slide: “Do not say FSS fixes spatial displacement. It evaluates it”. Delete it (replacement text below).</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C0392B"/>
                <w:sz w:val="19"/>
                <w:szCs w:val="19"/>
              </w:rPr>
              <w:t xml:space="preserve">MUST</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4</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“2019 Untouched Test” is no longer true: 2019 has been used again in post-hoc analyses. Say “held-out final test (completed once)”.</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C0392B"/>
                <w:sz w:val="19"/>
                <w:szCs w:val="19"/>
              </w:rPr>
              <w:t xml:space="preserve">MUST</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3</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6</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“Zero Data Leakage” is a claim you cannot prove. Say “forecast-time-only inputs (leakage checks)”.</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C0392B"/>
                <w:sz w:val="19"/>
                <w:szCs w:val="19"/>
              </w:rPr>
              <w:t xml:space="preserve">MUST</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4</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3 and 6</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Xarray is listed in the stack and linked on slide 6, but the code does not use it. Replace with pandas, SciPy, Shapely.</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C0392B"/>
                <w:sz w:val="19"/>
                <w:szCs w:val="19"/>
              </w:rPr>
              <w:t xml:space="preserve">MUST</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5</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Workflow step 5 says “Heavy / Large Probabilities”. It should be “Heavy / Very Heavy”.</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C0392B"/>
                <w:sz w:val="19"/>
                <w:szCs w:val="19"/>
              </w:rPr>
              <w:t xml:space="preserve">MUST</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6</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6</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Demo video link is empty (“https://”). Paste the real link after you upload the video.</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C0392B"/>
                <w:sz w:val="19"/>
                <w:szCs w:val="19"/>
              </w:rPr>
              <w:t xml:space="preserve">MUST</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7</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2, 4</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Only the 2019 result (9.73%) appears. Add the 2025 final test (3.66%) and the new sealed-year results.</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B7791F"/>
                <w:sz w:val="19"/>
                <w:szCs w:val="19"/>
              </w:rPr>
              <w:t xml:space="preserve">SHOULD</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8</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2, 3</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Workflow does not show the sealed-year validation, ERA5 labels, regime detection scores or the audit layer.</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B7791F"/>
                <w:sz w:val="19"/>
                <w:szCs w:val="19"/>
              </w:rPr>
              <w:t xml:space="preserve">SHOULD</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9</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3</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Tech stack missing Tailwind 4, Recharts, Zod, Playwright/Vitest, GitHub Actions CI, ERA5, geoBoundaries.</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B7791F"/>
                <w:sz w:val="19"/>
                <w:szCs w:val="19"/>
              </w:rPr>
              <w:t xml:space="preserve">SHOULD</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10</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5, 6</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Add district-level verification, regime-by-lead verification and the new references (ERA5, Rajeevan 2010).</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B7791F"/>
                <w:sz w:val="19"/>
                <w:szCs w:val="19"/>
              </w:rPr>
              <w:t xml:space="preserve">SHOULD</w:t>
            </w:r>
          </w:p>
        </w:tc>
      </w:tr>
      <w:tr>
        <w:trPr>
          <w:cantSplit/>
        </w:trPr>
        <w:tc>
          <w:tcPr>
            <w:tcW w:w="7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11</w:t>
            </w:r>
          </w:p>
        </w:tc>
        <w:tc>
          <w:tcPr>
            <w:tcW w:w="12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w:t>
            </w:r>
          </w:p>
        </w:tc>
        <w:tc>
          <w:tcPr>
            <w:tcW w:w="101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Solution bullet 1 (generic data pipeline) repeats the workflow strip and slide 3. Replace it with the “Complete Platform” line so the slide names what was built.</w:t>
            </w:r>
          </w:p>
        </w:tc>
        <w:tc>
          <w:tcPr>
            <w:tcW w:w="3000" w:type="dxa"/>
            <w:tcBorders>
              <w:top w:val="single" w:sz="4" w:space="0" w:color="B7C4CA"/>
              <w:left w:val="single" w:sz="4" w:space="0" w:color="B7C4CA"/>
              <w:bottom w:val="single" w:sz="4" w:space="0" w:color="B7C4CA"/>
              <w:right w:val="single" w:sz="4" w:space="0" w:color="B7C4CA"/>
            </w:tcBorders>
            <w:shd w:val="clear" w:color="auto" w:fill="FFF4D6"/>
          </w:tcPr>
          <w:p>
            <w:pPr>
              <w:spacing w:after="40"/>
            </w:pPr>
            <w:r>
              <w:rPr>
                <w:b/>
                <w:color w:val="B7791F"/>
                <w:sz w:val="19"/>
                <w:szCs w:val="19"/>
              </w:rPr>
              <w:t xml:space="preserve">SHOULD</w:t>
            </w:r>
          </w:p>
        </w:tc>
      </w:tr>
    </w:tbl>
    <w:p>
      <w:pPr>
        <w:spacing w:after="120"/>
      </w:pPr>
    </w:p>
    <w:p>
      <w:pPr>
        <w:pStyle w:val="Heading1"/>
        <w:keepNext/>
        <w:spacing w:after="80"/>
      </w:pPr>
      <w:r>
        <w:rPr/>
        <w:t xml:space="preserve">2. Numbers you can safely quote</w:t>
      </w:r>
    </w:p>
    <w:p>
      <w:pPr>
        <w:spacing w:after="80"/>
      </w:pPr>
      <w:r>
        <w:rPr>
          <w:color w:val="5A6B75"/>
        </w:rPr>
        <w:t xml:space="preserve">These match the website. If a number is not in this table, check it on the site before putting it on a slide.</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4300"/>
        <w:gridCol w:w="6000"/>
        <w:gridCol w:w="4738"/>
      </w:tblGrid>
      <w:tr>
        <w:trPr>
          <w:tblHeader/>
        </w:trPr>
        <w:tc>
          <w:tcPr>
            <w:tcW w:w="4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Result</w:t>
            </w:r>
          </w:p>
        </w:tc>
        <w:tc>
          <w:tcPr>
            <w:tcW w:w="60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Value</w:t>
            </w:r>
          </w:p>
        </w:tc>
        <w:tc>
          <w:tcPr>
            <w:tcW w:w="47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a judge can see it</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2019 held-out test (Track A, 255 cases)</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Raw GEFS 19.7735 mm → Global XGBoost 17.8487 mm = </w:t>
            </w:r>
            <w:r>
              <w:rPr>
                <w:b/>
                <w:sz w:val="19"/>
                <w:szCs w:val="19"/>
              </w:rPr>
              <w:t xml:space="preserve">9.73% lower RMSE</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Overview, Verification Lab</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2025 final test (Track B, 232 cases)</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Raw 16.1657 mm → preselected Ridge (M1) 15.5736 mm = </w:t>
            </w:r>
            <w:r>
              <w:rPr>
                <w:b/>
                <w:sz w:val="19"/>
                <w:szCs w:val="19"/>
              </w:rPr>
              <w:t xml:space="preserve">3.66% lower RMSE</w:t>
            </w:r>
            <w:r>
              <w:rPr>
                <w:sz w:val="19"/>
                <w:szCs w:val="19"/>
              </w:rPr>
              <w:t xml:space="preserve"> (shown as 16.17 → 15.57)</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Overview, Verification Lab</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Extreme-rain spatial skill (FSS)</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Raw GEFS stays stronger than every corrected model in 2019 and than the selected Ridge in 2025</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Lab</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Regime-aware models vs plain global model</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2019: Raw 19.77, Hard 18.49, Soft 18.44, Global 17.85 mm. 2025: Raw 16.17, Ridge 15.57, Hard 15.46, Soft 15.22, Global 15.00 mm. Regime-aware beats Raw, not the global model.</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Lab</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Heavy-rain probability skill, 2025</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Brier skill score +0.0948 (heavy, false-alarm ratio 69.6%), +0.0265 (very heavy, false-alarm ratio 85.5%)</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Overview, Extreme Rain</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Regime detection on sealed years 2014 to 2016</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AUC: active 0.932 and break 0.870 (418 cases); low/depression 0.802, western disturbance 0.721, coastal/orographic 0.976 (778 cases). Labels are objective IMD and ERA5 rules, not expert analyses.</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Regime Intelligence</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Heavy-rain study (reforecast track)</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Round 2 confirmation on 2017 to 2019 (764 cases): RMSE 16.66 → 14.90 mm; heavy CSI 0.096 → 0.262; very-heavy CSI 0.029 → 0.169; frozen verdict tier FULL. Round 1 on 2014 to 2016 did not pass its bias guardrail. The classifier over-forecasts heavy events (frequency bias about 1.8).</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Lab, Reforecast study</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District verification, 2019</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Global model improved 108 of 169 districts and worsened 3 (the rest indeterminate)</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Lab, District-level</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Data quality funnel (operational years)</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1,125 scheduled cases → 615 control-member QC eligible → 218 complete five-member ensemble</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Data Quality &amp; Provenance</w:t>
            </w:r>
          </w:p>
        </w:tc>
      </w:tr>
      <w:tr>
        <w:trPr>
          <w:cantSplit/>
        </w:trPr>
        <w:tc>
          <w:tcPr>
            <w:tcW w:w="4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Engineering evidence</w:t>
            </w:r>
          </w:p>
        </w:tc>
        <w:tc>
          <w:tcPr>
            <w:tcW w:w="60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Backend 670+ tests, 195 frontend unit tests, 130+ browser end-to-end tests, CI green (backend, frontend, Docker lint)</w:t>
            </w:r>
          </w:p>
        </w:tc>
        <w:tc>
          <w:tcPr>
            <w:tcW w:w="4738"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GitHub Actions</w:t>
            </w:r>
          </w:p>
        </w:tc>
      </w:tr>
    </w:tbl>
    <w:p>
      <w:pPr>
        <w:spacing w:after="120"/>
      </w:pPr>
    </w:p>
    <w:p>
      <w:pPr>
        <w:pStyle w:val="Heading1"/>
        <w:keepNext/>
        <w:spacing w:after="80"/>
      </w:pPr>
      <w:r>
        <w:rPr/>
        <w:t xml:space="preserve">3. Slide 1: title</w:t>
      </w:r>
    </w:p>
    <w:p>
      <w:pPr>
        <w:spacing w:after="80"/>
      </w:pPr>
      <w:r>
        <w:rPr>
          <w:b/>
        </w:rPr>
        <w:t xml:space="preserve">Status: no content change needed.</w:t>
      </w:r>
      <w:r>
        <w:rPr/>
        <w:t xml:space="preserve"> It carries the problem statement ID, title, theme, category, team ID and team name. Compare the team name and ID with the portal once more before you export.</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Optional addition</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Below the logo (small line)</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(nothing)</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Live prototype: varshasetu.vercel.app · Source: github.com/iadityachourasia/VarshaSetu</w:t>
            </w:r>
          </w:p>
        </w:tc>
      </w:tr>
    </w:tbl>
    <w:p>
      <w:pPr>
        <w:spacing w:after="120"/>
      </w:pPr>
    </w:p>
    <w:p>
      <w:pPr>
        <w:pStyle w:val="Heading1"/>
        <w:keepNext/>
        <w:spacing w:after="80"/>
      </w:pPr>
      <w:r>
        <w:rPr/>
        <w:t xml:space="preserve">4. Slide 2: Regime-Aware Rainfall Intelligence from Raw NWP Forecasts</w:t>
      </w:r>
    </w:p>
    <w:p>
      <w:pPr>
        <w:spacing w:after="80"/>
      </w:pPr>
      <w:r>
        <w:rPr>
          <w:color w:val="5A6B75"/>
        </w:rPr>
        <w:t xml:space="preserve">Problem box and the overall layout stay. Update the strength box, the innovation boxes, two solution bullets and three workflow labels.</w:t>
      </w:r>
    </w:p>
    <w:p>
      <w:pPr>
        <w:pStyle w:val="Heading2"/>
        <w:keepNext/>
        <w:spacing w:after="80"/>
      </w:pPr>
      <w:r>
        <w:rPr/>
        <w:t xml:space="preserve">Content changes</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VarshaSetu Strength box (bottom right)</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9.73% lower RMSE. Held-out 2019 test. Raw GEFS 19.7735 mm, VarshaSetu M2 17.8487 mm. Overall deterministic RMSE improved. Raw GEFS remained stronger on evaluated deterministic extreme-rain FSS.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b/>
                <w:sz w:val="19"/>
                <w:szCs w:val="19"/>
              </w:rPr>
              <w:t xml:space="preserve">9.73% lower RMSE</w:t>
            </w:r>
            <w:r>
              <w:rPr>
                <w:sz w:val="19"/>
                <w:szCs w:val="19"/>
              </w:rPr>
              <w:t xml:space="preserve"> · held-out 2019 test</w:t>
            </w:r>
          </w:p>
          <w:p>
            <w:pPr>
              <w:spacing w:after="40"/>
            </w:pPr>
            <w:r>
              <w:rPr>
                <w:sz w:val="19"/>
                <w:szCs w:val="19"/>
              </w:rPr>
              <w:t xml:space="preserve">Raw GEFS 19.77 mm → VarshaSetu M2 17.85 mm</w:t>
            </w:r>
          </w:p>
          <w:p>
            <w:pPr>
              <w:spacing w:after="40"/>
            </w:pPr>
            <w:r>
              <w:rPr>
                <w:b/>
                <w:sz w:val="19"/>
                <w:szCs w:val="19"/>
              </w:rPr>
              <w:t xml:space="preserve">3.66% lower RMSE</w:t>
            </w:r>
            <w:r>
              <w:rPr>
                <w:sz w:val="19"/>
                <w:szCs w:val="19"/>
              </w:rPr>
              <w:t xml:space="preserve"> · 2025 final test (16.17 → 15.57 mm)</w:t>
            </w:r>
          </w:p>
          <w:p>
            <w:pPr>
              <w:spacing w:after="40"/>
            </w:pPr>
            <w:r>
              <w:rPr>
                <w:sz w:val="19"/>
                <w:szCs w:val="19"/>
              </w:rPr>
              <w:t xml:space="preserve">Heavy-rain classifiers: CSI 0.10 → 0.26 on confirmation years</w:t>
            </w:r>
          </w:p>
          <w:p>
            <w:pPr>
              <w:spacing w:after="40"/>
            </w:pPr>
            <w:r>
              <w:rPr>
                <w:sz w:val="19"/>
                <w:szCs w:val="19"/>
              </w:rPr>
              <w:t xml:space="preserve">Stated limit: Raw GEFS stays stronger on extreme-rain FSS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Innovation box 1: Forecast-Only Regime Engine</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Regime inference uses only information available at forecast time, preventing observation leakage into prediction.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Regimes are inferred only from forecast-time fields, with no observation leakage. Detection AUC 0.80 to 0.93 on sealed years.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Innovation box 2: Soft Mixture-of-Experts</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Regime probabilities softly blend specialist models instead of abruptly switching between corrections.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Regime probabilities softly blend specialist models. Tested against a plain global model on sealed years, and the result is reported openly.</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Innovation box 3: Scale-Aware FSS Verification</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Evaluates rainfall skill across 1×1, 3×3, 5×5 and 9×9 neighbourhoods, accounting for spatial displacement in verification.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Scores rainfall skill at 1×1, 3×3, 5×5 and 9×9 neighbourhoods, by regime, lead and district, so spatial displacement is measured, not hidden.</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Innovation box 4: Fail-Closed Scientific QC</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Incomplete or inconsistent forecast products are quarantined instead of silently entering the AI pipeline.</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b/>
                <w:sz w:val="19"/>
                <w:szCs w:val="19"/>
              </w:rPr>
              <w:t xml:space="preserve">Fail-Closed, Hash-Verified Evidence.</w:t>
            </w:r>
            <w:r>
              <w:rPr>
                <w:sz w:val="19"/>
                <w:szCs w:val="19"/>
              </w:rPr>
              <w:t xml:space="preserve"> Inconsistent products are quarantined; every served number is hash-checked; test years are sealed and used years are labelled post-hoc.</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Solution bullet 5: District + Verification Intelligence</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Convert corrected grids into district-level products and compare Raw → Corrected → Observed using scientific verification metrics.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b/>
                <w:sz w:val="19"/>
                <w:szCs w:val="19"/>
              </w:rPr>
              <w:t xml:space="preserve">District + Verification Intelligence:</w:t>
            </w:r>
            <w:r>
              <w:rPr>
                <w:sz w:val="19"/>
                <w:szCs w:val="19"/>
              </w:rPr>
              <w:t xml:space="preserve"> Convert corrected grids into district products and verify Raw → Corrected → Observed by regime, lead and district.</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Solution bullet 1: NWP + Observation Pipeline</w:t>
            </w:r>
          </w:p>
          <w:p>
            <w:pPr>
              <w:spacing w:after="40"/>
            </w:pPr>
            <w:r>
              <w:rPr>
                <w:b/>
                <w:color w:val="B7791F"/>
                <w:sz w:val="19"/>
                <w:szCs w:val="19"/>
              </w:rPr>
              <w:t xml:space="preserve">SHOULD</w:t>
            </w:r>
            <w:r>
              <w:rPr>
                <w:color w:val="5A6B75"/>
                <w:sz w:val="19"/>
                <w:szCs w:val="19"/>
              </w:rPr>
              <w:t xml:space="preserve"> (replace)</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NWP + Observation Pipeline: Process NOAA GEFS forecasts with IMD 0.25° gridded rainfall reference data.</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b/>
                <w:sz w:val="19"/>
                <w:szCs w:val="19"/>
              </w:rPr>
              <w:t xml:space="preserve">Complete Platform:</w:t>
            </w:r>
            <w:r>
              <w:rPr>
                <w:sz w:val="19"/>
                <w:szCs w:val="19"/>
              </w:rPr>
              <w:t xml:space="preserve"> 15 live pages in one workspace: forecast maps, regimes, extreme rain, ensemble, districts, verification, zones, provenance and audit.</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Workflow step 1 label</w:t>
            </w:r>
          </w:p>
          <w:p>
            <w:pPr>
              <w:spacing w:after="40"/>
            </w:pPr>
            <w:r>
              <w:rPr>
                <w:b/>
                <w:color w:val="B7791F"/>
                <w:sz w:val="19"/>
                <w:szCs w:val="19"/>
              </w:rPr>
              <w:t xml:space="preserve">SHOULD</w:t>
            </w:r>
            <w:r>
              <w:rPr>
                <w:color w:val="5A6B75"/>
                <w:sz w:val="19"/>
                <w:szCs w:val="19"/>
              </w:rPr>
              <w:t xml:space="preserve"> (keeps the IMD fact from bullet 1)</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NWP INPUT: NOAA GEFS Forecast grids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NWP INPUT: NOAA GEFS forecast grids + IMD 0.25° rainfall</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Workflow step 5 label</w:t>
            </w:r>
          </w:p>
          <w:p>
            <w:pPr>
              <w:spacing w:after="40"/>
            </w:pPr>
            <w:r>
              <w:rPr>
                <w:b/>
                <w:color w:val="C0392B"/>
                <w:sz w:val="19"/>
                <w:szCs w:val="19"/>
              </w:rPr>
              <w:t xml:space="preserve">MUST</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EXTREME RISK: Heavy / Large Probabilities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EXTREME RISK: Heavy / Very Heavy Probabilities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Workflow step 6 label</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VERIFY + DELIVER: District Maps, RMSE · CSI · ETS · FSS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VERIFY + AUDIT: District Maps, RMSE · CSI · ETS · FSS, hash-verified</w:t>
            </w:r>
          </w:p>
        </w:tc>
      </w:tr>
    </w:tbl>
    <w:p>
      <w:pPr>
        <w:spacing w:after="120"/>
      </w:pPr>
    </w:p>
    <w:p>
      <w:pPr>
        <w:pStyle w:val="Heading2"/>
        <w:keepNext/>
        <w:spacing w:after="80"/>
      </w:pPr>
      <w:r>
        <w:rPr/>
        <w:t xml:space="preserve">Diagram</w:t>
      </w:r>
    </w:p>
    <w:p>
      <w:pPr>
        <w:spacing w:after="80"/>
      </w:pPr>
      <w:r>
        <w:rPr>
          <w:b/>
        </w:rPr>
        <w:t xml:space="preserve">No structural change needed</w:t>
      </w:r>
      <w:r>
        <w:rPr/>
        <w:t xml:space="preserve"> on this slide. The six-step strip is still right; only the three labels above change.</w:t>
      </w:r>
    </w:p>
    <w:tbl>
      <w:tblPr>
        <w:tblW w:w="15038" w:type="dxa"/>
        <w:tblLayout w:type="fixed"/>
        <w:tblCellMar>
          <w:top w:w="80" w:type="dxa"/>
          <w:left w:w="140" w:type="dxa"/>
          <w:bottom w:w="80" w:type="dxa"/>
          <w:right w:w="140" w:type="dxa"/>
        </w:tblCellMar>
      </w:tblPr>
      <w:tblGrid>
        <w:gridCol w:w="15038"/>
      </w:tblGrid>
      <w:tr>
        <w:tc>
          <w:tcPr>
            <w:tcW w:w="15038" w:type="dxa"/>
            <w:shd w:val="clear" w:color="auto" w:fill="FFF4D6"/>
          </w:tcPr>
          <w:p>
            <w:pPr>
              <w:spacing w:after="40"/>
            </w:pPr>
            <w:r>
              <w:rPr>
                <w:b/>
                <w:color w:val="7A4B00"/>
                <w:sz w:val="20"/>
                <w:szCs w:val="20"/>
              </w:rPr>
              <w:t xml:space="preserve">Why replace solution bullet 1:</w:t>
            </w:r>
            <w:r>
              <w:rPr>
                <w:color w:val="7A4B00"/>
                <w:sz w:val="20"/>
                <w:szCs w:val="20"/>
              </w:rPr>
              <w:t xml:space="preserve"> it is the least useful text on this slide. The workflow strip already shows the same idea in steps 1 and 2, slide 3 shows the full pipeline and tech stack, and a data pipeline is not something that sets VarshaSetu apart. It also sits first, which is where a judge looks first. The only fact unique to it (the IMD 0.25° observations) moves into the step 1 label. If you would rather cut an innovation box instead, the runner-up is box 3 (Scale-Aware FSS Verification), which repeats a standard metric already named on slides 2, 3, 4 and 6; keep one FSS mention on this slide because the problem statement requires it.</w:t>
            </w:r>
          </w:p>
        </w:tc>
      </w:tr>
    </w:tbl>
    <w:p>
      <w:pPr>
        <w:spacing w:after="100"/>
      </w:pPr>
    </w:p>
    <w:p>
      <w:pPr>
        <w:pStyle w:val="Heading1"/>
        <w:keepNext/>
        <w:spacing w:after="80"/>
      </w:pPr>
      <w:r>
        <w:rPr/>
        <w:t xml:space="preserve">5. Slide 3: Technical approach</w:t>
      </w:r>
    </w:p>
    <w:p>
      <w:pPr>
        <w:pStyle w:val="Heading2"/>
        <w:keepNext/>
        <w:spacing w:after="80"/>
      </w:pPr>
      <w:r>
        <w:rPr/>
        <w:t xml:space="preserve">Technology stack (left column): replace the bullets</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Frontend &amp; Scientific GIS</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Next.js 16, React 19, TypeScript, Tailwind CSS, shadcn/UI, MapLibre GL for advanced map layers.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Next.js 16, React 19, TypeScript, Tailwind CSS 4, shadcn/ui, MapLibre GL for map layers, Recharts, Zod-validated API contracts.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Scientific Backend</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Python, FastAPI, Pydantic v2</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Python 3.12, FastAPI, Pydantic v2: a read-only API that verifies artifact hashes on every request.</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Geospatial &amp; NWP Processing</w:t>
            </w:r>
          </w:p>
          <w:p>
            <w:pPr>
              <w:spacing w:after="40"/>
            </w:pPr>
            <w:r>
              <w:rPr>
                <w:b/>
                <w:color w:val="C0392B"/>
                <w:sz w:val="19"/>
                <w:szCs w:val="19"/>
              </w:rPr>
              <w:t xml:space="preserve">MUST</w:t>
            </w:r>
            <w:r>
              <w:rPr>
                <w:color w:val="5A6B75"/>
                <w:sz w:val="19"/>
                <w:szCs w:val="19"/>
              </w:rPr>
              <w:t xml:space="preserve"> (Xarray is not used)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Xarray, NumPy, Zarr, ecCodes meteorological parsers.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pandas, NumPy, SciPy, Shapely (district polygons), Zarr, ecCodes (GRIB2 decoding).</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ML &amp; Forecast Post-Processing</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XGBoost, Scikit-learn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XGBoost (rainfall and probability models), scikit-learn (Ridge MOS, regime classifier).</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Data &amp; Mapping</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NOAA GEFS, IMD 0.25° Rainfall, OpenStreetMap/OpenFreeMap</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NOAA GEFS and GEFSv12 reforecast, IMD 0.25° rainfall, ERA5 (WeatherBench2, regime labels only), geoBoundaries districts, OpenFreeMap/OpenStreetMap.</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Deployment</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Vercel, Render, Docker, GitHub</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Vercel, Render, Docker, GitHub Actions CI; pytest, Vitest and Playwright test suites.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Logo row</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Next.js, React, TypeScript, MapLibre, Python, FastAPI, Pydantic, Zarr, NumPy, IMD, NOAA, XGBoost, Docker, GitHub</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Keep all of these (they are accurate). If you want to add one, add scikit-learn or Playwright. Do not add an Xarray logo.</w:t>
            </w:r>
          </w:p>
        </w:tc>
      </w:tr>
    </w:tbl>
    <w:p>
      <w:pPr>
        <w:spacing w:after="120"/>
      </w:pPr>
    </w:p>
    <w:p>
      <w:pPr>
        <w:pStyle w:val="Heading2"/>
        <w:keepNext/>
        <w:spacing w:after="80"/>
      </w:pPr>
      <w:r>
        <w:rPr/>
        <w:t xml:space="preserve">DIAGRAM: workflow (right column). Five small additions, nothing removed</w:t>
      </w:r>
    </w:p>
    <w:p>
      <w:pPr>
        <w:spacing w:after="60"/>
      </w:pPr>
      <w:r>
        <w:rPr/>
        <w:t xml:space="preserve">Keep the structure (inputs → acquisition → reconstruction → QC decision → AI/ML → verification → products). Add or retitle these boxes so the diagram shows what was actually built:</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Input boxes (top left, green)</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Two inputs: NOAA GEFS Forecasts; IMD Rainfall Observations.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b/>
                <w:sz w:val="19"/>
                <w:szCs w:val="19"/>
              </w:rPr>
              <w:t xml:space="preserve">Add a third small green box under IMD:</w:t>
            </w:r>
            <w:r>
              <w:rPr>
                <w:sz w:val="19"/>
                <w:szCs w:val="19"/>
              </w:rPr>
              <w:t xml:space="preserve"> “ERA5 reanalysis (labels only)”. Sub-line: “used to label past regimes, never as a forecast”. Arrow into Data Acquisition &amp; Provenance.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AI / ML processing: Forecast-Time Regime Analysis box</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Forecast-Time Regime Analysis. Active / Break / Low-Depression.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Forecast-Time Regime Analysis. Sub-line: “Active / Break / Low-Depression, scored against IMD and ERA5 labels (AUC)”.</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&amp; Decision: Historical Evaluation box</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2017 Train, 2018 Validate, 2019 Testing. 2023 Train, 2024 Validate, 2025 Testing.</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Track A: 2017 train · 2018 validate · 2019 test</w:t>
            </w:r>
          </w:p>
          <w:p>
            <w:pPr>
              <w:spacing w:after="40"/>
            </w:pPr>
            <w:r>
              <w:rPr>
                <w:sz w:val="19"/>
                <w:szCs w:val="19"/>
              </w:rPr>
              <w:t xml:space="preserve">Track B: 2023 train · 2024 validate · 2025 test</w:t>
            </w:r>
          </w:p>
          <w:p>
            <w:pPr>
              <w:spacing w:after="40"/>
            </w:pPr>
            <w:r>
              <w:rPr>
                <w:sz w:val="19"/>
                <w:szCs w:val="19"/>
              </w:rPr>
              <w:t xml:space="preserve">Reforecast study: train 2000-11 · validate 2012-13 · sealed 2014-16 · confirm 2017-19</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&amp; Decision: Scientific Verification box</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RMSE · MAE · Bias, POD · FAR · CSI · ETS · FSS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RMSE · MAE · Bias · POD · FAR · CSI · ETS · FSS, by regime, lead and district</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Verification &amp; Decision row: new fourth box</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(three boxes: Scientific Verification, Historical Evaluation, District Aggregation)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b/>
                <w:sz w:val="19"/>
                <w:szCs w:val="19"/>
              </w:rPr>
              <w:t xml:space="preserve">Add “Evidence &amp; Audit”:</w:t>
            </w:r>
            <w:r>
              <w:rPr>
                <w:sz w:val="19"/>
                <w:szCs w:val="19"/>
              </w:rPr>
              <w:t xml:space="preserve"> hash-verified artifacts · sealed years · used years labelled post-hoc. Place it to the right of District Aggregation, connected from Historical Evaluation.</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Products &amp; Outputs: third box (optional dashed box)</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Read-only Historical Prototype. Scientifically verified demo.</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Keep the box and add a dashed box beside it: “Experimental live-cycle worker: new NOAA cycle → frozen models, no skill claim”. Dashed outline signals it is not part of the verified results.</w:t>
            </w:r>
          </w:p>
        </w:tc>
      </w:tr>
    </w:tbl>
    <w:p>
      <w:pPr>
        <w:spacing w:after="120"/>
      </w:pPr>
    </w:p>
    <w:tbl>
      <w:tblPr>
        <w:tblW w:w="15038" w:type="dxa"/>
        <w:tblLayout w:type="fixed"/>
        <w:tblCellMar>
          <w:top w:w="80" w:type="dxa"/>
          <w:left w:w="140" w:type="dxa"/>
          <w:bottom w:w="80" w:type="dxa"/>
          <w:right w:w="140" w:type="dxa"/>
        </w:tblCellMar>
      </w:tblPr>
      <w:tblGrid>
        <w:gridCol w:w="15038"/>
      </w:tblGrid>
      <w:tr>
        <w:tc>
          <w:tcPr>
            <w:tcW w:w="15038" w:type="dxa"/>
            <w:shd w:val="clear" w:color="auto" w:fill="FFF4D6"/>
          </w:tcPr>
          <w:p>
            <w:pPr>
              <w:spacing w:after="40"/>
            </w:pPr>
            <w:r>
              <w:rPr>
                <w:b/>
                <w:color w:val="7A4B00"/>
                <w:sz w:val="20"/>
                <w:szCs w:val="20"/>
              </w:rPr>
              <w:t xml:space="preserve">Why these five matter:</w:t>
            </w:r>
            <w:r>
              <w:rPr>
                <w:color w:val="7A4B00"/>
                <w:sz w:val="20"/>
                <w:szCs w:val="20"/>
              </w:rPr>
              <w:t xml:space="preserve"> a judge reading only the diagram should see that evaluation is sealed and audited, that regimes are scored against an independent label source, and that ERA5 is used for labels only (the rule in your own methodology: reanalysis is never presented as a forecast).</w:t>
            </w:r>
          </w:p>
        </w:tc>
      </w:tr>
    </w:tbl>
    <w:p>
      <w:pPr>
        <w:spacing w:after="100"/>
      </w:pPr>
    </w:p>
    <w:p>
      <w:pPr>
        <w:pStyle w:val="Heading1"/>
        <w:keepNext/>
        <w:spacing w:after="80"/>
      </w:pPr>
      <w:r>
        <w:rPr/>
        <w:t xml:space="preserve">6. Slide 4: Feasibility and viability</w:t>
      </w:r>
    </w:p>
    <w:p>
      <w:pPr>
        <w:pStyle w:val="Heading2"/>
        <w:keepNext/>
        <w:spacing w:after="80"/>
      </w:pPr>
      <w:r>
        <w:rPr/>
        <w:t xml:space="preserve">Feasibility (left panel)</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Verified prototype: 2019 line</w:t>
            </w:r>
          </w:p>
          <w:p>
            <w:pPr>
              <w:spacing w:after="40"/>
            </w:pPr>
            <w:r>
              <w:rPr>
                <w:b/>
                <w:color w:val="C0392B"/>
                <w:sz w:val="19"/>
                <w:szCs w:val="19"/>
              </w:rPr>
              <w:t xml:space="preserve">MUST</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2019 Untouched Test</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2019 held-out final test (completed once)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Verified prototype: results lines</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9.73% lower overall RMSE than Raw. GEFS on the held-out 2019 comparison.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9.73% lower RMSE than Raw (2019)</w:t>
            </w:r>
          </w:p>
          <w:p>
            <w:pPr>
              <w:spacing w:after="40"/>
            </w:pPr>
            <w:r>
              <w:rPr>
                <w:sz w:val="19"/>
                <w:szCs w:val="19"/>
              </w:rPr>
              <w:t xml:space="preserve">3.66% lower RMSE than Raw (2025 final test)</w:t>
            </w:r>
          </w:p>
          <w:p>
            <w:pPr>
              <w:spacing w:after="40"/>
            </w:pPr>
            <w:r>
              <w:rPr>
                <w:sz w:val="19"/>
                <w:szCs w:val="19"/>
              </w:rPr>
              <w:t xml:space="preserve">Raw GEFS stronger on extreme-rain FSS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Implemented AI/ML: classifier line</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Forecast-only regime classifier</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Forecast-only regime classifier, scored on sealed years (AUC 0.80 to 0.93)</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Validated scientific pipeline: last line</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Grid masks, QC and fail-closed rejection of inconsistent products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Grid masks, QC, fail-closed rejection and hash-verified artifacts</w:t>
            </w:r>
          </w:p>
        </w:tc>
      </w:tr>
    </w:tbl>
    <w:p>
      <w:pPr>
        <w:spacing w:after="120"/>
      </w:pPr>
    </w:p>
    <w:p>
      <w:pPr>
        <w:pStyle w:val="Heading2"/>
        <w:keepNext/>
        <w:spacing w:after="80"/>
      </w:pPr>
      <w:r>
        <w:rPr/>
        <w:t xml:space="preserve">Viability (left panel, lower)</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Low-Cost Prototype Deployment</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Web-based architecture with Python/FastAPI backend and Next.js GIS frontend; no specialized proprietary runtime is required for demonstration.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Web architecture (FastAPI + Next.js) running live on free-tier Vercel and Render; no specialized runtime needed.</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NWP-Model Extensibility</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The same data contracts can support future NCMRWF NCUM/NEPS inputs after source-specific validation.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The same data contracts can take NCMRWF NCUM/NEPS inputs after validation; an experimental worker already runs the frozen models on a new NOAA cycle (no skill claim).</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Reproducible &amp; Auditable</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Scientific artifacts, manifests and model files are hash-tracked; rejected source products are preserved rather than silently corrected.</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Artifacts and manifests are hash-tracked and the API refuses tampered files. CI runs 670+ backend tests, 195 unit tests and 130+ browser tests on every push.</w:t>
            </w:r>
          </w:p>
        </w:tc>
      </w:tr>
    </w:tbl>
    <w:p>
      <w:pPr>
        <w:spacing w:after="120"/>
      </w:pPr>
    </w:p>
    <w:p>
      <w:pPr>
        <w:pStyle w:val="Heading2"/>
        <w:keepNext/>
        <w:spacing w:after="80"/>
      </w:pPr>
      <w:r>
        <w:rPr/>
        <w:t xml:space="preserve">Challenges and strategies (right panel)</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Fractions Skill Score box</w:t>
            </w:r>
          </w:p>
          <w:p>
            <w:pPr>
              <w:spacing w:after="40"/>
            </w:pPr>
            <w:r>
              <w:rPr>
                <w:b/>
                <w:color w:val="C0392B"/>
                <w:sz w:val="19"/>
                <w:szCs w:val="19"/>
              </w:rPr>
              <w:t xml:space="preserve">MUST</w:t>
            </w:r>
            <w:r>
              <w:rPr>
                <w:color w:val="5A6B75"/>
                <w:sz w:val="19"/>
                <w:szCs w:val="19"/>
              </w:rPr>
              <w:t xml:space="preserve"> (remove leaked note)</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Evaluates rainfall skill at 1×1, 3×3, 5×5 and 9×9 neighbourhood scales. Do not say FSS fixes spatial displacement. It evaluates it</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Evaluates rainfall skill at 1×1, 3×3, 5×5 and 9×9 neighbourhood scales. FSS measures spatial displacement; it does not correct it.</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Dedicated Probabilistic Models box</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Class weighting + calibrated probability models for Heavy and Very Heavy rainfall.</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Class weighting + calibrated probability models. Heavy-rain CSI rose 0.10 → 0.26 on confirmation years (reforecast track).</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Probabilistic Regime Representation box</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Forecast-only regime probabilities support soft expert routing instead of forcing a single hard state.</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Forecast-only regime probabilities support soft expert routing. Regime labels are not observed truth, so they are scored against objective IMD/ERA5 labels.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Data quality challenge (left) and Fail-Closed Scientific QC strategy (right)</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Challenge: Operational rainfall products can contain packing-sensitive reconstruction anomalies.</w:t>
            </w:r>
          </w:p>
          <w:p>
            <w:pPr>
              <w:spacing w:after="40"/>
            </w:pPr>
            <w:r>
              <w:rPr>
                <w:sz w:val="19"/>
                <w:szCs w:val="19"/>
              </w:rPr>
              <w:t xml:space="preserve">Strategy: Exact-cover reconstruction, packing-aware validation, checksums and quarantine of inconsistent products.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Challenge: Data quality and test-year reuse: products can hold packing anomalies, and a test year can be reused without anyone noticing.</w:t>
            </w:r>
          </w:p>
          <w:p>
            <w:pPr>
              <w:spacing w:after="40"/>
            </w:pPr>
            <w:r>
              <w:rPr>
                <w:sz w:val="19"/>
                <w:szCs w:val="19"/>
              </w:rPr>
              <w:t xml:space="preserve">Strategy: Exact-cover reconstruction, checksums and quarantine, plus pre-registered protocols and sealed years; used years are labelled post-hoc.</w:t>
            </w:r>
          </w:p>
        </w:tc>
      </w:tr>
    </w:tbl>
    <w:p>
      <w:pPr>
        <w:spacing w:after="120"/>
      </w:pPr>
    </w:p>
    <w:tbl>
      <w:tblPr>
        <w:tblW w:w="15038" w:type="dxa"/>
        <w:tblLayout w:type="fixed"/>
        <w:tblCellMar>
          <w:top w:w="80" w:type="dxa"/>
          <w:left w:w="140" w:type="dxa"/>
          <w:bottom w:w="80" w:type="dxa"/>
          <w:right w:w="140" w:type="dxa"/>
        </w:tblCellMar>
      </w:tblPr>
      <w:tblGrid>
        <w:gridCol w:w="15038"/>
      </w:tblGrid>
      <w:tr>
        <w:tc>
          <w:tcPr>
            <w:tcW w:w="15038" w:type="dxa"/>
            <w:shd w:val="clear" w:color="auto" w:fill="FFF4D6"/>
          </w:tcPr>
          <w:p>
            <w:pPr>
              <w:spacing w:after="40"/>
            </w:pPr>
            <w:r>
              <w:rPr>
                <w:b/>
                <w:color w:val="7A4B00"/>
                <w:sz w:val="20"/>
                <w:szCs w:val="20"/>
              </w:rPr>
              <w:t xml:space="preserve">Optional strong line for the bottom of the challenges panel (if there is room):</w:t>
            </w:r>
            <w:r>
              <w:rPr>
                <w:color w:val="7A4B00"/>
                <w:sz w:val="20"/>
                <w:szCs w:val="20"/>
              </w:rPr>
              <w:t xml:space="preserve"> “Limits we report openly: regime-aware models beat Raw but not a plain global model; Raw GEFS stays stronger on extreme-rain FSS; very-heavy skill is low.” Judges who probe will find these anyway, so stating them first reads as confidence.</w:t>
            </w:r>
          </w:p>
        </w:tc>
      </w:tr>
    </w:tbl>
    <w:p>
      <w:pPr>
        <w:spacing w:after="100"/>
      </w:pPr>
    </w:p>
    <w:p>
      <w:pPr>
        <w:pStyle w:val="Heading1"/>
        <w:keepNext/>
        <w:spacing w:after="80"/>
      </w:pPr>
      <w:r>
        <w:rPr/>
        <w:t xml:space="preserve">7. Slide 5: Impact and benefits</w:t>
      </w:r>
    </w:p>
    <w:p>
      <w:pPr>
        <w:pStyle w:val="Heading2"/>
        <w:keepNext/>
        <w:spacing w:after="80"/>
      </w:pPr>
      <w:r>
        <w:rPr/>
        <w:t xml:space="preserve">Impacts and benefits (left)</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Impacts: District-Level Intelligence</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Transforms gridded forecast outputs into district-oriented rainfall and extreme-risk summaries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Transforms gridded forecasts into district rainfall and extreme-risk summaries, and verifies them district by district (2019: Global model improved 108 of 169 districts, worsened 3).</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Impacts: Earlier Risk Awareness</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Highlights Heavy probabilities for historical forecast cases using calibrated exceedance models.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Calibrated Heavy and Very Heavy probabilities for historical cases (2025 Brier skill +0.0948 heavy, +0.0265 very heavy).</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Impacts: Transparent Forecast Verification</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Shows where AI improves forecast error and where Raw NWP remains stronger, using RMSE, CSI, ETS and FSS.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Shows where AI improves forecast error and where Raw NWP remains stronger, by regime, lead and district, with downloadable verification reports.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Benefits: Forecast Officers</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Review regime context, extreme-rain probabilities and district summaries from one interface.</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Review regime context, extreme-rain probabilities, district summaries and where Raw is still better, from one interface.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Benefits: Disaster-Management Planning</w:t>
            </w:r>
          </w:p>
          <w:p>
            <w:pPr>
              <w:spacing w:after="40"/>
            </w:pPr>
            <w:r>
              <w:rPr>
                <w:b/>
                <w:color w:val="C0392B"/>
                <w:sz w:val="19"/>
                <w:szCs w:val="19"/>
              </w:rPr>
              <w:t xml:space="preserve">MUST</w:t>
            </w:r>
            <w:r>
              <w:rPr>
                <w:color w:val="5A6B75"/>
                <w:sz w:val="19"/>
                <w:szCs w:val="19"/>
              </w:rPr>
              <w:t xml:space="preserve"> (scope)</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Identify areas with elevated heavy-rainfall risk for situational awareness and resource prioritization.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Identify areas with elevated heavy-rainfall risk for situational awareness. A historical decision-support prototype, not an official warning.</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Benefits: Government Systems</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Provides an auditable, extensible pipeline that can later be adapted to NCMRWF operational NWP products.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An auditable, read-only pipeline with an experimental live-cycle worker, ready to be adapted to NCMRWF operational NWP products.</w:t>
            </w:r>
          </w:p>
        </w:tc>
      </w:tr>
    </w:tbl>
    <w:p>
      <w:pPr>
        <w:spacing w:after="120"/>
      </w:pPr>
    </w:p>
    <w:p>
      <w:pPr>
        <w:pStyle w:val="Heading2"/>
        <w:keepNext/>
        <w:spacing w:after="80"/>
      </w:pPr>
      <w:r>
        <w:rPr/>
        <w:t xml:space="preserve">DIAGRAM: “For instance: Forecast Officer” (right)</w:t>
      </w:r>
    </w:p>
    <w:p>
      <w:pPr>
        <w:spacing w:after="60"/>
      </w:pPr>
      <w:r>
        <w:rPr/>
        <w:t xml:space="preserve">Keep the flow. Two small text changes make it match the product:</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Regime Analysis box</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Forecast-time atmospheric features characterize monsoon.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Forecast-time features give regime probabilities (active, break, low/depression).</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Extreme-Rain box</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Heavy and Very Heavy probabilities are calculated.</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Heavy and Very Heavy probabilities and the district view, with a note where Raw is still better.</w:t>
            </w:r>
          </w:p>
        </w:tc>
      </w:tr>
    </w:tbl>
    <w:p>
      <w:pPr>
        <w:spacing w:after="120"/>
      </w:pPr>
    </w:p>
    <w:p>
      <w:pPr>
        <w:pStyle w:val="Heading1"/>
        <w:keepNext/>
        <w:spacing w:after="80"/>
      </w:pPr>
      <w:r>
        <w:rPr/>
        <w:t xml:space="preserve">8. Slide 6: Research and references</w:t>
      </w:r>
    </w:p>
    <w:p>
      <w:pPr>
        <w:pStyle w:val="Heading2"/>
        <w:keepNext/>
        <w:spacing w:after="80"/>
      </w:pPr>
      <w:r>
        <w:rPr/>
        <w:t xml:space="preserve">Left side</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1. Scientific foundation: new bullets</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(three bullets: NOAA GEFSv12 Reforecast, IMD 0.25°, WMO and MoES verification guidelines)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Add: </w:t>
            </w:r>
            <w:r>
              <w:rPr>
                <w:b/>
                <w:sz w:val="19"/>
                <w:szCs w:val="19"/>
              </w:rPr>
              <w:t xml:space="preserve">ERA5 reanalysis (Hersbach et al., 2020):</w:t>
            </w:r>
            <w:r>
              <w:rPr>
                <w:sz w:val="19"/>
                <w:szCs w:val="19"/>
              </w:rPr>
              <w:t xml:space="preserve"> used only to label past regimes (vorticity rules), never as a forecast.</w:t>
            </w:r>
          </w:p>
          <w:p>
            <w:pPr>
              <w:spacing w:after="40"/>
            </w:pPr>
            <w:r>
              <w:rPr>
                <w:sz w:val="19"/>
                <w:szCs w:val="19"/>
              </w:rPr>
              <w:t xml:space="preserve">Add: </w:t>
            </w:r>
            <w:r>
              <w:rPr>
                <w:b/>
                <w:sz w:val="19"/>
                <w:szCs w:val="19"/>
              </w:rPr>
              <w:t xml:space="preserve">Active and break spells (Rajeevan et al., 2010):</w:t>
            </w:r>
            <w:r>
              <w:rPr>
                <w:sz w:val="19"/>
                <w:szCs w:val="19"/>
              </w:rPr>
              <w:t xml:space="preserve"> criteria used for the independent regime check against IMD rainfall.</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2. Report/Dataset links</w:t>
            </w:r>
          </w:p>
          <w:p>
            <w:pPr>
              <w:spacing w:after="40"/>
            </w:pPr>
            <w:r>
              <w:rPr>
                <w:b/>
                <w:color w:val="5A6B75"/>
                <w:sz w:val="19"/>
                <w:szCs w:val="19"/>
              </w:rPr>
              <w:t xml:space="preserve">OPTIONAL</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imdpune.gov.in/cmpg/Griddata, registry.opendata.aws/noaa-gefs-reforecast</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Keep both. Add: weatherbench2.readthedocs.io (ERA5 source) and geoboundaries.org (district boundaries). Open each link once before pasting.</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3. Research articles</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Pai et al. (2014) IMD 0.25° gridded rainfall; Roberts (2008) FSS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Pai et al. (2014): IMD 0.25° daily gridded rainfall dataset.</w:t>
            </w:r>
          </w:p>
          <w:p>
            <w:pPr>
              <w:spacing w:after="40"/>
            </w:pPr>
            <w:r>
              <w:rPr>
                <w:sz w:val="19"/>
                <w:szCs w:val="19"/>
              </w:rPr>
              <w:t xml:space="preserve">Roberts and Lean (2008): scale-selective verification of rainfall accumulations (FSS).</w:t>
            </w:r>
          </w:p>
          <w:p>
            <w:pPr>
              <w:spacing w:after="40"/>
            </w:pPr>
            <w:r>
              <w:rPr>
                <w:sz w:val="19"/>
                <w:szCs w:val="19"/>
              </w:rPr>
              <w:t xml:space="preserve">Rajeevan, Gadgil and Bhate (2010): active and break spells of the Indian summer monsoon.</w:t>
            </w:r>
          </w:p>
          <w:p>
            <w:pPr>
              <w:spacing w:after="40"/>
            </w:pPr>
            <w:r>
              <w:rPr>
                <w:sz w:val="19"/>
                <w:szCs w:val="19"/>
              </w:rPr>
              <w:t xml:space="preserve">Hersbach et al. (2020): the ERA5 global reanalysis.</w:t>
            </w:r>
          </w:p>
          <w:p>
            <w:pPr>
              <w:spacing w:after="40"/>
            </w:pPr>
            <w:r>
              <w:rPr>
                <w:b/>
                <w:sz w:val="19"/>
                <w:szCs w:val="19"/>
              </w:rPr>
              <w:t xml:space="preserve">Check titles and journals against your reference manager before submission; these entries were not re-opened while preparing this guide.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Demo video</w:t>
            </w:r>
          </w:p>
          <w:p>
            <w:pPr>
              <w:spacing w:after="40"/>
            </w:pPr>
            <w:r>
              <w:rPr>
                <w:b/>
                <w:color w:val="C0392B"/>
                <w:sz w:val="19"/>
                <w:szCs w:val="19"/>
              </w:rPr>
              <w:t xml:space="preserve">MUST</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https://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Paste the real video link here once it is uploaded (and re-test it in a private window).</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Technology used (links)</w:t>
            </w:r>
          </w:p>
          <w:p>
            <w:pPr>
              <w:spacing w:after="40"/>
            </w:pPr>
            <w:r>
              <w:rPr>
                <w:b/>
                <w:color w:val="C0392B"/>
                <w:sz w:val="19"/>
                <w:szCs w:val="19"/>
              </w:rPr>
              <w:t xml:space="preserve">MUST</w:t>
            </w:r>
            <w:r>
              <w:rPr>
                <w:color w:val="5A6B75"/>
                <w:sz w:val="19"/>
                <w:szCs w:val="19"/>
              </w:rPr>
              <w:t xml:space="preserve"> (Xarray is not used)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github.com/pydata/xarray, github.com/dmlc/xgboost, github.com/pydantic/PYDANTIC, github.com/fastapi/fastapi</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github.com/dmlc/xgboost · github.com/pydantic/pydantic · github.com/fastapi/fastapi · github.com/scikit-learn/scikit-learn · github.com/vercel/next.js · github.com/maplibre/maplibre-gl-js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MVP / GitHub links and QR codes</w:t>
            </w:r>
          </w:p>
          <w:p>
            <w:pPr>
              <w:spacing w:after="40"/>
            </w:pPr>
            <w:r>
              <w:rPr>
                <w:b/>
                <w:color w:val="0B7A75"/>
                <w:sz w:val="19"/>
                <w:szCs w:val="19"/>
              </w:rPr>
              <w:t xml:space="preserve">KEEP</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varshasetu.vercel.app, github.com/iadityachourasia/VarshaSetu</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No change. Both are live today and the repository is public.</w:t>
            </w:r>
          </w:p>
        </w:tc>
      </w:tr>
    </w:tbl>
    <w:p>
      <w:pPr>
        <w:spacing w:after="120"/>
      </w:pPr>
    </w:p>
    <w:p>
      <w:pPr>
        <w:pStyle w:val="Heading2"/>
        <w:keepNext/>
        <w:spacing w:after="80"/>
      </w:pPr>
      <w:r>
        <w:rPr/>
        <w:t xml:space="preserve">Right side: Existing Solution vs VarshaSetu table</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2300"/>
        <w:gridCol w:w="4500"/>
        <w:gridCol w:w="8238"/>
      </w:tblGrid>
      <w:tr>
        <w:trPr>
          <w:tblHeader/>
        </w:trPr>
        <w:tc>
          <w:tcPr>
            <w:tcW w:w="23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Where on the slide</w:t>
            </w:r>
          </w:p>
        </w:tc>
        <w:tc>
          <w:tcPr>
            <w:tcW w:w="45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Currently says</w:t>
            </w:r>
          </w:p>
        </w:tc>
        <w:tc>
          <w:tcPr>
            <w:tcW w:w="8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Replace with (ready to paste)</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Row label: Zero Data Leakage</w:t>
            </w:r>
          </w:p>
          <w:p>
            <w:pPr>
              <w:spacing w:after="40"/>
            </w:pPr>
            <w:r>
              <w:rPr>
                <w:b/>
                <w:color w:val="C0392B"/>
                <w:sz w:val="19"/>
                <w:szCs w:val="19"/>
              </w:rPr>
              <w:t xml:space="preserve">MUST</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Zero Data Leakage (VarshaSetu: tick)</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Forecast-Time-Only Inputs (leakage checks). Keep the same ticks.</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Row label: Monsoon Regime Aware Adaption</w:t>
            </w:r>
          </w:p>
          <w:p>
            <w:pPr>
              <w:spacing w:after="40"/>
            </w:pPr>
            <w:r>
              <w:rPr>
                <w:b/>
                <w:color w:val="C0392B"/>
                <w:sz w:val="19"/>
                <w:szCs w:val="19"/>
              </w:rPr>
              <w:t xml:space="preserve">MUST</w:t>
            </w:r>
            <w:r>
              <w:rPr>
                <w:color w:val="5A6B75"/>
                <w:sz w:val="19"/>
                <w:szCs w:val="19"/>
              </w:rPr>
              <w:t xml:space="preserve"> (typo)</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Monsoon Regime Aware Adaption</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Monsoon Regime-Aware Adaptation</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Replace one weaker row, or add an eighth row</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(seven rows)</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New row: </w:t>
            </w:r>
            <w:r>
              <w:rPr>
                <w:b/>
                <w:sz w:val="19"/>
                <w:szCs w:val="19"/>
              </w:rPr>
              <w:t xml:space="preserve">Sealed-Year, Hash-Verified Evidence.</w:t>
            </w:r>
            <w:r>
              <w:rPr>
                <w:sz w:val="19"/>
                <w:szCs w:val="19"/>
              </w:rPr>
              <w:t xml:space="preserve"> Raw NWP: ✗ · Standard ML: Limited · ECMWF High Res: ✗ · VarshaSetu: ✓</w:t>
            </w:r>
          </w:p>
        </w:tc>
      </w:tr>
      <w:tr>
        <w:trPr>
          <w:cantSplit/>
        </w:trPr>
        <w:tc>
          <w:tcPr>
            <w:tcW w:w="2300" w:type="dxa"/>
            <w:tcBorders>
              <w:top w:val="single" w:sz="4" w:space="0" w:color="B7C4CA"/>
              <w:left w:val="single" w:sz="4" w:space="0" w:color="B7C4CA"/>
              <w:bottom w:val="single" w:sz="4" w:space="0" w:color="B7C4CA"/>
              <w:right w:val="single" w:sz="4" w:space="0" w:color="B7C4CA"/>
            </w:tcBorders>
          </w:tcPr>
          <w:p>
            <w:pPr>
              <w:spacing w:after="40"/>
            </w:pPr>
            <w:r>
              <w:rPr>
                <w:sz w:val="19"/>
                <w:szCs w:val="19"/>
              </w:rPr>
              <w:t xml:space="preserve">Footnote under the table</w:t>
            </w:r>
          </w:p>
          <w:p>
            <w:pPr>
              <w:spacing w:after="40"/>
            </w:pPr>
            <w:r>
              <w:rPr>
                <w:b/>
                <w:color w:val="B7791F"/>
                <w:sz w:val="19"/>
                <w:szCs w:val="19"/>
              </w:rPr>
              <w:t xml:space="preserve">SHOULD</w:t>
            </w:r>
          </w:p>
        </w:tc>
        <w:tc>
          <w:tcPr>
            <w:tcW w:w="4500" w:type="dxa"/>
            <w:tcBorders>
              <w:top w:val="single" w:sz="4" w:space="0" w:color="B7C4CA"/>
              <w:left w:val="single" w:sz="4" w:space="0" w:color="B7C4CA"/>
              <w:bottom w:val="single" w:sz="4" w:space="0" w:color="B7C4CA"/>
              <w:right w:val="single" w:sz="4" w:space="0" w:color="B7C4CA"/>
            </w:tcBorders>
            <w:shd w:val="clear" w:color="auto" w:fill="F2F4F5"/>
          </w:tcPr>
          <w:p>
            <w:pPr>
              <w:spacing w:after="40"/>
            </w:pPr>
            <w:r>
              <w:rPr>
                <w:sz w:val="19"/>
                <w:szCs w:val="19"/>
              </w:rPr>
              <w:t xml:space="preserve">(none)</w:t>
            </w:r>
          </w:p>
        </w:tc>
        <w:tc>
          <w:tcPr>
            <w:tcW w:w="8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Comparison reflects typical published workflows, not a benchmark of specific products.</w:t>
            </w:r>
          </w:p>
        </w:tc>
      </w:tr>
    </w:tbl>
    <w:p>
      <w:pPr>
        <w:spacing w:after="120"/>
      </w:pPr>
    </w:p>
    <w:tbl>
      <w:tblPr>
        <w:tblW w:w="15038" w:type="dxa"/>
        <w:tblLayout w:type="fixed"/>
        <w:tblCellMar>
          <w:top w:w="80" w:type="dxa"/>
          <w:left w:w="140" w:type="dxa"/>
          <w:bottom w:w="80" w:type="dxa"/>
          <w:right w:w="140" w:type="dxa"/>
        </w:tblCellMar>
      </w:tblPr>
      <w:tblGrid>
        <w:gridCol w:w="15038"/>
      </w:tblGrid>
      <w:tr>
        <w:tc>
          <w:tcPr>
            <w:tcW w:w="15038" w:type="dxa"/>
            <w:shd w:val="clear" w:color="auto" w:fill="FFF4D6"/>
          </w:tcPr>
          <w:p>
            <w:pPr>
              <w:spacing w:after="40"/>
            </w:pPr>
            <w:r>
              <w:rPr>
                <w:b/>
                <w:color w:val="7A4B00"/>
                <w:sz w:val="20"/>
                <w:szCs w:val="20"/>
              </w:rPr>
              <w:t xml:space="preserve">About the comparison table:</w:t>
            </w:r>
            <w:r>
              <w:rPr>
                <w:color w:val="7A4B00"/>
                <w:sz w:val="20"/>
                <w:szCs w:val="20"/>
              </w:rPr>
              <w:t xml:space="preserve"> the competitor columns are your judgement, not something the project measured. The footnote above protects you if a judge asks for the source. If you cannot defend a specific cell (for example the ECMWF column), soften it to “Limited” or “Not assessed”.</w:t>
            </w:r>
          </w:p>
        </w:tc>
      </w:tr>
    </w:tbl>
    <w:p>
      <w:pPr>
        <w:spacing w:after="100"/>
      </w:pPr>
    </w:p>
    <w:p>
      <w:pPr>
        <w:pStyle w:val="Heading1"/>
        <w:keepNext/>
        <w:spacing w:after="80"/>
      </w:pPr>
      <w:r>
        <w:rPr/>
        <w:t xml:space="preserve">9. Wording to avoid, and a last checklist</w:t>
      </w:r>
    </w:p>
    <w:tbl>
      <w:tblPr>
        <w:tblW w:w="15038" w:type="dxa"/>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ayout w:type="fixed"/>
        <w:tblCellMar>
          <w:top w:w="60" w:type="dxa"/>
          <w:left w:w="100" w:type="dxa"/>
          <w:bottom w:w="60" w:type="dxa"/>
          <w:right w:w="100" w:type="dxa"/>
        </w:tblCellMar>
      </w:tblPr>
      <w:tblGrid>
        <w:gridCol w:w="5800"/>
        <w:gridCol w:w="9238"/>
      </w:tblGrid>
      <w:tr>
        <w:trPr>
          <w:tblHeader/>
        </w:trPr>
        <w:tc>
          <w:tcPr>
            <w:tcW w:w="5800"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Do not write</w:t>
            </w:r>
          </w:p>
        </w:tc>
        <w:tc>
          <w:tcPr>
            <w:tcW w:w="9238" w:type="dxa"/>
            <w:tcBorders>
              <w:top w:val="single" w:sz="4" w:space="0" w:color="B7C4CA"/>
              <w:left w:val="single" w:sz="4" w:space="0" w:color="B7C4CA"/>
              <w:bottom w:val="single" w:sz="4" w:space="0" w:color="B7C4CA"/>
              <w:right w:val="single" w:sz="4" w:space="0" w:color="B7C4CA"/>
            </w:tcBorders>
            <w:shd w:val="clear" w:color="auto" w:fill="0B7A75"/>
          </w:tcPr>
          <w:p>
            <w:pPr>
              <w:spacing w:after="0"/>
            </w:pPr>
            <w:r>
              <w:rPr>
                <w:b/>
                <w:color w:val="FFFFFF"/>
                <w:sz w:val="19"/>
                <w:szCs w:val="19"/>
              </w:rPr>
              <w:t xml:space="preserve">Write instead</w:t>
            </w:r>
          </w:p>
        </w:tc>
      </w:tr>
      <w:tr>
        <w:trPr>
          <w:cantSplit/>
        </w:trPr>
        <w:tc>
          <w:tcPr>
            <w:tcW w:w="5800" w:type="dxa"/>
            <w:tcBorders>
              <w:top w:val="single" w:sz="4" w:space="0" w:color="B7C4CA"/>
              <w:left w:val="single" w:sz="4" w:space="0" w:color="B7C4CA"/>
              <w:bottom w:val="single" w:sz="4" w:space="0" w:color="B7C4CA"/>
              <w:right w:val="single" w:sz="4" w:space="0" w:color="B7C4CA"/>
            </w:tcBorders>
            <w:shd w:val="clear" w:color="auto" w:fill="FDEDED"/>
          </w:tcPr>
          <w:p>
            <w:pPr>
              <w:spacing w:after="40"/>
            </w:pPr>
            <w:r>
              <w:rPr>
                <w:sz w:val="19"/>
                <w:szCs w:val="19"/>
              </w:rPr>
              <w:t xml:space="preserve">“Untouched” or “unseen” test for 2019, 2022 or 2025</w:t>
            </w:r>
          </w:p>
        </w:tc>
        <w:tc>
          <w:tcPr>
            <w:tcW w:w="9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“Held-out final test, completed once. Later analyses are labelled post-hoc.”</w:t>
            </w:r>
          </w:p>
        </w:tc>
      </w:tr>
      <w:tr>
        <w:trPr>
          <w:cantSplit/>
        </w:trPr>
        <w:tc>
          <w:tcPr>
            <w:tcW w:w="5800" w:type="dxa"/>
            <w:tcBorders>
              <w:top w:val="single" w:sz="4" w:space="0" w:color="B7C4CA"/>
              <w:left w:val="single" w:sz="4" w:space="0" w:color="B7C4CA"/>
              <w:bottom w:val="single" w:sz="4" w:space="0" w:color="B7C4CA"/>
              <w:right w:val="single" w:sz="4" w:space="0" w:color="B7C4CA"/>
            </w:tcBorders>
            <w:shd w:val="clear" w:color="auto" w:fill="FDEDED"/>
          </w:tcPr>
          <w:p>
            <w:pPr>
              <w:spacing w:after="40"/>
            </w:pPr>
            <w:r>
              <w:rPr>
                <w:sz w:val="19"/>
                <w:szCs w:val="19"/>
              </w:rPr>
              <w:t xml:space="preserve">“Zero data leakage” or “leakage-free”</w:t>
            </w:r>
          </w:p>
        </w:tc>
        <w:tc>
          <w:tcPr>
            <w:tcW w:w="9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“Forecast-time-only inputs, with leakage checks.”</w:t>
            </w:r>
          </w:p>
        </w:tc>
      </w:tr>
      <w:tr>
        <w:trPr>
          <w:cantSplit/>
        </w:trPr>
        <w:tc>
          <w:tcPr>
            <w:tcW w:w="5800" w:type="dxa"/>
            <w:tcBorders>
              <w:top w:val="single" w:sz="4" w:space="0" w:color="B7C4CA"/>
              <w:left w:val="single" w:sz="4" w:space="0" w:color="B7C4CA"/>
              <w:bottom w:val="single" w:sz="4" w:space="0" w:color="B7C4CA"/>
              <w:right w:val="single" w:sz="4" w:space="0" w:color="B7C4CA"/>
            </w:tcBorders>
            <w:shd w:val="clear" w:color="auto" w:fill="FDEDED"/>
          </w:tcPr>
          <w:p>
            <w:pPr>
              <w:spacing w:after="40"/>
            </w:pPr>
            <w:r>
              <w:rPr>
                <w:sz w:val="19"/>
                <w:szCs w:val="19"/>
              </w:rPr>
              <w:t xml:space="preserve">“Regime-aware AI beats the baseline”</w:t>
            </w:r>
          </w:p>
        </w:tc>
        <w:tc>
          <w:tcPr>
            <w:tcW w:w="9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“Regime-aware models improve on Raw; against a plain global model the benefit was not shown.”</w:t>
            </w:r>
          </w:p>
        </w:tc>
      </w:tr>
      <w:tr>
        <w:trPr>
          <w:cantSplit/>
        </w:trPr>
        <w:tc>
          <w:tcPr>
            <w:tcW w:w="5800" w:type="dxa"/>
            <w:tcBorders>
              <w:top w:val="single" w:sz="4" w:space="0" w:color="B7C4CA"/>
              <w:left w:val="single" w:sz="4" w:space="0" w:color="B7C4CA"/>
              <w:bottom w:val="single" w:sz="4" w:space="0" w:color="B7C4CA"/>
              <w:right w:val="single" w:sz="4" w:space="0" w:color="B7C4CA"/>
            </w:tcBorders>
            <w:shd w:val="clear" w:color="auto" w:fill="FDEDED"/>
          </w:tcPr>
          <w:p>
            <w:pPr>
              <w:spacing w:after="40"/>
            </w:pPr>
            <w:r>
              <w:rPr>
                <w:sz w:val="19"/>
                <w:szCs w:val="19"/>
              </w:rPr>
              <w:t xml:space="preserve">“Validated regimes” or “observed regimes”</w:t>
            </w:r>
          </w:p>
        </w:tc>
        <w:tc>
          <w:tcPr>
            <w:tcW w:w="9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“Forecast-derived pseudo-regimes, scored against objective IMD and ERA5 labels.”</w:t>
            </w:r>
          </w:p>
        </w:tc>
      </w:tr>
      <w:tr>
        <w:trPr>
          <w:cantSplit/>
        </w:trPr>
        <w:tc>
          <w:tcPr>
            <w:tcW w:w="5800" w:type="dxa"/>
            <w:tcBorders>
              <w:top w:val="single" w:sz="4" w:space="0" w:color="B7C4CA"/>
              <w:left w:val="single" w:sz="4" w:space="0" w:color="B7C4CA"/>
              <w:bottom w:val="single" w:sz="4" w:space="0" w:color="B7C4CA"/>
              <w:right w:val="single" w:sz="4" w:space="0" w:color="B7C4CA"/>
            </w:tcBorders>
            <w:shd w:val="clear" w:color="auto" w:fill="FDEDED"/>
          </w:tcPr>
          <w:p>
            <w:pPr>
              <w:spacing w:after="40"/>
            </w:pPr>
            <w:r>
              <w:rPr>
                <w:sz w:val="19"/>
                <w:szCs w:val="19"/>
              </w:rPr>
              <w:t xml:space="preserve">“Operational”, “live forecast”, “warning system”</w:t>
            </w:r>
          </w:p>
        </w:tc>
        <w:tc>
          <w:tcPr>
            <w:tcW w:w="9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“Historical decision-support prototype. An experimental live-cycle worker exists; no skill claim.”</w:t>
            </w:r>
          </w:p>
        </w:tc>
      </w:tr>
      <w:tr>
        <w:trPr>
          <w:cantSplit/>
        </w:trPr>
        <w:tc>
          <w:tcPr>
            <w:tcW w:w="5800" w:type="dxa"/>
            <w:tcBorders>
              <w:top w:val="single" w:sz="4" w:space="0" w:color="B7C4CA"/>
              <w:left w:val="single" w:sz="4" w:space="0" w:color="B7C4CA"/>
              <w:bottom w:val="single" w:sz="4" w:space="0" w:color="B7C4CA"/>
              <w:right w:val="single" w:sz="4" w:space="0" w:color="B7C4CA"/>
            </w:tcBorders>
            <w:shd w:val="clear" w:color="auto" w:fill="FDEDED"/>
          </w:tcPr>
          <w:p>
            <w:pPr>
              <w:spacing w:after="40"/>
            </w:pPr>
            <w:r>
              <w:rPr>
                <w:sz w:val="19"/>
                <w:szCs w:val="19"/>
              </w:rPr>
              <w:t xml:space="preserve">“Whole-India forecasts”</w:t>
            </w:r>
          </w:p>
        </w:tc>
        <w:tc>
          <w:tcPr>
            <w:tcW w:w="9238" w:type="dxa"/>
            <w:tcBorders>
              <w:top w:val="single" w:sz="4" w:space="0" w:color="B7C4CA"/>
              <w:left w:val="single" w:sz="4" w:space="0" w:color="B7C4CA"/>
              <w:bottom w:val="single" w:sz="4" w:space="0" w:color="B7C4CA"/>
              <w:right w:val="single" w:sz="4" w:space="0" w:color="B7C4CA"/>
            </w:tcBorders>
            <w:shd w:val="clear" w:color="auto" w:fill="EAF6EE"/>
          </w:tcPr>
          <w:p>
            <w:pPr>
              <w:spacing w:after="40"/>
            </w:pPr>
            <w:r>
              <w:rPr>
                <w:sz w:val="19"/>
                <w:szCs w:val="19"/>
              </w:rPr>
              <w:t xml:space="preserve">“Validated model domain 10 to 22 N, 68 to 80 E; Raw GEFS is also verified across India by region.”</w:t>
            </w:r>
          </w:p>
        </w:tc>
      </w:tr>
    </w:tbl>
    <w:p>
      <w:pPr>
        <w:spacing w:after="120"/>
      </w:pPr>
    </w:p>
    <w:p>
      <w:pPr>
        <w:pStyle w:val="Heading2"/>
        <w:keepNext/>
        <w:spacing w:after="80"/>
      </w:pPr>
      <w:r>
        <w:rPr/>
        <w:t xml:space="preserve">Before you export the deck</w:t>
      </w:r>
    </w:p>
    <w:p>
      <w:pPr>
        <w:spacing w:after="40"/>
        <w:ind w:left="360" w:hanging="240"/>
      </w:pPr>
      <w:r>
        <w:rPr/>
        <w:t xml:space="preserve">•  Every number on a slide appears in section 2 of this document (or on the website).</w:t>
      </w:r>
    </w:p>
    <w:p>
      <w:pPr>
        <w:spacing w:after="40"/>
        <w:ind w:left="360" w:hanging="240"/>
      </w:pPr>
      <w:r>
        <w:rPr/>
        <w:t xml:space="preserve">•  The demo video link on slide 6 opens in a private browser window, and the QR codes still scan to the right pages.</w:t>
      </w:r>
    </w:p>
    <w:p>
      <w:pPr>
        <w:spacing w:after="40"/>
        <w:ind w:left="360" w:hanging="240"/>
      </w:pPr>
      <w:r>
        <w:rPr/>
        <w:t xml:space="preserve">•  Slide 4 has no leftover internal note; search the deck for “Do not say”.</w:t>
      </w:r>
    </w:p>
    <w:p>
      <w:pPr>
        <w:spacing w:after="40"/>
        <w:ind w:left="360" w:hanging="240"/>
      </w:pPr>
      <w:r>
        <w:rPr/>
        <w:t xml:space="preserve">•  Xarray appears nowhere in the deck (slides 3 and 6).</w:t>
      </w:r>
    </w:p>
    <w:p>
      <w:pPr>
        <w:spacing w:after="40"/>
        <w:ind w:left="360" w:hanging="240"/>
      </w:pPr>
      <w:r>
        <w:rPr/>
        <w:t xml:space="preserve">•  Team name and team ID on slide 1 match the SIH portal.</w:t>
      </w:r>
    </w:p>
    <w:p>
      <w:pPr>
        <w:spacing w:after="40"/>
        <w:ind w:left="360" w:hanging="240"/>
      </w:pPr>
      <w:r>
        <w:rPr/>
        <w:t xml:space="preserve">•  Export to PDF and check that no text box overflows after pasting the longer replacements. If the strength box is too small, keep only its first two lines (the 2019 and 2025 RMSE results) and the last line (the stated limit).</w:t>
      </w:r>
    </w:p>
    <w:sectPr>
      <w:pgSz w:w="16838" w:h="11906" w:orient="landscape"/>
      <w:pgMar w:top="900" w:right="900" w:bottom="900" w:left="900" w:header="500" w:footer="500" w:gutter="0"/>
    </w:sectPr>
  </w:body>
</w:document>
</file>

<file path=word/styles.xml><?xml version="1.0" encoding="utf-8"?>
<w:styles xmlns:w="http://schemas.openxmlformats.org/wordprocessingml/2006/main">
  <w:docDefaults>
    <w:rPrDefault>
      <w:rPr>
        <w:rFonts w:ascii="Calibri" w:hAnsi="Calibri" w:cs="Calibri" w:eastAsia="Calibri"/>
        <w:color w:val="1B2B34"/>
        <w:sz w:val="21"/>
        <w:szCs w:val="21"/>
        <w:lang w:val="en-GB"/>
      </w:rPr>
    </w:rPrDefault>
    <w:pPrDefault>
      <w:pPr>
        <w:spacing w:after="80" w:line="264" w:lineRule="auto"/>
      </w:pPr>
    </w:pPrDefault>
  </w:docDefaults>
  <w:style w:type="paragraph" w:default="1" w:styleId="Normal">
    <w:name w:val="Normal"/>
    <w:qFormat/>
  </w:style>
  <w:style w:type="paragraph" w:styleId="Title">
    <w:name w:val="Title"/>
    <w:basedOn w:val="Normal"/>
    <w:qFormat/>
    <w:rPr>
      <w:b/>
      <w:color w:val="0B7A75"/>
      <w:sz w:val="52"/>
      <w:szCs w:val="52"/>
    </w:rPr>
  </w:style>
  <w:style w:type="paragraph" w:styleId="Heading1">
    <w:name w:val="heading 1"/>
    <w:basedOn w:val="Normal"/>
    <w:next w:val="Normal"/>
    <w:qFormat/>
    <w:pPr>
      <w:keepNext/>
      <w:spacing w:before="320" w:after="100"/>
      <w:outlineLvl w:val="0"/>
    </w:pPr>
    <w:rPr>
      <w:b/>
      <w:color w:val="0B7A75"/>
      <w:sz w:val="34"/>
      <w:szCs w:val="34"/>
    </w:rPr>
  </w:style>
  <w:style w:type="paragraph" w:styleId="Heading2">
    <w:name w:val="heading 2"/>
    <w:basedOn w:val="Normal"/>
    <w:next w:val="Normal"/>
    <w:qFormat/>
    <w:pPr>
      <w:keepNext/>
      <w:spacing w:before="200" w:after="80"/>
      <w:outlineLvl w:val="1"/>
    </w:pPr>
    <w:rPr>
      <w:b/>
      <w:color w:val="1B2B34"/>
      <w:sz w:val="26"/>
      <w:szCs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