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Exemplar for</w:t>
      </w:r>
      <w:r w:rsidDel="00000000" w:rsidR="00000000" w:rsidRPr="00000000">
        <w:rPr>
          <w:rFonts w:ascii="Arial" w:cs="Arial" w:eastAsia="Arial" w:hAnsi="Arial"/>
          <w:b w:val="1"/>
          <w:sz w:val="28"/>
          <w:szCs w:val="28"/>
          <w:rtl w:val="0"/>
        </w:rPr>
        <w:t xml:space="preserve"> Activity: Change management model recognition</w:t>
      </w:r>
    </w:p>
    <w:p w:rsidR="00000000" w:rsidDel="00000000" w:rsidP="00000000" w:rsidRDefault="00000000" w:rsidRPr="00000000" w14:paraId="00000002">
      <w:pPr>
        <w:spacing w:after="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03">
      <w:pPr>
        <w:pStyle w:val="Heading2"/>
        <w:rPr>
          <w:rFonts w:ascii="Arial" w:cs="Arial" w:eastAsia="Arial" w:hAnsi="Arial"/>
        </w:rPr>
      </w:pPr>
      <w:bookmarkStart w:colFirst="0" w:colLast="0" w:name="_tyjcwt" w:id="0"/>
      <w:bookmarkEnd w:id="0"/>
      <w:r w:rsidDel="00000000" w:rsidR="00000000" w:rsidRPr="00000000">
        <w:rPr>
          <w:rFonts w:ascii="Arial" w:cs="Arial" w:eastAsia="Arial" w:hAnsi="Arial"/>
          <w:rtl w:val="0"/>
        </w:rPr>
        <w:t xml:space="preserve">Step 1: Evaluating strengths and weaknesses</w:t>
      </w:r>
    </w:p>
    <w:p w:rsidR="00000000" w:rsidDel="00000000" w:rsidP="00000000" w:rsidRDefault="00000000" w:rsidRPr="00000000" w14:paraId="00000004">
      <w:pPr>
        <w:rPr/>
      </w:pPr>
      <w:r w:rsidDel="00000000" w:rsidR="00000000" w:rsidRPr="00000000">
        <w:rPr>
          <w:rtl w:val="0"/>
        </w:rPr>
        <w:t xml:space="preserve">Your task is to list three strengths and three weaknesses of each change management model: Top-Down, Bottom-Up, and Hybrid approaches. Your analysis will help the program manager decide on the most suitable model for the transformation. Complete the comparative table in your answer template.</w:t>
      </w:r>
    </w:p>
    <w:tbl>
      <w:tblPr>
        <w:tblStyle w:val="Table1"/>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655"/>
        <w:gridCol w:w="2490"/>
        <w:gridCol w:w="2550"/>
        <w:tblGridChange w:id="0">
          <w:tblGrid>
            <w:gridCol w:w="2550"/>
            <w:gridCol w:w="2655"/>
            <w:gridCol w:w="2490"/>
            <w:gridCol w:w="2550"/>
          </w:tblGrid>
        </w:tblGridChange>
      </w:tblGrid>
      <w:tr>
        <w:trPr>
          <w:cantSplit w:val="0"/>
          <w:tblHeader w:val="0"/>
        </w:trPr>
        <w:tc>
          <w:tcPr/>
          <w:p w:rsidR="00000000" w:rsidDel="00000000" w:rsidP="00000000" w:rsidRDefault="00000000" w:rsidRPr="00000000" w14:paraId="00000005">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006">
            <w:pPr>
              <w:spacing w:line="276" w:lineRule="auto"/>
              <w:rPr>
                <w:rFonts w:ascii="Arial" w:cs="Arial" w:eastAsia="Arial" w:hAnsi="Arial"/>
                <w:b w:val="1"/>
              </w:rPr>
            </w:pPr>
            <w:r w:rsidDel="00000000" w:rsidR="00000000" w:rsidRPr="00000000">
              <w:rPr>
                <w:rFonts w:ascii="Arial" w:cs="Arial" w:eastAsia="Arial" w:hAnsi="Arial"/>
                <w:b w:val="1"/>
                <w:rtl w:val="0"/>
              </w:rPr>
              <w:t xml:space="preserve">Top-down</w:t>
            </w:r>
          </w:p>
        </w:tc>
        <w:tc>
          <w:tcPr/>
          <w:p w:rsidR="00000000" w:rsidDel="00000000" w:rsidP="00000000" w:rsidRDefault="00000000" w:rsidRPr="00000000" w14:paraId="00000007">
            <w:pPr>
              <w:spacing w:line="276" w:lineRule="auto"/>
              <w:rPr>
                <w:rFonts w:ascii="Arial" w:cs="Arial" w:eastAsia="Arial" w:hAnsi="Arial"/>
                <w:b w:val="1"/>
              </w:rPr>
            </w:pPr>
            <w:r w:rsidDel="00000000" w:rsidR="00000000" w:rsidRPr="00000000">
              <w:rPr>
                <w:rFonts w:ascii="Arial" w:cs="Arial" w:eastAsia="Arial" w:hAnsi="Arial"/>
                <w:b w:val="1"/>
                <w:rtl w:val="0"/>
              </w:rPr>
              <w:t xml:space="preserve">Bottom-up</w:t>
            </w:r>
          </w:p>
        </w:tc>
        <w:tc>
          <w:tcPr/>
          <w:p w:rsidR="00000000" w:rsidDel="00000000" w:rsidP="00000000" w:rsidRDefault="00000000" w:rsidRPr="00000000" w14:paraId="00000008">
            <w:pPr>
              <w:spacing w:line="276" w:lineRule="auto"/>
              <w:rPr>
                <w:rFonts w:ascii="Arial" w:cs="Arial" w:eastAsia="Arial" w:hAnsi="Arial"/>
                <w:b w:val="1"/>
              </w:rPr>
            </w:pPr>
            <w:r w:rsidDel="00000000" w:rsidR="00000000" w:rsidRPr="00000000">
              <w:rPr>
                <w:rFonts w:ascii="Arial" w:cs="Arial" w:eastAsia="Arial" w:hAnsi="Arial"/>
                <w:b w:val="1"/>
                <w:rtl w:val="0"/>
              </w:rPr>
              <w:t xml:space="preserve">Hybrid</w:t>
            </w:r>
          </w:p>
        </w:tc>
      </w:tr>
      <w:tr>
        <w:trPr>
          <w:cantSplit w:val="0"/>
          <w:tblHeader w:val="0"/>
        </w:trPr>
        <w:tc>
          <w:tcPr/>
          <w:p w:rsidR="00000000" w:rsidDel="00000000" w:rsidP="00000000" w:rsidRDefault="00000000" w:rsidRPr="00000000" w14:paraId="00000009">
            <w:pPr>
              <w:spacing w:line="276" w:lineRule="auto"/>
              <w:rPr>
                <w:rFonts w:ascii="Arial" w:cs="Arial" w:eastAsia="Arial" w:hAnsi="Arial"/>
              </w:rPr>
            </w:pPr>
            <w:r w:rsidDel="00000000" w:rsidR="00000000" w:rsidRPr="00000000">
              <w:rPr>
                <w:rFonts w:ascii="Arial" w:cs="Arial" w:eastAsia="Arial" w:hAnsi="Arial"/>
                <w:rtl w:val="0"/>
              </w:rPr>
              <w:t xml:space="preserve">Strength 1:</w:t>
            </w:r>
          </w:p>
        </w:tc>
        <w:tc>
          <w:tcPr/>
          <w:p w:rsidR="00000000" w:rsidDel="00000000" w:rsidP="00000000" w:rsidRDefault="00000000" w:rsidRPr="00000000" w14:paraId="0000000A">
            <w:pPr>
              <w:spacing w:line="276" w:lineRule="auto"/>
              <w:rPr>
                <w:rFonts w:ascii="Arial" w:cs="Arial" w:eastAsia="Arial" w:hAnsi="Arial"/>
              </w:rPr>
            </w:pPr>
            <w:r w:rsidDel="00000000" w:rsidR="00000000" w:rsidRPr="00000000">
              <w:rPr>
                <w:rFonts w:ascii="Arial" w:cs="Arial" w:eastAsia="Arial" w:hAnsi="Arial"/>
                <w:rtl w:val="0"/>
              </w:rPr>
              <w:t xml:space="preserve">Clear direction and alignment: Leadership sets the vision and goals, ensuring the entire organization is aligned with strategic objectives.</w:t>
            </w:r>
          </w:p>
        </w:tc>
        <w:tc>
          <w:tcPr/>
          <w:p w:rsidR="00000000" w:rsidDel="00000000" w:rsidP="00000000" w:rsidRDefault="00000000" w:rsidRPr="00000000" w14:paraId="0000000B">
            <w:pPr>
              <w:spacing w:after="160" w:line="276" w:lineRule="auto"/>
              <w:rPr>
                <w:rFonts w:ascii="Arial" w:cs="Arial" w:eastAsia="Arial" w:hAnsi="Arial"/>
              </w:rPr>
            </w:pPr>
            <w:r w:rsidDel="00000000" w:rsidR="00000000" w:rsidRPr="00000000">
              <w:rPr>
                <w:rFonts w:ascii="Arial" w:cs="Arial" w:eastAsia="Arial" w:hAnsi="Arial"/>
                <w:rtl w:val="0"/>
              </w:rPr>
              <w:t xml:space="preserve">Employee engagement and ownership: Employees feel more engaged and committed because they are actively involved in suggesting and implementing changes.</w:t>
            </w:r>
          </w:p>
        </w:tc>
        <w:tc>
          <w:tcPr/>
          <w:p w:rsidR="00000000" w:rsidDel="00000000" w:rsidP="00000000" w:rsidRDefault="00000000" w:rsidRPr="00000000" w14:paraId="0000000C">
            <w:pPr>
              <w:spacing w:after="160" w:line="276" w:lineRule="auto"/>
              <w:rPr>
                <w:rFonts w:ascii="Arial" w:cs="Arial" w:eastAsia="Arial" w:hAnsi="Arial"/>
              </w:rPr>
            </w:pPr>
            <w:r w:rsidDel="00000000" w:rsidR="00000000" w:rsidRPr="00000000">
              <w:rPr>
                <w:rFonts w:ascii="Arial" w:cs="Arial" w:eastAsia="Arial" w:hAnsi="Arial"/>
                <w:rtl w:val="0"/>
              </w:rPr>
              <w:t xml:space="preserve">Strategic alignment with employee engagement: The hybrid approach ensures that leadership-driven goals are aligned with employee input, resulting in both top-level direction and grassroots involvement.</w:t>
            </w:r>
          </w:p>
        </w:tc>
      </w:tr>
      <w:tr>
        <w:trPr>
          <w:cantSplit w:val="0"/>
          <w:tblHeader w:val="0"/>
        </w:trPr>
        <w:tc>
          <w:tcPr/>
          <w:p w:rsidR="00000000" w:rsidDel="00000000" w:rsidP="00000000" w:rsidRDefault="00000000" w:rsidRPr="00000000" w14:paraId="0000000D">
            <w:pPr>
              <w:spacing w:line="276" w:lineRule="auto"/>
              <w:rPr>
                <w:rFonts w:ascii="Arial" w:cs="Arial" w:eastAsia="Arial" w:hAnsi="Arial"/>
              </w:rPr>
            </w:pPr>
            <w:r w:rsidDel="00000000" w:rsidR="00000000" w:rsidRPr="00000000">
              <w:rPr>
                <w:rFonts w:ascii="Arial" w:cs="Arial" w:eastAsia="Arial" w:hAnsi="Arial"/>
                <w:rtl w:val="0"/>
              </w:rPr>
              <w:t xml:space="preserve">Strength 2:</w:t>
            </w:r>
          </w:p>
        </w:tc>
        <w:tc>
          <w:tcPr/>
          <w:p w:rsidR="00000000" w:rsidDel="00000000" w:rsidP="00000000" w:rsidRDefault="00000000" w:rsidRPr="00000000" w14:paraId="0000000E">
            <w:pPr>
              <w:spacing w:after="160" w:line="276" w:lineRule="auto"/>
              <w:rPr>
                <w:rFonts w:ascii="Arial" w:cs="Arial" w:eastAsia="Arial" w:hAnsi="Arial"/>
              </w:rPr>
            </w:pPr>
            <w:r w:rsidDel="00000000" w:rsidR="00000000" w:rsidRPr="00000000">
              <w:rPr>
                <w:rFonts w:ascii="Arial" w:cs="Arial" w:eastAsia="Arial" w:hAnsi="Arial"/>
                <w:rtl w:val="0"/>
              </w:rPr>
              <w:t xml:space="preserve">Quick implementation: Decisions can be made rapidly by leadership, allowing for faster execution of change initiatives, especially in urgent situations.</w:t>
            </w:r>
          </w:p>
        </w:tc>
        <w:tc>
          <w:tcPr/>
          <w:p w:rsidR="00000000" w:rsidDel="00000000" w:rsidP="00000000" w:rsidRDefault="00000000" w:rsidRPr="00000000" w14:paraId="0000000F">
            <w:pPr>
              <w:spacing w:after="160" w:line="276" w:lineRule="auto"/>
              <w:rPr>
                <w:rFonts w:ascii="Arial" w:cs="Arial" w:eastAsia="Arial" w:hAnsi="Arial"/>
              </w:rPr>
            </w:pPr>
            <w:r w:rsidDel="00000000" w:rsidR="00000000" w:rsidRPr="00000000">
              <w:rPr>
                <w:rFonts w:ascii="Arial" w:cs="Arial" w:eastAsia="Arial" w:hAnsi="Arial"/>
                <w:rtl w:val="0"/>
              </w:rPr>
              <w:t xml:space="preserve">Innovation and creativity: Employees who are closer to operational processes can provide innovative ideas and solutions that leadership may not be aware of.</w:t>
            </w:r>
          </w:p>
        </w:tc>
        <w:tc>
          <w:tcPr/>
          <w:p w:rsidR="00000000" w:rsidDel="00000000" w:rsidP="00000000" w:rsidRDefault="00000000" w:rsidRPr="00000000" w14:paraId="00000010">
            <w:pPr>
              <w:spacing w:after="160" w:line="276" w:lineRule="auto"/>
              <w:rPr>
                <w:rFonts w:ascii="Arial" w:cs="Arial" w:eastAsia="Arial" w:hAnsi="Arial"/>
              </w:rPr>
            </w:pPr>
            <w:r w:rsidDel="00000000" w:rsidR="00000000" w:rsidRPr="00000000">
              <w:rPr>
                <w:rFonts w:ascii="Arial" w:cs="Arial" w:eastAsia="Arial" w:hAnsi="Arial"/>
                <w:rtl w:val="0"/>
              </w:rPr>
              <w:t xml:space="preserve">Resilience and flexibility: This model allows for adaptability by incorporating feedback from employees, making the organization more resilient to unforeseen challenges during large-scale changes.</w:t>
            </w:r>
          </w:p>
        </w:tc>
      </w:tr>
      <w:tr>
        <w:trPr>
          <w:cantSplit w:val="0"/>
          <w:tblHeader w:val="0"/>
        </w:trPr>
        <w:tc>
          <w:tcPr/>
          <w:p w:rsidR="00000000" w:rsidDel="00000000" w:rsidP="00000000" w:rsidRDefault="00000000" w:rsidRPr="00000000" w14:paraId="00000011">
            <w:pPr>
              <w:spacing w:line="276" w:lineRule="auto"/>
              <w:rPr>
                <w:rFonts w:ascii="Arial" w:cs="Arial" w:eastAsia="Arial" w:hAnsi="Arial"/>
              </w:rPr>
            </w:pPr>
            <w:r w:rsidDel="00000000" w:rsidR="00000000" w:rsidRPr="00000000">
              <w:rPr>
                <w:rFonts w:ascii="Arial" w:cs="Arial" w:eastAsia="Arial" w:hAnsi="Arial"/>
                <w:rtl w:val="0"/>
              </w:rPr>
              <w:t xml:space="preserve">Strength 3:</w:t>
            </w:r>
          </w:p>
        </w:tc>
        <w:tc>
          <w:tcPr/>
          <w:p w:rsidR="00000000" w:rsidDel="00000000" w:rsidP="00000000" w:rsidRDefault="00000000" w:rsidRPr="00000000" w14:paraId="00000012">
            <w:pPr>
              <w:spacing w:after="160" w:line="276" w:lineRule="auto"/>
              <w:rPr>
                <w:rFonts w:ascii="Arial" w:cs="Arial" w:eastAsia="Arial" w:hAnsi="Arial"/>
              </w:rPr>
            </w:pPr>
            <w:r w:rsidDel="00000000" w:rsidR="00000000" w:rsidRPr="00000000">
              <w:rPr>
                <w:rFonts w:ascii="Arial" w:cs="Arial" w:eastAsia="Arial" w:hAnsi="Arial"/>
                <w:rtl w:val="0"/>
              </w:rPr>
              <w:t xml:space="preserve">Unified vision: The model ensures that all departments follow the same strategy, reducing confusion and maintaining a cohesive approach to change.</w:t>
            </w:r>
          </w:p>
        </w:tc>
        <w:tc>
          <w:tcPr/>
          <w:p w:rsidR="00000000" w:rsidDel="00000000" w:rsidP="00000000" w:rsidRDefault="00000000" w:rsidRPr="00000000" w14:paraId="00000013">
            <w:pPr>
              <w:spacing w:after="160" w:line="276" w:lineRule="auto"/>
              <w:rPr>
                <w:rFonts w:ascii="Arial" w:cs="Arial" w:eastAsia="Arial" w:hAnsi="Arial"/>
              </w:rPr>
            </w:pPr>
            <w:r w:rsidDel="00000000" w:rsidR="00000000" w:rsidRPr="00000000">
              <w:rPr>
                <w:rFonts w:ascii="Arial" w:cs="Arial" w:eastAsia="Arial" w:hAnsi="Arial"/>
                <w:rtl w:val="0"/>
              </w:rPr>
              <w:t xml:space="preserve">Sustainable changes: Since employees are involved from the start, the changes are more likely to be sustainable, as they are aligned with the needs and realities of day-to-day operations.</w:t>
            </w:r>
          </w:p>
        </w:tc>
        <w:tc>
          <w:tcPr/>
          <w:p w:rsidR="00000000" w:rsidDel="00000000" w:rsidP="00000000" w:rsidRDefault="00000000" w:rsidRPr="00000000" w14:paraId="00000014">
            <w:pPr>
              <w:spacing w:after="160" w:line="276" w:lineRule="auto"/>
              <w:rPr>
                <w:rFonts w:ascii="Arial" w:cs="Arial" w:eastAsia="Arial" w:hAnsi="Arial"/>
              </w:rPr>
            </w:pPr>
            <w:r w:rsidDel="00000000" w:rsidR="00000000" w:rsidRPr="00000000">
              <w:rPr>
                <w:rFonts w:ascii="Arial" w:cs="Arial" w:eastAsia="Arial" w:hAnsi="Arial"/>
                <w:rtl w:val="0"/>
              </w:rPr>
              <w:t xml:space="preserve">Balanced innovation: By combining leadership’s strategic vision with employees’ innovative ideas, the organization can foster creativity while staying aligned with long-term objectives.</w:t>
            </w:r>
          </w:p>
        </w:tc>
      </w:tr>
      <w:tr>
        <w:trPr>
          <w:cantSplit w:val="0"/>
          <w:tblHeader w:val="0"/>
        </w:trPr>
        <w:tc>
          <w:tcPr/>
          <w:p w:rsidR="00000000" w:rsidDel="00000000" w:rsidP="00000000" w:rsidRDefault="00000000" w:rsidRPr="00000000" w14:paraId="00000015">
            <w:pPr>
              <w:spacing w:line="276" w:lineRule="auto"/>
              <w:rPr>
                <w:rFonts w:ascii="Arial" w:cs="Arial" w:eastAsia="Arial" w:hAnsi="Arial"/>
              </w:rPr>
            </w:pPr>
            <w:r w:rsidDel="00000000" w:rsidR="00000000" w:rsidRPr="00000000">
              <w:rPr>
                <w:rFonts w:ascii="Arial" w:cs="Arial" w:eastAsia="Arial" w:hAnsi="Arial"/>
                <w:rtl w:val="0"/>
              </w:rPr>
              <w:t xml:space="preserve">Weakness 1:</w:t>
            </w:r>
          </w:p>
        </w:tc>
        <w:tc>
          <w:tcPr/>
          <w:p w:rsidR="00000000" w:rsidDel="00000000" w:rsidP="00000000" w:rsidRDefault="00000000" w:rsidRPr="00000000" w14:paraId="00000016">
            <w:pPr>
              <w:spacing w:after="160" w:line="276" w:lineRule="auto"/>
              <w:rPr>
                <w:rFonts w:ascii="Arial" w:cs="Arial" w:eastAsia="Arial" w:hAnsi="Arial"/>
              </w:rPr>
            </w:pPr>
            <w:r w:rsidDel="00000000" w:rsidR="00000000" w:rsidRPr="00000000">
              <w:rPr>
                <w:rFonts w:ascii="Arial" w:cs="Arial" w:eastAsia="Arial" w:hAnsi="Arial"/>
                <w:rtl w:val="0"/>
              </w:rPr>
              <w:t xml:space="preserve">Lack of employee buy-in: Employees may feel disconnected from the decision-making process, leading to disengagement and resistance.</w:t>
            </w:r>
          </w:p>
        </w:tc>
        <w:tc>
          <w:tcPr/>
          <w:p w:rsidR="00000000" w:rsidDel="00000000" w:rsidP="00000000" w:rsidRDefault="00000000" w:rsidRPr="00000000" w14:paraId="00000017">
            <w:pPr>
              <w:spacing w:after="160" w:line="276" w:lineRule="auto"/>
              <w:rPr>
                <w:rFonts w:ascii="Arial" w:cs="Arial" w:eastAsia="Arial" w:hAnsi="Arial"/>
              </w:rPr>
            </w:pPr>
            <w:r w:rsidDel="00000000" w:rsidR="00000000" w:rsidRPr="00000000">
              <w:rPr>
                <w:rFonts w:ascii="Arial" w:cs="Arial" w:eastAsia="Arial" w:hAnsi="Arial"/>
                <w:rtl w:val="0"/>
              </w:rPr>
              <w:t xml:space="preserve">Slower implementation: The change process can take longer, as employee-driven ideas require time to be discussed, approved, and implemented.</w:t>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9">
            <w:pPr>
              <w:spacing w:after="160" w:line="276" w:lineRule="auto"/>
              <w:rPr>
                <w:rFonts w:ascii="Arial" w:cs="Arial" w:eastAsia="Arial" w:hAnsi="Arial"/>
              </w:rPr>
            </w:pPr>
            <w:r w:rsidDel="00000000" w:rsidR="00000000" w:rsidRPr="00000000">
              <w:rPr>
                <w:rFonts w:ascii="Arial" w:cs="Arial" w:eastAsia="Arial" w:hAnsi="Arial"/>
                <w:rtl w:val="0"/>
              </w:rPr>
              <w:t xml:space="preserve">Complex implementation: Balancing leadership directives with employee input can complicate the change process, requiring extra coordination and communication.</w:t>
            </w:r>
          </w:p>
        </w:tc>
      </w:tr>
      <w:tr>
        <w:trPr>
          <w:cantSplit w:val="0"/>
          <w:tblHeader w:val="0"/>
        </w:trPr>
        <w:tc>
          <w:tcPr/>
          <w:p w:rsidR="00000000" w:rsidDel="00000000" w:rsidP="00000000" w:rsidRDefault="00000000" w:rsidRPr="00000000" w14:paraId="0000001A">
            <w:pPr>
              <w:spacing w:line="276" w:lineRule="auto"/>
              <w:rPr>
                <w:rFonts w:ascii="Arial" w:cs="Arial" w:eastAsia="Arial" w:hAnsi="Arial"/>
              </w:rPr>
            </w:pPr>
            <w:r w:rsidDel="00000000" w:rsidR="00000000" w:rsidRPr="00000000">
              <w:rPr>
                <w:rFonts w:ascii="Arial" w:cs="Arial" w:eastAsia="Arial" w:hAnsi="Arial"/>
                <w:rtl w:val="0"/>
              </w:rPr>
              <w:t xml:space="preserve">Weakness 2:</w:t>
            </w:r>
          </w:p>
        </w:tc>
        <w:tc>
          <w:tcPr/>
          <w:p w:rsidR="00000000" w:rsidDel="00000000" w:rsidP="00000000" w:rsidRDefault="00000000" w:rsidRPr="00000000" w14:paraId="0000001B">
            <w:pPr>
              <w:spacing w:after="160" w:line="276" w:lineRule="auto"/>
              <w:rPr>
                <w:rFonts w:ascii="Arial" w:cs="Arial" w:eastAsia="Arial" w:hAnsi="Arial"/>
              </w:rPr>
            </w:pPr>
            <w:r w:rsidDel="00000000" w:rsidR="00000000" w:rsidRPr="00000000">
              <w:rPr>
                <w:rFonts w:ascii="Arial" w:cs="Arial" w:eastAsia="Arial" w:hAnsi="Arial"/>
                <w:rtl w:val="0"/>
              </w:rPr>
              <w:t xml:space="preserve">Overreliance on leadership: This model places too much responsibility on leadership, which might overlook valuable insights from employees closer to day-to-day operations.</w:t>
            </w:r>
          </w:p>
        </w:tc>
        <w:tc>
          <w:tcPr/>
          <w:p w:rsidR="00000000" w:rsidDel="00000000" w:rsidP="00000000" w:rsidRDefault="00000000" w:rsidRPr="00000000" w14:paraId="0000001C">
            <w:pPr>
              <w:spacing w:after="160" w:line="276" w:lineRule="auto"/>
              <w:rPr>
                <w:rFonts w:ascii="Arial" w:cs="Arial" w:eastAsia="Arial" w:hAnsi="Arial"/>
              </w:rPr>
            </w:pPr>
            <w:r w:rsidDel="00000000" w:rsidR="00000000" w:rsidRPr="00000000">
              <w:rPr>
                <w:rFonts w:ascii="Arial" w:cs="Arial" w:eastAsia="Arial" w:hAnsi="Arial"/>
                <w:rtl w:val="0"/>
              </w:rPr>
              <w:t xml:space="preserve">Lack of strategic alignment: Without clear direction from leadership, the changes proposed by employees might not always align with the organization’s overall strategic goals.</w:t>
            </w:r>
          </w:p>
        </w:tc>
        <w:tc>
          <w:tcPr/>
          <w:p w:rsidR="00000000" w:rsidDel="00000000" w:rsidP="00000000" w:rsidRDefault="00000000" w:rsidRPr="00000000" w14:paraId="0000001D">
            <w:pPr>
              <w:spacing w:after="160" w:line="276" w:lineRule="auto"/>
              <w:rPr>
                <w:rFonts w:ascii="Arial" w:cs="Arial" w:eastAsia="Arial" w:hAnsi="Arial"/>
              </w:rPr>
            </w:pPr>
            <w:r w:rsidDel="00000000" w:rsidR="00000000" w:rsidRPr="00000000">
              <w:rPr>
                <w:rFonts w:ascii="Arial" w:cs="Arial" w:eastAsia="Arial" w:hAnsi="Arial"/>
                <w:rtl w:val="0"/>
              </w:rPr>
              <w:t xml:space="preserve">Potential for conflict: There may be disagreements between leadership and employees, especially if the two groups have different priorities or visions for the change.</w:t>
            </w:r>
          </w:p>
        </w:tc>
      </w:tr>
      <w:tr>
        <w:trPr>
          <w:cantSplit w:val="0"/>
          <w:tblHeader w:val="0"/>
        </w:trPr>
        <w:tc>
          <w:tcPr/>
          <w:p w:rsidR="00000000" w:rsidDel="00000000" w:rsidP="00000000" w:rsidRDefault="00000000" w:rsidRPr="00000000" w14:paraId="0000001E">
            <w:pPr>
              <w:spacing w:line="276" w:lineRule="auto"/>
              <w:rPr>
                <w:rFonts w:ascii="Arial" w:cs="Arial" w:eastAsia="Arial" w:hAnsi="Arial"/>
              </w:rPr>
            </w:pPr>
            <w:r w:rsidDel="00000000" w:rsidR="00000000" w:rsidRPr="00000000">
              <w:rPr>
                <w:rFonts w:ascii="Arial" w:cs="Arial" w:eastAsia="Arial" w:hAnsi="Arial"/>
                <w:rtl w:val="0"/>
              </w:rPr>
              <w:t xml:space="preserve">Weakness 3:</w:t>
            </w:r>
          </w:p>
        </w:tc>
        <w:tc>
          <w:tcPr/>
          <w:p w:rsidR="00000000" w:rsidDel="00000000" w:rsidP="00000000" w:rsidRDefault="00000000" w:rsidRPr="00000000" w14:paraId="0000001F">
            <w:pPr>
              <w:spacing w:after="160" w:line="276" w:lineRule="auto"/>
              <w:rPr>
                <w:rFonts w:ascii="Arial" w:cs="Arial" w:eastAsia="Arial" w:hAnsi="Arial"/>
              </w:rPr>
            </w:pPr>
            <w:r w:rsidDel="00000000" w:rsidR="00000000" w:rsidRPr="00000000">
              <w:rPr>
                <w:rFonts w:ascii="Arial" w:cs="Arial" w:eastAsia="Arial" w:hAnsi="Arial"/>
                <w:rtl w:val="0"/>
              </w:rPr>
              <w:t xml:space="preserve">Limited innovation: By focusing on leadership-driven directives, the model may stifle creativity and innovation from lower levels of the organization.</w:t>
            </w:r>
          </w:p>
        </w:tc>
        <w:tc>
          <w:tcPr/>
          <w:p w:rsidR="00000000" w:rsidDel="00000000" w:rsidP="00000000" w:rsidRDefault="00000000" w:rsidRPr="00000000" w14:paraId="00000020">
            <w:pPr>
              <w:spacing w:after="160" w:line="276" w:lineRule="auto"/>
              <w:rPr>
                <w:rFonts w:ascii="Arial" w:cs="Arial" w:eastAsia="Arial" w:hAnsi="Arial"/>
              </w:rPr>
            </w:pPr>
            <w:r w:rsidDel="00000000" w:rsidR="00000000" w:rsidRPr="00000000">
              <w:rPr>
                <w:rFonts w:ascii="Arial" w:cs="Arial" w:eastAsia="Arial" w:hAnsi="Arial"/>
                <w:rtl w:val="0"/>
              </w:rPr>
              <w:t xml:space="preserve">Difficulty in scaling: It can be challenging to scale bottom-up initiatives across larger organizations, especially when consistency is required.</w:t>
            </w:r>
          </w:p>
        </w:tc>
        <w:tc>
          <w:tcPr/>
          <w:p w:rsidR="00000000" w:rsidDel="00000000" w:rsidP="00000000" w:rsidRDefault="00000000" w:rsidRPr="00000000" w14:paraId="00000021">
            <w:pPr>
              <w:spacing w:after="160" w:line="276" w:lineRule="auto"/>
              <w:rPr>
                <w:rFonts w:ascii="Arial" w:cs="Arial" w:eastAsia="Arial" w:hAnsi="Arial"/>
              </w:rPr>
            </w:pPr>
            <w:r w:rsidDel="00000000" w:rsidR="00000000" w:rsidRPr="00000000">
              <w:rPr>
                <w:rFonts w:ascii="Arial" w:cs="Arial" w:eastAsia="Arial" w:hAnsi="Arial"/>
                <w:rtl w:val="0"/>
              </w:rPr>
              <w:t xml:space="preserve">Time-consuming: Although this approach fosters engagement and alignment, it may take longer to implement than purely top-down models due to the need for incorporating employee feedback.</w:t>
            </w:r>
          </w:p>
        </w:tc>
      </w:tr>
    </w:tbl>
    <w:p w:rsidR="00000000" w:rsidDel="00000000" w:rsidP="00000000" w:rsidRDefault="00000000" w:rsidRPr="00000000" w14:paraId="0000002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pStyle w:val="Heading2"/>
        <w:rPr>
          <w:rFonts w:ascii="Arial" w:cs="Arial" w:eastAsia="Arial" w:hAnsi="Arial"/>
        </w:rPr>
      </w:pPr>
      <w:bookmarkStart w:colFirst="0" w:colLast="0" w:name="_3dy6vkm" w:id="1"/>
      <w:bookmarkEnd w:id="1"/>
      <w:r w:rsidDel="00000000" w:rsidR="00000000" w:rsidRPr="00000000">
        <w:rPr>
          <w:rFonts w:ascii="Arial" w:cs="Arial" w:eastAsia="Arial" w:hAnsi="Arial"/>
          <w:rtl w:val="0"/>
        </w:rPr>
        <w:t xml:space="preserve">Step 2: Recommending the best approach</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Reflect on the strengths and weaknesses you’ve outlined for each model. </w:t>
      </w:r>
    </w:p>
    <w:p w:rsidR="00000000" w:rsidDel="00000000" w:rsidP="00000000" w:rsidRDefault="00000000" w:rsidRPr="00000000" w14:paraId="00000025">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Choose a single recommended approach (the Top-down, Bottom-up, or Hybrid approach) and briefly explain why you selected it for TechInnovate. </w:t>
      </w:r>
    </w:p>
    <w:p w:rsidR="00000000" w:rsidDel="00000000" w:rsidP="00000000" w:rsidRDefault="00000000" w:rsidRPr="00000000" w14:paraId="00000026">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Then, using factors like leadership involvement, employee involvement, and flexibility and adaptability, justify why your recommended approach is most suitable for TechInnovate’s digital transformation.</w:t>
      </w:r>
      <w:r w:rsidDel="00000000" w:rsidR="00000000" w:rsidRPr="00000000">
        <w:rPr>
          <w:rtl w:val="0"/>
        </w:rPr>
      </w:r>
    </w:p>
    <w:p w:rsidR="00000000" w:rsidDel="00000000" w:rsidP="00000000" w:rsidRDefault="00000000" w:rsidRPr="00000000" w14:paraId="00000027">
      <w:pPr>
        <w:spacing w:line="276" w:lineRule="auto"/>
        <w:rPr>
          <w:rFonts w:ascii="Arial" w:cs="Arial" w:eastAsia="Arial" w:hAnsi="Arial"/>
          <w:highlight w:val="white"/>
        </w:rPr>
      </w:pPr>
      <w:r w:rsidDel="00000000" w:rsidR="00000000" w:rsidRPr="00000000">
        <w:rPr>
          <w:rFonts w:ascii="Arial" w:cs="Arial" w:eastAsia="Arial" w:hAnsi="Arial"/>
          <w:b w:val="1"/>
          <w:highlight w:val="white"/>
          <w:rtl w:val="0"/>
        </w:rPr>
        <w:t xml:space="preserve">Recommended Approach: </w:t>
      </w:r>
      <w:r w:rsidDel="00000000" w:rsidR="00000000" w:rsidRPr="00000000">
        <w:rPr>
          <w:rFonts w:ascii="Arial" w:cs="Arial" w:eastAsia="Arial" w:hAnsi="Arial"/>
          <w:highlight w:val="white"/>
          <w:rtl w:val="0"/>
        </w:rPr>
        <w:t xml:space="preserve">Hybrid change management model</w:t>
      </w:r>
    </w:p>
    <w:p w:rsidR="00000000" w:rsidDel="00000000" w:rsidP="00000000" w:rsidRDefault="00000000" w:rsidRPr="00000000" w14:paraId="00000028">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After reflecting on the strengths and weaknesses of each change management model, the Hybrid change management model seems to be the most suitable approach for TechInnovate’s Digital Transformation. This model combines the strengths of both top-down and bottom-up approaches, making it an ideal choice for managing bigger-scale transformations while ensuring employee engagement and strategic alignment. It allows the company to stay aligned with strategic goals, fosters innovation through employee input, and provides the adaptability needed to ensure long-term success in a rapidly changing tech landscape.</w:t>
      </w:r>
    </w:p>
    <w:tbl>
      <w:tblPr>
        <w:tblStyle w:val="Table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7065"/>
        <w:tblGridChange w:id="0">
          <w:tblGrid>
            <w:gridCol w:w="3285"/>
            <w:gridCol w:w="7065"/>
          </w:tblGrid>
        </w:tblGridChange>
      </w:tblGrid>
      <w:tr>
        <w:trPr>
          <w:cantSplit w:val="0"/>
          <w:tblHeader w:val="0"/>
        </w:trPr>
        <w:tc>
          <w:tcPr/>
          <w:p w:rsidR="00000000" w:rsidDel="00000000" w:rsidP="00000000" w:rsidRDefault="00000000" w:rsidRPr="00000000" w14:paraId="00000029">
            <w:pPr>
              <w:spacing w:line="276" w:lineRule="auto"/>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Factors</w:t>
            </w:r>
          </w:p>
        </w:tc>
        <w:tc>
          <w:tcPr/>
          <w:p w:rsidR="00000000" w:rsidDel="00000000" w:rsidP="00000000" w:rsidRDefault="00000000" w:rsidRPr="00000000" w14:paraId="0000002A">
            <w:pPr>
              <w:spacing w:after="160" w:line="276" w:lineRule="auto"/>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Explanation</w:t>
            </w:r>
          </w:p>
        </w:tc>
      </w:tr>
      <w:tr>
        <w:trPr>
          <w:cantSplit w:val="0"/>
          <w:tblHeader w:val="0"/>
        </w:trPr>
        <w:tc>
          <w:tcPr/>
          <w:p w:rsidR="00000000" w:rsidDel="00000000" w:rsidP="00000000" w:rsidRDefault="00000000" w:rsidRPr="00000000" w14:paraId="0000002B">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Leadership involvement</w:t>
            </w:r>
          </w:p>
        </w:tc>
        <w:tc>
          <w:tcPr/>
          <w:p w:rsidR="00000000" w:rsidDel="00000000" w:rsidP="00000000" w:rsidRDefault="00000000" w:rsidRPr="00000000" w14:paraId="0000002C">
            <w:pPr>
              <w:spacing w:after="160"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In TechInnovate’s Digital Transformation, it is crucial for leadership to maintain clear direction and alignment with the company’s strategic goals. The Hybrid model allows leadership to set the overarching vision and goals for the transformation, ensuring that the organization remains competitive in the fast-evolving tech industry. Leadership can drive critical decisions, such as adopting new technologies and aligning departments with the digital strategy, while also leaving space for employee contributions.</w:t>
            </w:r>
          </w:p>
        </w:tc>
      </w:tr>
      <w:tr>
        <w:trPr>
          <w:cantSplit w:val="0"/>
          <w:tblHeader w:val="0"/>
        </w:trPr>
        <w:tc>
          <w:tcPr/>
          <w:p w:rsidR="00000000" w:rsidDel="00000000" w:rsidP="00000000" w:rsidRDefault="00000000" w:rsidRPr="00000000" w14:paraId="0000002D">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Employee engagement</w:t>
            </w:r>
          </w:p>
        </w:tc>
        <w:tc>
          <w:tcPr/>
          <w:p w:rsidR="00000000" w:rsidDel="00000000" w:rsidP="00000000" w:rsidRDefault="00000000" w:rsidRPr="00000000" w14:paraId="0000002E">
            <w:pPr>
              <w:spacing w:after="160"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Employee involvement is key to the success of any large-scale transformation. The Hybrid approach encourages bottom-up input, allowing employees to bring innovative ideas and operational insights to the table. This is especially important at TechInnovate, where employees can propose process improvements and agile methodologies as part of the transformation. Engaging employees in the change process ensures that they feel ownership over the transformation, which can reduce resistance and promote smoother adoption of new systems and processes.</w:t>
            </w:r>
          </w:p>
        </w:tc>
      </w:tr>
      <w:tr>
        <w:trPr>
          <w:cantSplit w:val="0"/>
          <w:tblHeader w:val="0"/>
        </w:trPr>
        <w:tc>
          <w:tcPr/>
          <w:p w:rsidR="00000000" w:rsidDel="00000000" w:rsidP="00000000" w:rsidRDefault="00000000" w:rsidRPr="00000000" w14:paraId="0000002F">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Flexibility and adaptability</w:t>
            </w:r>
          </w:p>
        </w:tc>
        <w:tc>
          <w:tcPr/>
          <w:p w:rsidR="00000000" w:rsidDel="00000000" w:rsidP="00000000" w:rsidRDefault="00000000" w:rsidRPr="00000000" w14:paraId="00000030">
            <w:pPr>
              <w:spacing w:after="160"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The Hybrid model provides the flexibility to adapt to challenges that arise during the transformation. Since TechInnovate is dealing with complex digital transformation initiatives, having the ability to incorporate employee feedback and adjust based on real-time operational challenges is critical. This flexibility ensures that the organization can navigate unforeseen hurdles, such as changing market demands or technical issues while staying aligned with the overall strategic objectives set by leadership.</w:t>
            </w:r>
          </w:p>
        </w:tc>
      </w:tr>
    </w:tbl>
    <w:p w:rsidR="00000000" w:rsidDel="00000000" w:rsidP="00000000" w:rsidRDefault="00000000" w:rsidRPr="00000000" w14:paraId="00000031">
      <w:pPr>
        <w:spacing w:line="276" w:lineRule="auto"/>
        <w:rPr>
          <w:rFonts w:ascii="Arial" w:cs="Arial" w:eastAsia="Arial" w:hAnsi="Arial"/>
          <w:b w:val="1"/>
          <w:sz w:val="24"/>
          <w:szCs w:val="24"/>
          <w:highlight w:val="white"/>
        </w:rPr>
      </w:pPr>
      <w:r w:rsidDel="00000000" w:rsidR="00000000" w:rsidRPr="00000000">
        <w:rPr>
          <w:rFonts w:ascii="Arial" w:cs="Arial" w:eastAsia="Arial" w:hAnsi="Arial"/>
          <w:b w:val="1"/>
          <w:sz w:val="24"/>
          <w:szCs w:val="24"/>
          <w:highlight w:val="white"/>
          <w:rtl w:val="0"/>
        </w:rPr>
        <w:t xml:space="preserve"> </w:t>
      </w:r>
    </w:p>
    <w:p w:rsidR="00000000" w:rsidDel="00000000" w:rsidP="00000000" w:rsidRDefault="00000000" w:rsidRPr="00000000" w14:paraId="00000032">
      <w:pPr>
        <w:pStyle w:val="Heading3"/>
        <w:spacing w:line="276" w:lineRule="auto"/>
        <w:rPr>
          <w:b w:val="0"/>
          <w:color w:val="000000"/>
          <w:sz w:val="24"/>
          <w:szCs w:val="24"/>
          <w:highlight w:val="white"/>
        </w:rPr>
      </w:pPr>
      <w:bookmarkStart w:colFirst="0" w:colLast="0" w:name="_3znysh7" w:id="2"/>
      <w:bookmarkEnd w:id="2"/>
      <w:r w:rsidDel="00000000" w:rsidR="00000000" w:rsidRPr="00000000">
        <w:rPr>
          <w:rtl w:val="0"/>
        </w:rPr>
      </w:r>
    </w:p>
    <w:sectPr>
      <w:footerReference r:id="rId6" w:type="default"/>
      <w:pgSz w:h="16838" w:w="11906" w:orient="portrait"/>
      <w:pgMar w:bottom="1135" w:top="992" w:left="851" w:right="7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Bdr>
        <w:bottom w:color="000000" w:space="1" w:sz="4" w:val="single"/>
      </w:pBdr>
      <w:spacing w:after="80" w:before="240" w:line="276" w:lineRule="auto"/>
    </w:pPr>
    <w:rPr>
      <w:color w:val="0f4761"/>
      <w:sz w:val="28"/>
      <w:szCs w:val="28"/>
    </w:rPr>
  </w:style>
  <w:style w:type="paragraph" w:styleId="Heading3">
    <w:name w:val="heading 3"/>
    <w:basedOn w:val="Normal"/>
    <w:next w:val="Normal"/>
    <w:pPr>
      <w:keepNext w:val="1"/>
      <w:keepLines w:val="1"/>
    </w:pPr>
    <w:rPr>
      <w:rFonts w:ascii="Arial" w:cs="Arial" w:eastAsia="Arial" w:hAnsi="Arial"/>
      <w:b w:val="1"/>
      <w:sz w:val="26"/>
      <w:szCs w:val="26"/>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GrammarlyDocumentId">
    <vt:lpwstr>24a8a41134033112b08c0593d1d16e14990bd2d641d48544b61a34f1fc913a06</vt:lpwstr>
  </property>
  <property fmtid="{D5CDD505-2E9C-101B-9397-08002B2CF9AE}" pid="4" name="ContentTypeId">
    <vt:lpwstr>0x010100C467E28B6EFDA443880DED344FEEFE8B</vt:lpwstr>
  </property>
</Properties>
</file>