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left"/>
        <w:rPr>
          <w:rFonts w:ascii="Arial" w:cs="Arial" w:eastAsia="Arial" w:hAnsi="Arial"/>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newiq1gnvgwi" w:id="1"/>
      <w:bookmarkEnd w:id="1"/>
      <w:r w:rsidDel="00000000" w:rsidR="00000000" w:rsidRPr="00000000">
        <w:rPr>
          <w:rtl w:val="0"/>
        </w:rPr>
        <w:t xml:space="preserve">Exemplar for Activity: Evolution of PMOs</w:t>
      </w:r>
    </w:p>
    <w:p w:rsidR="00000000" w:rsidDel="00000000" w:rsidP="00000000" w:rsidRDefault="00000000" w:rsidRPr="00000000" w14:paraId="00000003">
      <w:pPr>
        <w:pStyle w:val="Heading2"/>
        <w:spacing w:line="276" w:lineRule="auto"/>
        <w:rPr>
          <w:color w:val="0f4761"/>
        </w:rPr>
      </w:pPr>
      <w:bookmarkStart w:colFirst="0" w:colLast="0" w:name="_bxa1mi6kzxyn" w:id="2"/>
      <w:bookmarkEnd w:id="2"/>
      <w:r w:rsidDel="00000000" w:rsidR="00000000" w:rsidRPr="00000000">
        <w:rPr>
          <w:color w:val="0f4761"/>
          <w:rtl w:val="0"/>
        </w:rPr>
        <w:t xml:space="preserve">Step 1: Identify the key functions of a traditional PMO</w:t>
      </w:r>
    </w:p>
    <w:p w:rsidR="00000000" w:rsidDel="00000000" w:rsidP="00000000" w:rsidRDefault="00000000" w:rsidRPr="00000000" w14:paraId="00000004">
      <w:pPr>
        <w:spacing w:line="276" w:lineRule="auto"/>
        <w:jc w:val="left"/>
        <w:rPr/>
      </w:pPr>
      <w:r w:rsidDel="00000000" w:rsidR="00000000" w:rsidRPr="00000000">
        <w:rPr>
          <w:rtl w:val="0"/>
        </w:rPr>
        <w:t xml:space="preserve">Outline three key functions of a traditional PMO. For each function, provide a brief description of its importance in supporting project success at TechInnovate.</w:t>
      </w:r>
      <w:r w:rsidDel="00000000" w:rsidR="00000000" w:rsidRPr="00000000">
        <w:rPr>
          <w:rtl w:val="0"/>
        </w:rPr>
      </w:r>
    </w:p>
    <w:tbl>
      <w:tblPr>
        <w:tblStyle w:val="Table1"/>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3435"/>
        <w:gridCol w:w="6210"/>
        <w:tblGridChange w:id="0">
          <w:tblGrid>
            <w:gridCol w:w="705"/>
            <w:gridCol w:w="3435"/>
            <w:gridCol w:w="6210"/>
          </w:tblGrid>
        </w:tblGridChange>
      </w:tblGrid>
      <w:tr>
        <w:trPr>
          <w:cantSplit w:val="0"/>
          <w:tblHeader w:val="0"/>
        </w:trPr>
        <w:tc>
          <w:tcPr/>
          <w:p w:rsidR="00000000" w:rsidDel="00000000" w:rsidP="00000000" w:rsidRDefault="00000000" w:rsidRPr="00000000" w14:paraId="00000005">
            <w:pPr>
              <w:spacing w:line="276" w:lineRule="auto"/>
              <w:jc w:val="left"/>
              <w:rPr>
                <w:b w:val="1"/>
              </w:rPr>
            </w:pPr>
            <w:r w:rsidDel="00000000" w:rsidR="00000000" w:rsidRPr="00000000">
              <w:rPr>
                <w:rtl w:val="0"/>
              </w:rPr>
            </w:r>
          </w:p>
        </w:tc>
        <w:tc>
          <w:tcPr/>
          <w:p w:rsidR="00000000" w:rsidDel="00000000" w:rsidP="00000000" w:rsidRDefault="00000000" w:rsidRPr="00000000" w14:paraId="00000006">
            <w:pPr>
              <w:spacing w:line="276" w:lineRule="auto"/>
              <w:jc w:val="left"/>
              <w:rPr>
                <w:b w:val="1"/>
              </w:rPr>
            </w:pPr>
            <w:r w:rsidDel="00000000" w:rsidR="00000000" w:rsidRPr="00000000">
              <w:rPr>
                <w:b w:val="1"/>
                <w:rtl w:val="0"/>
              </w:rPr>
              <w:t xml:space="preserve">Key function</w:t>
            </w:r>
          </w:p>
        </w:tc>
        <w:tc>
          <w:tcPr/>
          <w:p w:rsidR="00000000" w:rsidDel="00000000" w:rsidP="00000000" w:rsidRDefault="00000000" w:rsidRPr="00000000" w14:paraId="00000007">
            <w:pPr>
              <w:spacing w:line="276" w:lineRule="auto"/>
              <w:jc w:val="left"/>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08">
            <w:pPr>
              <w:spacing w:line="276" w:lineRule="auto"/>
              <w:jc w:val="center"/>
              <w:rPr/>
            </w:pPr>
            <w:r w:rsidDel="00000000" w:rsidR="00000000" w:rsidRPr="00000000">
              <w:rPr>
                <w:rtl w:val="0"/>
              </w:rPr>
              <w:t xml:space="preserve">1</w:t>
            </w:r>
          </w:p>
        </w:tc>
        <w:tc>
          <w:tcPr/>
          <w:p w:rsidR="00000000" w:rsidDel="00000000" w:rsidP="00000000" w:rsidRDefault="00000000" w:rsidRPr="00000000" w14:paraId="00000009">
            <w:pPr>
              <w:spacing w:line="276" w:lineRule="auto"/>
              <w:jc w:val="left"/>
              <w:rPr/>
            </w:pPr>
            <w:r w:rsidDel="00000000" w:rsidR="00000000" w:rsidRPr="00000000">
              <w:rPr>
                <w:rtl w:val="0"/>
              </w:rPr>
              <w:t xml:space="preserve">Project Support</w:t>
            </w:r>
          </w:p>
        </w:tc>
        <w:tc>
          <w:tcPr/>
          <w:p w:rsidR="00000000" w:rsidDel="00000000" w:rsidP="00000000" w:rsidRDefault="00000000" w:rsidRPr="00000000" w14:paraId="0000000A">
            <w:pPr>
              <w:spacing w:line="276" w:lineRule="auto"/>
              <w:jc w:val="left"/>
              <w:rPr/>
            </w:pPr>
            <w:r w:rsidDel="00000000" w:rsidR="00000000" w:rsidRPr="00000000">
              <w:rPr>
                <w:rtl w:val="0"/>
              </w:rPr>
              <w:t xml:space="preserve">Provides standardized tools, templates, and methodologies to ensure consistency and efficiency across projects, essential for creating a common approach in project delivery.</w:t>
            </w:r>
          </w:p>
        </w:tc>
      </w:tr>
      <w:tr>
        <w:trPr>
          <w:cantSplit w:val="0"/>
          <w:tblHeader w:val="0"/>
        </w:trPr>
        <w:tc>
          <w:tcPr/>
          <w:p w:rsidR="00000000" w:rsidDel="00000000" w:rsidP="00000000" w:rsidRDefault="00000000" w:rsidRPr="00000000" w14:paraId="0000000B">
            <w:pPr>
              <w:spacing w:line="276" w:lineRule="auto"/>
              <w:jc w:val="center"/>
              <w:rPr/>
            </w:pPr>
            <w:r w:rsidDel="00000000" w:rsidR="00000000" w:rsidRPr="00000000">
              <w:rPr>
                <w:rtl w:val="0"/>
              </w:rPr>
              <w:t xml:space="preserve">2</w:t>
            </w:r>
          </w:p>
        </w:tc>
        <w:tc>
          <w:tcPr/>
          <w:p w:rsidR="00000000" w:rsidDel="00000000" w:rsidP="00000000" w:rsidRDefault="00000000" w:rsidRPr="00000000" w14:paraId="0000000C">
            <w:pPr>
              <w:spacing w:line="276" w:lineRule="auto"/>
              <w:jc w:val="left"/>
              <w:rPr/>
            </w:pPr>
            <w:r w:rsidDel="00000000" w:rsidR="00000000" w:rsidRPr="00000000">
              <w:rPr>
                <w:rtl w:val="0"/>
              </w:rPr>
              <w:t xml:space="preserve">Governance</w:t>
            </w:r>
          </w:p>
        </w:tc>
        <w:tc>
          <w:tcPr/>
          <w:p w:rsidR="00000000" w:rsidDel="00000000" w:rsidP="00000000" w:rsidRDefault="00000000" w:rsidRPr="00000000" w14:paraId="0000000D">
            <w:pPr>
              <w:spacing w:line="276" w:lineRule="auto"/>
              <w:jc w:val="left"/>
              <w:rPr/>
            </w:pPr>
            <w:r w:rsidDel="00000000" w:rsidR="00000000" w:rsidRPr="00000000">
              <w:rPr>
                <w:rtl w:val="0"/>
              </w:rPr>
              <w:t xml:space="preserve">Establishes and enforces standards, policies, and procedures to ensure projects adhere to organizational guidelines, ensuring consistency and adherence to organizational expectations.</w:t>
            </w:r>
          </w:p>
        </w:tc>
      </w:tr>
      <w:tr>
        <w:trPr>
          <w:cantSplit w:val="0"/>
          <w:tblHeader w:val="0"/>
        </w:trPr>
        <w:tc>
          <w:tcPr/>
          <w:p w:rsidR="00000000" w:rsidDel="00000000" w:rsidP="00000000" w:rsidRDefault="00000000" w:rsidRPr="00000000" w14:paraId="0000000E">
            <w:pPr>
              <w:spacing w:line="276" w:lineRule="auto"/>
              <w:jc w:val="center"/>
              <w:rPr/>
            </w:pPr>
            <w:r w:rsidDel="00000000" w:rsidR="00000000" w:rsidRPr="00000000">
              <w:rPr>
                <w:rtl w:val="0"/>
              </w:rPr>
              <w:t xml:space="preserve">3</w:t>
            </w:r>
          </w:p>
        </w:tc>
        <w:tc>
          <w:tcPr/>
          <w:p w:rsidR="00000000" w:rsidDel="00000000" w:rsidP="00000000" w:rsidRDefault="00000000" w:rsidRPr="00000000" w14:paraId="0000000F">
            <w:pPr>
              <w:spacing w:line="276" w:lineRule="auto"/>
              <w:jc w:val="left"/>
              <w:rPr/>
            </w:pPr>
            <w:r w:rsidDel="00000000" w:rsidR="00000000" w:rsidRPr="00000000">
              <w:rPr>
                <w:rtl w:val="0"/>
              </w:rPr>
              <w:t xml:space="preserve">Resource Management</w:t>
            </w:r>
          </w:p>
        </w:tc>
        <w:tc>
          <w:tcPr/>
          <w:p w:rsidR="00000000" w:rsidDel="00000000" w:rsidP="00000000" w:rsidRDefault="00000000" w:rsidRPr="00000000" w14:paraId="00000010">
            <w:pPr>
              <w:spacing w:line="276" w:lineRule="auto"/>
              <w:jc w:val="left"/>
              <w:rPr/>
            </w:pPr>
            <w:r w:rsidDel="00000000" w:rsidR="00000000" w:rsidRPr="00000000">
              <w:rPr>
                <w:rtl w:val="0"/>
              </w:rPr>
              <w:t xml:space="preserve">Allocates and manages resources, including personnel, finances, and technology, optimizing the project’s outcomes and ensuring adequate resources are available when needed.</w:t>
            </w:r>
          </w:p>
        </w:tc>
      </w:tr>
    </w:tbl>
    <w:p w:rsidR="00000000" w:rsidDel="00000000" w:rsidP="00000000" w:rsidRDefault="00000000" w:rsidRPr="00000000" w14:paraId="00000011">
      <w:pPr>
        <w:spacing w:line="276" w:lineRule="auto"/>
        <w:jc w:val="left"/>
        <w:rPr>
          <w:b w:val="1"/>
        </w:rPr>
      </w:pPr>
      <w:r w:rsidDel="00000000" w:rsidR="00000000" w:rsidRPr="00000000">
        <w:rPr>
          <w:rtl w:val="0"/>
        </w:rPr>
      </w:r>
    </w:p>
    <w:p w:rsidR="00000000" w:rsidDel="00000000" w:rsidP="00000000" w:rsidRDefault="00000000" w:rsidRPr="00000000" w14:paraId="00000012">
      <w:pPr>
        <w:pStyle w:val="Heading2"/>
        <w:spacing w:line="276" w:lineRule="auto"/>
        <w:rPr>
          <w:color w:val="0f4761"/>
        </w:rPr>
      </w:pPr>
      <w:bookmarkStart w:colFirst="0" w:colLast="0" w:name="_3znysh7" w:id="3"/>
      <w:bookmarkEnd w:id="3"/>
      <w:r w:rsidDel="00000000" w:rsidR="00000000" w:rsidRPr="00000000">
        <w:rPr>
          <w:color w:val="0f4761"/>
          <w:rtl w:val="0"/>
        </w:rPr>
        <w:t xml:space="preserve">Step 2: An SRO addressing the limitations of the traditional PMO</w:t>
      </w:r>
    </w:p>
    <w:p w:rsidR="00000000" w:rsidDel="00000000" w:rsidP="00000000" w:rsidRDefault="00000000" w:rsidRPr="00000000" w14:paraId="00000013">
      <w:pPr>
        <w:spacing w:line="276" w:lineRule="auto"/>
        <w:jc w:val="left"/>
        <w:rPr/>
      </w:pPr>
      <w:r w:rsidDel="00000000" w:rsidR="00000000" w:rsidRPr="00000000">
        <w:rPr>
          <w:rtl w:val="0"/>
        </w:rPr>
        <w:t xml:space="preserve">Write down h</w:t>
      </w:r>
      <w:r w:rsidDel="00000000" w:rsidR="00000000" w:rsidRPr="00000000">
        <w:rPr>
          <w:rtl w:val="0"/>
        </w:rPr>
        <w:t xml:space="preserve">ow the focus of the SRO differs from that of the PMO. Under each point, provide an explanation of how these differences address the limitations of the traditional PMO model. Consider areas such as strategic alignment, cross-functional collaboration, and outcome-oriented project prioritization.</w:t>
      </w:r>
    </w:p>
    <w:p w:rsidR="00000000" w:rsidDel="00000000" w:rsidP="00000000" w:rsidRDefault="00000000" w:rsidRPr="00000000" w14:paraId="00000014">
      <w:pPr>
        <w:numPr>
          <w:ilvl w:val="0"/>
          <w:numId w:val="1"/>
        </w:numPr>
        <w:spacing w:line="276" w:lineRule="auto"/>
        <w:ind w:left="720" w:hanging="360"/>
        <w:jc w:val="left"/>
        <w:rPr/>
      </w:pPr>
      <w:bookmarkStart w:colFirst="0" w:colLast="0" w:name="_3znysh7" w:id="3"/>
      <w:bookmarkEnd w:id="3"/>
      <w:r w:rsidDel="00000000" w:rsidR="00000000" w:rsidRPr="00000000">
        <w:rPr>
          <w:b w:val="1"/>
          <w:rtl w:val="0"/>
        </w:rPr>
        <w:t xml:space="preserve">Strategic alignment vs. task completion</w:t>
      </w:r>
      <w:r w:rsidDel="00000000" w:rsidR="00000000" w:rsidRPr="00000000">
        <w:rPr>
          <w:rtl w:val="0"/>
        </w:rPr>
        <w:br w:type="textWrapping"/>
        <w:br w:type="textWrapping"/>
      </w:r>
      <w:r w:rsidDel="00000000" w:rsidR="00000000" w:rsidRPr="00000000">
        <w:rPr>
          <w:b w:val="1"/>
          <w:rtl w:val="0"/>
        </w:rPr>
        <w:t xml:space="preserve">Explanation:</w:t>
      </w:r>
      <w:r w:rsidDel="00000000" w:rsidR="00000000" w:rsidRPr="00000000">
        <w:rPr>
          <w:rtl w:val="0"/>
        </w:rPr>
        <w:t xml:space="preserve"> While Traditional PMOs focus on completing projects on time and within budget, the SRO ensures all projects are aligned with TechInnovate's long-term strategic goals, helping the company focus on initiatives that will drive sustained success.</w:t>
      </w:r>
    </w:p>
    <w:p w:rsidR="00000000" w:rsidDel="00000000" w:rsidP="00000000" w:rsidRDefault="00000000" w:rsidRPr="00000000" w14:paraId="00000015">
      <w:pPr>
        <w:numPr>
          <w:ilvl w:val="0"/>
          <w:numId w:val="1"/>
        </w:numPr>
        <w:spacing w:line="276" w:lineRule="auto"/>
        <w:ind w:left="720" w:hanging="360"/>
        <w:jc w:val="left"/>
        <w:rPr/>
      </w:pPr>
      <w:r w:rsidDel="00000000" w:rsidR="00000000" w:rsidRPr="00000000">
        <w:rPr>
          <w:b w:val="1"/>
          <w:rtl w:val="0"/>
        </w:rPr>
        <w:t xml:space="preserve">Breaking down silos</w:t>
      </w:r>
      <w:r w:rsidDel="00000000" w:rsidR="00000000" w:rsidRPr="00000000">
        <w:rPr>
          <w:rtl w:val="0"/>
        </w:rPr>
        <w:br w:type="textWrapping"/>
        <w:br w:type="textWrapping"/>
      </w:r>
      <w:r w:rsidDel="00000000" w:rsidR="00000000" w:rsidRPr="00000000">
        <w:rPr>
          <w:b w:val="1"/>
          <w:rtl w:val="0"/>
        </w:rPr>
        <w:t xml:space="preserve">Explanation:</w:t>
      </w:r>
      <w:r w:rsidDel="00000000" w:rsidR="00000000" w:rsidRPr="00000000">
        <w:rPr>
          <w:rtl w:val="0"/>
        </w:rPr>
        <w:t xml:space="preserve"> The SRO fosters collaboration across departments, addressing the siloed approach of traditional PMOs that limits cross-functional communication and leads to misaligned efforts.</w:t>
      </w:r>
    </w:p>
    <w:p w:rsidR="00000000" w:rsidDel="00000000" w:rsidP="00000000" w:rsidRDefault="00000000" w:rsidRPr="00000000" w14:paraId="00000016">
      <w:pPr>
        <w:numPr>
          <w:ilvl w:val="0"/>
          <w:numId w:val="1"/>
        </w:numPr>
        <w:spacing w:line="276" w:lineRule="auto"/>
        <w:ind w:left="720" w:hanging="360"/>
        <w:jc w:val="left"/>
        <w:rPr/>
      </w:pPr>
      <w:r w:rsidDel="00000000" w:rsidR="00000000" w:rsidRPr="00000000">
        <w:rPr>
          <w:b w:val="1"/>
          <w:rtl w:val="0"/>
        </w:rPr>
        <w:t xml:space="preserve">Focus on outcomes</w:t>
      </w:r>
      <w:r w:rsidDel="00000000" w:rsidR="00000000" w:rsidRPr="00000000">
        <w:rPr>
          <w:rtl w:val="0"/>
        </w:rPr>
        <w:br w:type="textWrapping"/>
        <w:br w:type="textWrapping"/>
      </w:r>
      <w:r w:rsidDel="00000000" w:rsidR="00000000" w:rsidRPr="00000000">
        <w:rPr>
          <w:b w:val="1"/>
          <w:rtl w:val="0"/>
        </w:rPr>
        <w:t xml:space="preserve">Explanation:</w:t>
      </w:r>
      <w:r w:rsidDel="00000000" w:rsidR="00000000" w:rsidRPr="00000000">
        <w:rPr>
          <w:rtl w:val="0"/>
        </w:rPr>
        <w:t xml:space="preserve"> The SRO prioritizes projects based on their potential to achieve strategic outcomes rather than merely managing tasks, ensuring that each project delivers value beyond operational efficiency.</w:t>
      </w:r>
    </w:p>
    <w:p w:rsidR="00000000" w:rsidDel="00000000" w:rsidP="00000000" w:rsidRDefault="00000000" w:rsidRPr="00000000" w14:paraId="00000017">
      <w:pPr>
        <w:pStyle w:val="Heading2"/>
        <w:spacing w:line="276" w:lineRule="auto"/>
        <w:rPr>
          <w:color w:val="0f4761"/>
        </w:rPr>
      </w:pPr>
      <w:bookmarkStart w:colFirst="0" w:colLast="0" w:name="_2et92p0" w:id="4"/>
      <w:bookmarkEnd w:id="4"/>
      <w:r w:rsidDel="00000000" w:rsidR="00000000" w:rsidRPr="00000000">
        <w:rPr>
          <w:color w:val="0f4761"/>
          <w:rtl w:val="0"/>
        </w:rPr>
        <w:t xml:space="preserve">Step 3: Develop a value-focused governance framework for the VRO</w:t>
      </w:r>
    </w:p>
    <w:p w:rsidR="00000000" w:rsidDel="00000000" w:rsidP="00000000" w:rsidRDefault="00000000" w:rsidRPr="00000000" w14:paraId="00000018">
      <w:pPr>
        <w:spacing w:after="240" w:before="240" w:line="276" w:lineRule="auto"/>
        <w:jc w:val="left"/>
        <w:rPr/>
      </w:pPr>
      <w:r w:rsidDel="00000000" w:rsidR="00000000" w:rsidRPr="00000000">
        <w:rPr>
          <w:rtl w:val="0"/>
        </w:rPr>
        <w:t xml:space="preserve">Develop a governance framework for transitioning from an SRO to a VRO. Include three essential components of the framework and provide a brief description of each while focusing on value realization and performance monitoring and reporting.</w:t>
      </w:r>
    </w:p>
    <w:tbl>
      <w:tblPr>
        <w:tblStyle w:val="Table2"/>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3510"/>
        <w:gridCol w:w="6105"/>
        <w:tblGridChange w:id="0">
          <w:tblGrid>
            <w:gridCol w:w="735"/>
            <w:gridCol w:w="3510"/>
            <w:gridCol w:w="6105"/>
          </w:tblGrid>
        </w:tblGridChange>
      </w:tblGrid>
      <w:tr>
        <w:trPr>
          <w:cantSplit w:val="0"/>
          <w:tblHeader w:val="0"/>
        </w:trPr>
        <w:tc>
          <w:tcPr/>
          <w:p w:rsidR="00000000" w:rsidDel="00000000" w:rsidP="00000000" w:rsidRDefault="00000000" w:rsidRPr="00000000" w14:paraId="00000019">
            <w:pPr>
              <w:spacing w:after="240" w:before="240" w:line="276" w:lineRule="auto"/>
              <w:jc w:val="center"/>
              <w:rPr>
                <w:b w:val="1"/>
              </w:rPr>
            </w:pPr>
            <w:r w:rsidDel="00000000" w:rsidR="00000000" w:rsidRPr="00000000">
              <w:rPr>
                <w:rtl w:val="0"/>
              </w:rPr>
            </w:r>
          </w:p>
        </w:tc>
        <w:tc>
          <w:tcPr/>
          <w:p w:rsidR="00000000" w:rsidDel="00000000" w:rsidP="00000000" w:rsidRDefault="00000000" w:rsidRPr="00000000" w14:paraId="0000001A">
            <w:pPr>
              <w:spacing w:after="240" w:before="240" w:line="276" w:lineRule="auto"/>
              <w:jc w:val="left"/>
              <w:rPr>
                <w:b w:val="1"/>
              </w:rPr>
            </w:pPr>
            <w:r w:rsidDel="00000000" w:rsidR="00000000" w:rsidRPr="00000000">
              <w:rPr>
                <w:b w:val="1"/>
                <w:rtl w:val="0"/>
              </w:rPr>
              <w:t xml:space="preserve">Component</w:t>
            </w:r>
          </w:p>
        </w:tc>
        <w:tc>
          <w:tcPr/>
          <w:p w:rsidR="00000000" w:rsidDel="00000000" w:rsidP="00000000" w:rsidRDefault="00000000" w:rsidRPr="00000000" w14:paraId="0000001B">
            <w:pPr>
              <w:spacing w:after="240" w:before="240" w:line="276" w:lineRule="auto"/>
              <w:jc w:val="left"/>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1C">
            <w:pPr>
              <w:spacing w:after="240" w:before="240" w:line="276" w:lineRule="auto"/>
              <w:jc w:val="center"/>
              <w:rPr/>
            </w:pPr>
            <w:r w:rsidDel="00000000" w:rsidR="00000000" w:rsidRPr="00000000">
              <w:rPr>
                <w:rtl w:val="0"/>
              </w:rPr>
              <w:t xml:space="preserve">1</w:t>
            </w:r>
          </w:p>
        </w:tc>
        <w:tc>
          <w:tcPr/>
          <w:p w:rsidR="00000000" w:rsidDel="00000000" w:rsidP="00000000" w:rsidRDefault="00000000" w:rsidRPr="00000000" w14:paraId="0000001D">
            <w:pPr>
              <w:spacing w:after="240" w:before="240" w:line="276" w:lineRule="auto"/>
              <w:jc w:val="left"/>
              <w:rPr/>
            </w:pPr>
            <w:r w:rsidDel="00000000" w:rsidR="00000000" w:rsidRPr="00000000">
              <w:rPr>
                <w:rtl w:val="0"/>
              </w:rPr>
              <w:t xml:space="preserve">Value prioritization</w:t>
            </w:r>
          </w:p>
        </w:tc>
        <w:tc>
          <w:tcPr/>
          <w:p w:rsidR="00000000" w:rsidDel="00000000" w:rsidP="00000000" w:rsidRDefault="00000000" w:rsidRPr="00000000" w14:paraId="0000001E">
            <w:pPr>
              <w:spacing w:after="240" w:before="240" w:line="276" w:lineRule="auto"/>
              <w:jc w:val="left"/>
              <w:rPr/>
            </w:pPr>
            <w:r w:rsidDel="00000000" w:rsidR="00000000" w:rsidRPr="00000000">
              <w:rPr>
                <w:rtl w:val="0"/>
              </w:rPr>
              <w:t xml:space="preserve">Projects should be selected and prioritized based on their potential to deliver measurable value, ensuring that TechInnovate’s resources are invested where they will have the greatest impact.</w:t>
            </w:r>
          </w:p>
        </w:tc>
      </w:tr>
      <w:tr>
        <w:trPr>
          <w:cantSplit w:val="0"/>
          <w:tblHeader w:val="0"/>
        </w:trPr>
        <w:tc>
          <w:tcPr/>
          <w:p w:rsidR="00000000" w:rsidDel="00000000" w:rsidP="00000000" w:rsidRDefault="00000000" w:rsidRPr="00000000" w14:paraId="0000001F">
            <w:pPr>
              <w:spacing w:after="240" w:before="240" w:line="276" w:lineRule="auto"/>
              <w:jc w:val="center"/>
              <w:rPr/>
            </w:pPr>
            <w:r w:rsidDel="00000000" w:rsidR="00000000" w:rsidRPr="00000000">
              <w:rPr>
                <w:rtl w:val="0"/>
              </w:rPr>
              <w:t xml:space="preserve">2</w:t>
            </w:r>
          </w:p>
        </w:tc>
        <w:tc>
          <w:tcPr/>
          <w:p w:rsidR="00000000" w:rsidDel="00000000" w:rsidP="00000000" w:rsidRDefault="00000000" w:rsidRPr="00000000" w14:paraId="00000020">
            <w:pPr>
              <w:spacing w:after="240" w:before="240" w:line="276" w:lineRule="auto"/>
              <w:jc w:val="left"/>
              <w:rPr/>
            </w:pPr>
            <w:r w:rsidDel="00000000" w:rsidR="00000000" w:rsidRPr="00000000">
              <w:rPr>
                <w:rtl w:val="0"/>
              </w:rPr>
              <w:t xml:space="preserve">Continuous value monitoring</w:t>
            </w:r>
          </w:p>
        </w:tc>
        <w:tc>
          <w:tcPr/>
          <w:p w:rsidR="00000000" w:rsidDel="00000000" w:rsidP="00000000" w:rsidRDefault="00000000" w:rsidRPr="00000000" w14:paraId="00000021">
            <w:pPr>
              <w:spacing w:after="240" w:before="240" w:line="276" w:lineRule="auto"/>
              <w:jc w:val="left"/>
              <w:rPr/>
            </w:pPr>
            <w:r w:rsidDel="00000000" w:rsidR="00000000" w:rsidRPr="00000000">
              <w:rPr>
                <w:rtl w:val="0"/>
              </w:rPr>
              <w:t xml:space="preserve">Monitor project outcomes regularly to ensure that the expected value is realized and adjustments are made as necessary to maximize benefits.</w:t>
            </w:r>
          </w:p>
        </w:tc>
      </w:tr>
      <w:tr>
        <w:trPr>
          <w:cantSplit w:val="0"/>
          <w:tblHeader w:val="0"/>
        </w:trPr>
        <w:tc>
          <w:tcPr/>
          <w:p w:rsidR="00000000" w:rsidDel="00000000" w:rsidP="00000000" w:rsidRDefault="00000000" w:rsidRPr="00000000" w14:paraId="00000022">
            <w:pPr>
              <w:spacing w:after="240" w:before="240" w:line="276" w:lineRule="auto"/>
              <w:jc w:val="center"/>
              <w:rPr/>
            </w:pPr>
            <w:r w:rsidDel="00000000" w:rsidR="00000000" w:rsidRPr="00000000">
              <w:rPr>
                <w:rtl w:val="0"/>
              </w:rPr>
              <w:t xml:space="preserve">3</w:t>
            </w:r>
          </w:p>
        </w:tc>
        <w:tc>
          <w:tcPr/>
          <w:p w:rsidR="00000000" w:rsidDel="00000000" w:rsidP="00000000" w:rsidRDefault="00000000" w:rsidRPr="00000000" w14:paraId="00000023">
            <w:pPr>
              <w:spacing w:after="240" w:before="240" w:line="276" w:lineRule="auto"/>
              <w:jc w:val="left"/>
              <w:rPr/>
            </w:pPr>
            <w:r w:rsidDel="00000000" w:rsidR="00000000" w:rsidRPr="00000000">
              <w:rPr>
                <w:rtl w:val="0"/>
              </w:rPr>
              <w:t xml:space="preserve">Performance reporting</w:t>
            </w:r>
          </w:p>
        </w:tc>
        <w:tc>
          <w:tcPr/>
          <w:p w:rsidR="00000000" w:rsidDel="00000000" w:rsidP="00000000" w:rsidRDefault="00000000" w:rsidRPr="00000000" w14:paraId="00000024">
            <w:pPr>
              <w:spacing w:after="240" w:before="240" w:line="276" w:lineRule="auto"/>
              <w:jc w:val="left"/>
              <w:rPr/>
            </w:pPr>
            <w:r w:rsidDel="00000000" w:rsidR="00000000" w:rsidRPr="00000000">
              <w:rPr>
                <w:rtl w:val="0"/>
              </w:rPr>
              <w:t xml:space="preserve">Establish regular performance tracking mechanisms to assess progress and ensure projects remain aligned with the organization’s value delivery goals.</w:t>
            </w:r>
          </w:p>
        </w:tc>
      </w:tr>
      <w:tr>
        <w:trPr>
          <w:cantSplit w:val="0"/>
          <w:trHeight w:val="1412.77587890625" w:hRule="atLeast"/>
          <w:tblHeader w:val="0"/>
        </w:trPr>
        <w:tc>
          <w:tcPr/>
          <w:p w:rsidR="00000000" w:rsidDel="00000000" w:rsidP="00000000" w:rsidRDefault="00000000" w:rsidRPr="00000000" w14:paraId="00000025">
            <w:pPr>
              <w:spacing w:after="240" w:before="240" w:line="276" w:lineRule="auto"/>
              <w:jc w:val="center"/>
              <w:rPr/>
            </w:pPr>
            <w:r w:rsidDel="00000000" w:rsidR="00000000" w:rsidRPr="00000000">
              <w:rPr>
                <w:rtl w:val="0"/>
              </w:rPr>
              <w:t xml:space="preserve">4</w:t>
            </w:r>
          </w:p>
        </w:tc>
        <w:tc>
          <w:tcPr/>
          <w:p w:rsidR="00000000" w:rsidDel="00000000" w:rsidP="00000000" w:rsidRDefault="00000000" w:rsidRPr="00000000" w14:paraId="00000026">
            <w:pPr>
              <w:spacing w:after="240" w:before="240" w:line="276" w:lineRule="auto"/>
              <w:jc w:val="left"/>
              <w:rPr/>
            </w:pPr>
            <w:r w:rsidDel="00000000" w:rsidR="00000000" w:rsidRPr="00000000">
              <w:rPr>
                <w:rtl w:val="0"/>
              </w:rPr>
              <w:t xml:space="preserve">Embedding a value culture</w:t>
            </w:r>
          </w:p>
        </w:tc>
        <w:tc>
          <w:tcPr/>
          <w:p w:rsidR="00000000" w:rsidDel="00000000" w:rsidP="00000000" w:rsidRDefault="00000000" w:rsidRPr="00000000" w14:paraId="00000027">
            <w:pPr>
              <w:spacing w:after="240" w:before="240" w:line="276" w:lineRule="auto"/>
              <w:jc w:val="left"/>
              <w:rPr/>
            </w:pPr>
            <w:r w:rsidDel="00000000" w:rsidR="00000000" w:rsidRPr="00000000">
              <w:rPr>
                <w:rtl w:val="0"/>
              </w:rPr>
              <w:t xml:space="preserve">Foster a culture within TechInnovate where value delivery is at the core of every project, encouraging teams to focus not just on task completion but on achieving long-term benefits.</w:t>
            </w:r>
          </w:p>
        </w:tc>
      </w:tr>
    </w:tbl>
    <w:p w:rsidR="00000000" w:rsidDel="00000000" w:rsidP="00000000" w:rsidRDefault="00000000" w:rsidRPr="00000000" w14:paraId="00000028">
      <w:pPr>
        <w:spacing w:after="240" w:before="240" w:line="276" w:lineRule="auto"/>
        <w:jc w:val="left"/>
        <w:rPr/>
      </w:pPr>
      <w:r w:rsidDel="00000000" w:rsidR="00000000" w:rsidRPr="00000000">
        <w:rPr>
          <w:rtl w:val="0"/>
        </w:rPr>
        <w:br w:type="textWrapping"/>
      </w:r>
    </w:p>
    <w:p w:rsidR="00000000" w:rsidDel="00000000" w:rsidP="00000000" w:rsidRDefault="00000000" w:rsidRPr="00000000" w14:paraId="00000029">
      <w:pPr>
        <w:spacing w:before="269" w:line="276" w:lineRule="auto"/>
        <w:ind w:left="120" w:firstLine="0"/>
        <w:jc w:val="left"/>
        <w:rPr>
          <w:sz w:val="24"/>
          <w:szCs w:val="24"/>
        </w:rPr>
      </w:pPr>
      <w:r w:rsidDel="00000000" w:rsidR="00000000" w:rsidRPr="00000000">
        <w:rPr>
          <w:rtl w:val="0"/>
        </w:rPr>
      </w:r>
    </w:p>
    <w:sectPr>
      <w:footerReference r:id="rId6" w:type="default"/>
      <w:pgSz w:h="16838" w:w="11906" w:orient="portrait"/>
      <w:pgMar w:bottom="1135" w:top="426" w:left="851" w:right="7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E"/>
      </w:rPr>
    </w:rPrDefault>
    <w:pPrDefault>
      <w:pPr>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Bdr>
        <w:bottom w:color="000000" w:space="1" w:sz="4" w:val="single"/>
      </w:pBdr>
      <w:spacing w:after="80" w:before="240" w:line="276" w:lineRule="auto"/>
      <w:jc w:val="left"/>
    </w:pPr>
    <w:rPr>
      <w:color w:val="4472c4"/>
      <w:sz w:val="28"/>
      <w:szCs w:val="28"/>
    </w:rPr>
  </w:style>
  <w:style w:type="paragraph" w:styleId="Heading3">
    <w:name w:val="heading 3"/>
    <w:basedOn w:val="Normal"/>
    <w:next w:val="Normal"/>
    <w:pPr>
      <w:keepNext w:val="1"/>
      <w:keepLines w:val="1"/>
      <w:pBdr>
        <w:bottom w:color="000000" w:space="1" w:sz="4" w:val="single"/>
      </w:pBdr>
      <w:spacing w:after="80" w:before="24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rPr>
      <w:sz w:val="36"/>
      <w:szCs w:val="3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GrammarlyDocumentId">
    <vt:lpwstr>24a8a41134033112b08c0593d1d16e14990bd2d641d48544b61a34f1fc913a06</vt:lpwstr>
  </property>
  <property fmtid="{D5CDD505-2E9C-101B-9397-08002B2CF9AE}" pid="4" name="ContentTypeId">
    <vt:lpwstr>0x010100C467E28B6EFDA443880DED344FEEFE8B</vt:lpwstr>
  </property>
</Properties>
</file>