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sz w:val="22"/>
          <w:szCs w:val="22"/>
        </w:rPr>
      </w:pPr>
      <w:bookmarkStart w:colFirst="0" w:colLast="0" w:name="_30j0zll" w:id="0"/>
      <w:bookmarkEnd w:id="0"/>
      <w:r w:rsidDel="00000000" w:rsidR="00000000" w:rsidRPr="00000000">
        <w:rPr>
          <w:rtl w:val="0"/>
        </w:rPr>
        <w:t xml:space="preserve">Exemplar for Activity: PMO assessment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line="276" w:lineRule="auto"/>
        <w:rPr/>
      </w:pPr>
      <w:bookmarkStart w:colFirst="0" w:colLast="0" w:name="_n3mtw9vpeikc" w:id="1"/>
      <w:bookmarkEnd w:id="1"/>
      <w:r w:rsidDel="00000000" w:rsidR="00000000" w:rsidRPr="00000000">
        <w:rPr>
          <w:rtl w:val="0"/>
        </w:rPr>
        <w:t xml:space="preserve">Step 1: Identifying potential types of PMOs for Techinnovate's digital transformation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Based on the TechInnovate scenario, list five potential types of PMOs that might be an appropriate 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a large and highly regulated company like TechInnovate, with a complex project portfolio in various regions, the following types of PMOs could be considered: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Directive PMO -Suitable for high-control needs, as it directly manages projects to ensure consistency across all initiatives.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Controlling PMO -  Ideal for maintaining compliance and standardization, enforcing project governance without direct project management.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Supportive PMO - Provides resources and best practices with minimal enforcement, offering flexibility for diverse regional projects.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Hybrid PMO (combination of directive and supportive approaches): This type of PMO combines directive and supportive aspects, allowing tailored governance based on project complexity and regulatory demands.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Center of Excellence (CoE) PMO - Focuses on promoting best practices and continuous improvement, fostering innovation in a large-scale transformation.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line="276" w:lineRule="auto"/>
        <w:rPr/>
      </w:pPr>
      <w:bookmarkStart w:colFirst="0" w:colLast="0" w:name="_ijpdijkmghk" w:id="2"/>
      <w:bookmarkEnd w:id="2"/>
      <w:r w:rsidDel="00000000" w:rsidR="00000000" w:rsidRPr="00000000">
        <w:rPr>
          <w:rtl w:val="0"/>
        </w:rPr>
        <w:t xml:space="preserve">Step 2: Comparing PMOs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a comparison table that outlines at least three types of PMOs, including their characteristics, advantages, and potential disadvantages. Use the table provided in your answer template to complete this step.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0"/>
        <w:gridCol w:w="2580"/>
        <w:gridCol w:w="2940"/>
        <w:gridCol w:w="2580"/>
        <w:tblGridChange w:id="0">
          <w:tblGrid>
            <w:gridCol w:w="2220"/>
            <w:gridCol w:w="2580"/>
            <w:gridCol w:w="2940"/>
            <w:gridCol w:w="25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Type of PMO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Advantages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Potential Disadvantages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Directive PMO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Has high control over projects, provides direct project management support, and may assign project managers.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nsures standardization and alignment across all projects,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is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essential for consistency across a regulated environment like TechInnovate.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can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be seen as overly controlling, reducing flexibility for local/regional project needs.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Controlling PMO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onitors adherence to standards, methods, and procedures, enforcing compliance without directly managing projects.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p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rovides strong governance and control without heavy involvement in day-to-day management, balancing structure with some autonomy for regions.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ay face resistance from teams if seen as too bureaucratic, slowing down project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Supportive PMO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p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rovides resources, templates, and best practices, acting as a knowledge hub with minimal control or enforcement.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allows project teams flexibility while ensuring resources and knowledge are accessible, and 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could work well in less regulated environments or smaller project scopes.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Limited control may lead to inconsistencies in project execution, risking alignment with transformation goals.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Hybrid PMO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c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ombines elements of directive and supportive PMOs, customizing the level of control based on project type, complexity, and region.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p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rovides flexibility, enabling stronger control for critical projects and more autonomy for localized ones, which is ideal for TechInnovate’s scale and diversity in project scope.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can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be complex to implement, with potential conflicts around when to apply directive vs. supportive approaches.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Center of Excellence (CoE)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f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ocuses on establishing best practices, driving innovation, and fostering continuous improvement, often collaborating closely with PMOs across departments.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ncourages innovation, scalability, and improvements that align with long-term goals;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is beneficial for the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AI, ERP, and cybersecurity aspects of digital transformation.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ay lack the level of control required for strictly regulated projects or fail to manage short-term risks.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76" w:lineRule="auto"/>
        <w:rPr/>
      </w:pPr>
      <w:bookmarkStart w:colFirst="0" w:colLast="0" w:name="_byix1ex0eqd9" w:id="3"/>
      <w:bookmarkEnd w:id="3"/>
      <w:r w:rsidDel="00000000" w:rsidR="00000000" w:rsidRPr="00000000">
        <w:rPr>
          <w:rtl w:val="0"/>
        </w:rPr>
        <w:t xml:space="preserve">Step 3: The PMO for TechInnovate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Based on your comparative table of PMOs, select the best-suited PMO for TechInnovate and justify your answer.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Hybrid PMO</w:t>
      </w:r>
      <w:r w:rsidDel="00000000" w:rsidR="00000000" w:rsidRPr="00000000">
        <w:rPr>
          <w:rFonts w:ascii="Arial" w:cs="Arial" w:eastAsia="Arial" w:hAnsi="Arial"/>
          <w:rtl w:val="0"/>
        </w:rPr>
        <w:t xml:space="preserve"> would likely be the best fit for TechInnovate's digital transformation. Given the complexity of 120 varied projects across a highly regulated, multinational environment, a hybrid structure offers the flexibility to adapt governance levels based on project size, scope, and regulatory requirements. 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model allows for: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Enhanced flexibility and scalability to support both global initiatives and market-specific needs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Balanced control across critical projects with higher governance in high-impact areas like AI and cybersecurity while giving smaller, localized projects some autonomy.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Adaptability to different project requirements while still aligning with TechInnovate’s strategic objectives and regulatory compliance. 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approach can help TechInnovate achieve consistency, quality, and innovation, fostering better project outcomes and supporting business growth.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5" w:top="426" w:left="851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000000" w:space="1" w:sz="4" w:val="single"/>
      </w:pBdr>
      <w:spacing w:after="80" w:before="240" w:line="276" w:lineRule="auto"/>
    </w:pPr>
    <w:rPr>
      <w:rFonts w:ascii="Arial" w:cs="Arial" w:eastAsia="Arial" w:hAnsi="Arial"/>
      <w:color w:val="0f476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000000" w:space="1" w:sz="4" w:val="single"/>
      </w:pBdr>
      <w:spacing w:after="80" w:before="24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240" w:before="240" w:line="240" w:lineRule="auto"/>
    </w:pPr>
    <w:rPr>
      <w:rFonts w:ascii="Arial" w:cs="Arial" w:eastAsia="Arial" w:hAnsi="Arial"/>
      <w:sz w:val="40"/>
      <w:szCs w:val="4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GrammarlyDocumentId">
    <vt:lpwstr>24a8a41134033112b08c0593d1d16e14990bd2d641d48544b61a34f1fc913a06</vt:lpwstr>
  </property>
  <property fmtid="{D5CDD505-2E9C-101B-9397-08002B2CF9AE}" pid="4" name="ContentTypeId">
    <vt:lpwstr>0x010100C467E28B6EFDA443880DED344FEEFE8B</vt:lpwstr>
  </property>
</Properties>
</file>