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MONITOOLRING</w:t>
      </w:r>
    </w:p>
    <w:p>
      <w:pPr>
        <w:pStyle w:val="Title"/>
      </w:pPr>
      <w:r>
        <w:t>Documento de Visão e Escopo</w:t>
      </w:r>
    </w:p>
    <w:p>
      <w:r>
        <w:t>Produto: sistema de empréstimo de ferramentas para oficina compartilhada (makerspace)</w:t>
      </w:r>
    </w:p>
    <w:p>
      <w:r>
        <w:t>Entrega acadêmica N2  |  Engenharia de Requisitos  |  Versão 1.0  |  22/10/2026</w:t>
      </w:r>
    </w:p>
    <w:p>
      <w:r>
        <w:t>Base documental: README da branch main e backend/docs/prd.md. O README prevalece para a distribuição N2/N3.</w:t>
      </w:r>
    </w:p>
    <w:p>
      <w:r>
        <w:t>Situação documental: especificação baseada nas fontes; não constitui comprovação de implementação ou homologação.</w:t>
      </w:r>
    </w:p>
    <w:p>
      <w:r>
        <w:br w:type="page"/>
      </w:r>
    </w:p>
    <w:p>
      <w:pPr>
        <w:pStyle w:val="Heading1"/>
      </w:pPr>
      <w:r>
        <w:t>1. Visão do produto</w:t>
      </w:r>
    </w:p>
    <w:p>
      <w:r>
        <w:t>O Monitoolring formaliza o cadastro e a disponibilidade de ferramentas, a retirada e devolução com checklists de conservação e a responsabilização por atrasos. Pretende substituir controles informais e preservar a rastreabilidade do patrimônio coletivo.</w:t>
      </w:r>
    </w:p>
    <w:p>
      <w:r>
        <w:t>Problemas centrais: ferramentas não devolvidas, danos sem registro de responsabilidade e acúmulo de empréstimos vencidos.</w:t>
      </w:r>
    </w:p>
    <w:p>
      <w:pPr>
        <w:pStyle w:val="Heading1"/>
      </w:pPr>
      <w:r>
        <w:t>2. Objetivos</w:t>
      </w:r>
    </w:p>
    <w:p>
      <w:r>
        <w:t>Permitir identificar quem está com cada ferramenta, quando ocorreu a retirada e qual é o prazo de devolução.</w:t>
      </w:r>
    </w:p>
    <w:p>
      <w:r>
        <w:t>Registrar o estado físico e funcional no início e no encerramento de cada empréstimo.</w:t>
      </w:r>
    </w:p>
    <w:p>
      <w:r>
        <w:t>Impedir novas retiradas enquanto o membro possuir empréstimos em atraso e liberar o bloqueio após regularização.</w:t>
      </w:r>
    </w:p>
    <w:p>
      <w:r>
        <w:t>Manter um catálogo de ferramentas com disponibilidade consistente e controle de acesso por perfil.</w:t>
      </w:r>
    </w:p>
    <w:p>
      <w:pPr>
        <w:pStyle w:val="Heading1"/>
      </w:pPr>
      <w:r>
        <w:t>3. Stakeholders e perfis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Perfil</w:t>
            </w:r>
          </w:p>
        </w:tc>
        <w:tc>
          <w:tcPr>
            <w:tcW w:type="dxa" w:w="4824"/>
          </w:tcPr>
          <w:p>
            <w:r>
              <w:t>Interesse / responsabilidade</w:t>
            </w:r>
          </w:p>
        </w:tc>
      </w:tr>
      <w:tr>
        <w:tc>
          <w:tcPr>
            <w:tcW w:type="dxa" w:w="4824"/>
          </w:tcPr>
          <w:p>
            <w:r>
              <w:t>Membro (MEMBER)</w:t>
            </w:r>
          </w:p>
        </w:tc>
        <w:tc>
          <w:tcPr>
            <w:tcW w:type="dxa" w:w="4824"/>
          </w:tcPr>
          <w:p>
            <w:r>
              <w:t>Consultar ferramentas, solicitar retirada e acompanhar seus empréstimos.</w:t>
            </w:r>
          </w:p>
        </w:tc>
      </w:tr>
      <w:tr>
        <w:tc>
          <w:tcPr>
            <w:tcW w:type="dxa" w:w="4824"/>
          </w:tcPr>
          <w:p>
            <w:r>
              <w:t>Responsável da oficina (STAFF)</w:t>
            </w:r>
          </w:p>
        </w:tc>
        <w:tc>
          <w:tcPr>
            <w:tcW w:type="dxa" w:w="4824"/>
          </w:tcPr>
          <w:p>
            <w:r>
              <w:t>Gerenciar ferramentas e contas Staff; conferir checklists; confirmar retirada/devolução.</w:t>
            </w:r>
          </w:p>
        </w:tc>
      </w:tr>
      <w:tr>
        <w:tc>
          <w:tcPr>
            <w:tcW w:type="dxa" w:w="4824"/>
          </w:tcPr>
          <w:p>
            <w:r>
              <w:t>Equipe de desenvolvimento</w:t>
            </w:r>
          </w:p>
        </w:tc>
        <w:tc>
          <w:tcPr>
            <w:tcW w:type="dxa" w:w="4824"/>
          </w:tcPr>
          <w:p>
            <w:r>
              <w:t>Implementar e testar requisitos com rastreabilidade.</w:t>
            </w:r>
          </w:p>
        </w:tc>
      </w:tr>
      <w:tr>
        <w:tc>
          <w:tcPr>
            <w:tcW w:type="dxa" w:w="4824"/>
          </w:tcPr>
          <w:p>
            <w:r>
              <w:t>Equipe acadêmica / avaliadores</w:t>
            </w:r>
          </w:p>
        </w:tc>
        <w:tc>
          <w:tcPr>
            <w:tcW w:type="dxa" w:w="4824"/>
          </w:tcPr>
          <w:p>
            <w:r>
              <w:t>Avaliar entregáveis e aderência ao escopo da N2.</w:t>
            </w:r>
          </w:p>
        </w:tc>
      </w:tr>
    </w:tbl>
    <w:p>
      <w:pPr>
        <w:pStyle w:val="Heading1"/>
      </w:pPr>
      <w:r>
        <w:t>4. Delimitação por avaliação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Etapa</w:t>
            </w:r>
          </w:p>
        </w:tc>
        <w:tc>
          <w:tcPr>
            <w:tcW w:type="dxa" w:w="3216"/>
          </w:tcPr>
          <w:p>
            <w:r>
              <w:t>Requisitos</w:t>
            </w:r>
          </w:p>
        </w:tc>
        <w:tc>
          <w:tcPr>
            <w:tcW w:type="dxa" w:w="3216"/>
          </w:tcPr>
          <w:p>
            <w:r>
              <w:t>Observação</w:t>
            </w:r>
          </w:p>
        </w:tc>
      </w:tr>
      <w:tr>
        <w:tc>
          <w:tcPr>
            <w:tcW w:type="dxa" w:w="3216"/>
          </w:tcPr>
          <w:p>
            <w:r>
              <w:t>N2</w:t>
            </w:r>
          </w:p>
        </w:tc>
        <w:tc>
          <w:tcPr>
            <w:tcW w:type="dxa" w:w="3216"/>
          </w:tcPr>
          <w:p>
            <w:r>
              <w:t>FR-1, FR-2, FR-3, FR-4, FR-5, FR-8, FR-9, FR-10, FR-11, FR-12, FR-13, FR-14, FR-16, FR-17, FR-18</w:t>
            </w:r>
          </w:p>
        </w:tc>
        <w:tc>
          <w:tcPr>
            <w:tcW w:type="dxa" w:w="3216"/>
          </w:tcPr>
          <w:p>
            <w:r>
              <w:t>15 requisitos previstos; nem todos concluídos na main.</w:t>
            </w:r>
          </w:p>
        </w:tc>
      </w:tr>
      <w:tr>
        <w:tc>
          <w:tcPr>
            <w:tcW w:type="dxa" w:w="3216"/>
          </w:tcPr>
          <w:p>
            <w:r>
              <w:t>N3</w:t>
            </w:r>
          </w:p>
        </w:tc>
        <w:tc>
          <w:tcPr>
            <w:tcW w:type="dxa" w:w="3216"/>
          </w:tcPr>
          <w:p>
            <w:r>
              <w:t>FR-6, FR-7, FR-15, FR-19</w:t>
            </w:r>
          </w:p>
        </w:tc>
        <w:tc>
          <w:tcPr>
            <w:tcW w:type="dxa" w:w="3216"/>
          </w:tcPr>
          <w:p>
            <w:r>
              <w:t>4 requisitos funcionais postergados.</w:t>
            </w:r>
          </w:p>
        </w:tc>
      </w:tr>
      <w:tr>
        <w:tc>
          <w:tcPr>
            <w:tcW w:type="dxa" w:w="3216"/>
          </w:tcPr>
          <w:p>
            <w:r>
              <w:t>N3 — evoluções</w:t>
            </w:r>
          </w:p>
        </w:tc>
        <w:tc>
          <w:tcPr>
            <w:tcW w:type="dxa" w:w="3216"/>
          </w:tcPr>
          <w:p>
            <w:r>
              <w:t>Treinamento prévio; multas; revogação JWT; desempenho; LGPD</w:t>
            </w:r>
          </w:p>
        </w:tc>
        <w:tc>
          <w:tcPr>
            <w:tcW w:type="dxa" w:w="3216"/>
          </w:tcPr>
          <w:p>
            <w:r>
              <w:t>Itens adicionais não numerados no PRD original.</w:t>
            </w:r>
          </w:p>
        </w:tc>
      </w:tr>
    </w:tbl>
    <w:p>
      <w:pPr>
        <w:pStyle w:val="Heading1"/>
      </w:pPr>
      <w:r>
        <w:t>5. Situação de implementação registrada no README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Situação</w:t>
            </w:r>
          </w:p>
        </w:tc>
        <w:tc>
          <w:tcPr>
            <w:tcW w:type="dxa" w:w="4824"/>
          </w:tcPr>
          <w:p>
            <w:r>
              <w:t>Funcionalidades</w:t>
            </w:r>
          </w:p>
        </w:tc>
      </w:tr>
      <w:tr>
        <w:tc>
          <w:tcPr>
            <w:tcW w:type="dxa" w:w="4824"/>
          </w:tcPr>
          <w:p>
            <w:r>
              <w:t>Concluído na main</w:t>
            </w:r>
          </w:p>
        </w:tc>
        <w:tc>
          <w:tcPr>
            <w:tcW w:type="dxa" w:w="4824"/>
          </w:tcPr>
          <w:p>
            <w:r>
              <w:t>FR-1/2 (contas e autenticação); FR-3/4/5 (ferramentas e consulta).</w:t>
            </w:r>
          </w:p>
        </w:tc>
      </w:tr>
      <w:tr>
        <w:tc>
          <w:tcPr>
            <w:tcW w:type="dxa" w:w="4824"/>
          </w:tcPr>
          <w:p>
            <w:r>
              <w:t>Em andamento, fora da main</w:t>
            </w:r>
          </w:p>
        </w:tc>
        <w:tc>
          <w:tcPr>
            <w:tcW w:type="dxa" w:w="4824"/>
          </w:tcPr>
          <w:p>
            <w:r>
              <w:t>FR-8 (prazo padrão); FR-9/10/11 (retirada/checklist/prazo).</w:t>
            </w:r>
          </w:p>
        </w:tc>
      </w:tr>
      <w:tr>
        <w:tc>
          <w:tcPr>
            <w:tcW w:type="dxa" w:w="4824"/>
          </w:tcPr>
          <w:p>
            <w:r>
              <w:t>Planejado</w:t>
            </w:r>
          </w:p>
        </w:tc>
        <w:tc>
          <w:tcPr>
            <w:tcW w:type="dxa" w:w="4824"/>
          </w:tcPr>
          <w:p>
            <w:r>
              <w:t>FR-12/17/18 (inadimplência/atraso/desbloqueio); FR-13/14/16 (devolução/checklist/disponibilidade).</w:t>
            </w:r>
          </w:p>
        </w:tc>
      </w:tr>
    </w:tbl>
    <w:p>
      <w:pPr>
        <w:pStyle w:val="Heading1"/>
      </w:pPr>
      <w:r>
        <w:t>6. Limites e exclusões</w:t>
      </w:r>
    </w:p>
    <w:p>
      <w:r>
        <w:t>Não contempla comércio, venda ou locação comercial; estoque de consumíveis; inventário contábil completo; integração com SSO; notificações automáticas; cobrança financeira por perda; dashboards analíticos além de consultas simples.</w:t>
      </w:r>
    </w:p>
    <w:p>
      <w:r>
        <w:t>O prazo de devolução é global no MVP; prazo por ferramenta ou categoria fica fora do escopo.</w:t>
      </w:r>
    </w:p>
    <w:p>
      <w:pPr>
        <w:pStyle w:val="Heading1"/>
      </w:pPr>
      <w:r>
        <w:t>7. Premissas, restrições e dependências</w:t>
      </w:r>
    </w:p>
    <w:p>
      <w:r>
        <w:t>O sistema possui papéis MEMBER e STAFF; a criação pública de contas gera somente MEMBER. A primeira conta STAFF depende de configuração inicial.</w:t>
      </w:r>
    </w:p>
    <w:p>
      <w:r>
        <w:t>Retirada depende de ferramenta disponível, prazo padrão configurado, checklist preenchido e ausência de atraso do membro.</w:t>
      </w:r>
    </w:p>
    <w:p>
      <w:r>
        <w:t>Devolução depende de empréstimo ativo e checklist preenchido. A sinalização de divergência e o registro de perda são da N3.</w:t>
      </w:r>
    </w:p>
    <w:p>
      <w:r>
        <w:t>A interface deve observar acessibilidade WCAG 2.1 AA nos fluxos críticos; requisitos de desempenho e privacidade precisam de validação própria.</w:t>
      </w:r>
    </w:p>
    <w:p>
      <w:pPr>
        <w:pStyle w:val="Heading1"/>
      </w:pPr>
      <w:r>
        <w:t>8. Critérios de sucesso e aceitação do produto</w:t>
      </w:r>
    </w:p>
    <w:p>
      <w:r>
        <w:t>100% das retiradas confirmadas devem identificar o membro e possuir checklist de conservação preenchido.</w:t>
      </w:r>
    </w:p>
    <w:p>
      <w:r>
        <w:t>100% das tentativas de retirada de membros inadimplentes devem ser recusadas.</w:t>
      </w:r>
    </w:p>
    <w:p>
      <w:r>
        <w:t>A disponibilidade da ferramenta deve refletir imediatamente retiradas e devoluções e impedir confirmação dupla em concorrência.</w:t>
      </w:r>
    </w:p>
    <w:p>
      <w:r>
        <w:t>Metas do PRD: consulta de disponibilidade em até 1 segundo; confirmação de retirada/devolução em até 2 segundos sob carga normal. O README indica que a medição de performance está pendente para N3.</w:t>
      </w:r>
    </w:p>
    <w:p>
      <w:pPr>
        <w:pStyle w:val="Heading1"/>
      </w:pPr>
      <w:r>
        <w:t>9. Controle de mudanças e referências</w:t>
      </w:r>
    </w:p>
    <w:p>
      <w:r>
        <w:t>Decisão de escopo: utilizar a divisão N2/N3 do README mais recente, mesmo quando o PRD original menciona outro cronograma para treinamento prévio.</w:t>
      </w:r>
    </w:p>
    <w:p>
      <w:r>
        <w:t>Fontes: https://github.com/patrickgusmao10/horangotango/blob/main/README.md ; https://github.com/patrickgusmao10/horangotango/blob/main/backend/docs/prd.md ; https://github.com/patrickgusmao10/horangotango/blob/main/backend/docs/api-convencoes-http.md.</w:t>
      </w:r>
    </w:p>
    <w:p>
      <w:r>
        <w:t>Este documento deve ser revisado após cada integração de funcionalidades à branch main.</w:t>
      </w:r>
    </w:p>
    <w:p>
      <w:r>
        <w:br w:type="page"/>
      </w:r>
    </w:p>
    <w:p>
      <w:pPr>
        <w:pStyle w:val="Title"/>
      </w:pPr>
      <w:r>
        <w:t>ANEXO — Visão de negócio aprofundada</w:t>
      </w:r>
    </w:p>
    <w:p>
      <w:pPr>
        <w:pStyle w:val="Heading1"/>
      </w:pPr>
      <w:r>
        <w:t>Contexto operacional e problema</w:t>
      </w:r>
    </w:p>
    <w:p>
      <w:r>
        <w:t>Em oficinas compartilhadas, uma ferramenta pode circular entre diferentes membros. Sem um registro formal, torna-se difícil distinguir desgaste preexistente de dano ocorrido durante o empréstimo, localizar o responsável pela guarda ou impedir que uma pessoa com pendências retire novos itens. O Monitoolring propõe transformar esses acontecimentos em eventos rastreáveis: cadastro individual de ferramentas, identificação do membro, registro de condição na saída, prazo e conferência na devolução.</w:t>
      </w:r>
    </w:p>
    <w:p>
      <w:pPr>
        <w:pStyle w:val="Heading1"/>
      </w:pPr>
      <w:r>
        <w:t>Jornada A — Retirada regular</w:t>
      </w:r>
    </w:p>
    <w:p>
      <w:r>
        <w:t>Um MEMBER autenticado consulta a disponibilidade de uma ferramenta. Se estiver disponível e o membro não tiver empréstimos vencidos, a retirada segue para conferência de um STAFF. O STAFF registra estado funcional, avarias e acessórios, e confirma a retirada. O sistema aplica o prazo padrão vigente, grava o início do empréstimo e muda o status da ferramenta para emprestada. A consulta posterior deve refletir o novo estado.</w:t>
      </w:r>
    </w:p>
    <w:p>
      <w:pPr>
        <w:pStyle w:val="Heading1"/>
      </w:pPr>
      <w:r>
        <w:t>Jornada B — Tentativa de retirada com atraso</w:t>
      </w:r>
    </w:p>
    <w:p>
      <w:r>
        <w:t>Antes de confirmar uma retirada, o sistema verifica todos os empréstimos em aberto do membro. Caso qualquer um tenha ultrapassado o vencimento, a operação é recusada antes da etapa de checklist. A mensagem deve identificar as pendências e o membro permanece impedido de retirar novas ferramentas até regularizar todas as situações vencidas.</w:t>
      </w:r>
    </w:p>
    <w:p>
      <w:pPr>
        <w:pStyle w:val="Heading1"/>
      </w:pPr>
      <w:r>
        <w:t>Jornada C — Devolução regular</w:t>
      </w:r>
    </w:p>
    <w:p>
      <w:r>
        <w:t>O STAFF localiza um empréstimo ativo, confere fisicamente a ferramenta e registra o checklist de devolução, comparando-o ao checklist de retirada. Na N2, o cenário de devolução sem divergência encerra o empréstimo e disponibiliza a ferramenta. O tratamento de divergências justificadas, com encaminhamento a inspeção, pertence à N3.</w:t>
      </w:r>
    </w:p>
    <w:p>
      <w:pPr>
        <w:pStyle w:val="Heading1"/>
      </w:pPr>
      <w:r>
        <w:t>Jornada D — Perda ou furto (continuidade N3)</w:t>
      </w:r>
    </w:p>
    <w:p>
      <w:r>
        <w:t>Quando uma ferramenta não pode ser devolvida, o STAFF deve registrar perda ou furto, encerrando o empréstimo sem exigir checklist de devolução. A ferramenta passa ao status perdida, e o bloqueio do membro é recalculado conforme outras pendências. O processo não contempla cobrança ou responsabilização financeira automatizada.</w:t>
      </w:r>
    </w:p>
    <w:p>
      <w:pPr>
        <w:pStyle w:val="Heading1"/>
      </w:pPr>
      <w:r>
        <w:t>Política de autorização</w:t>
      </w:r>
    </w:p>
    <w:p>
      <w:r>
        <w:t>O visitante pode criar conta MEMBER e autenticar-se. O STAFF pode criar outros STAFFs e administrar ferramentas. A confirmação de retirada e devolução é uma operação do STAFF. Consultas e alterações protegidas exigem token válido, com rejeição de acesso indevido. O logout atual é stateless; revogação de tokens permanece na N3.</w:t>
      </w:r>
    </w:p>
    <w:p>
      <w:pPr>
        <w:pStyle w:val="Heading1"/>
      </w:pPr>
      <w:r>
        <w:t>Fronteira entre escopo e entrega</w:t>
      </w:r>
    </w:p>
    <w:p>
      <w:r>
        <w:t>O README distingue requisitos concluídos na main, requisitos em andamento fora da main e requisitos planejados. Assim, a N2 representa uma meta de escopo de 15 FRs, não uma declaração de que 15 FRs já estão operacionais. A avaliação de cobertura deve registrar evidências de integração, teste e aceite separadamente.</w:t>
      </w:r>
    </w:p>
    <w:p>
      <w:pPr>
        <w:pStyle w:val="Heading1"/>
      </w:pPr>
      <w:r>
        <w:t>Riscos e mitigação</w:t>
      </w:r>
    </w:p>
    <w:p>
      <w:r>
        <w:t>Risco de inconsistência entre PRD e README: adotar README como fonte do cronograma e PRD como fonte das regras. Risco de retirada duplicada: exigir validação transacional de disponibilidade. Risco de checklists incompletos: validação obrigatória antes da confirmação. Risco de atraso não reconhecido: reavaliar vencimento em operações relevantes. Risco de documentação desatualizada: revisão por requisito a cada integração na main.</w:t>
      </w:r>
    </w:p>
    <w:p>
      <w:pPr>
        <w:pStyle w:val="Heading1"/>
      </w:pPr>
      <w:r>
        <w:t>Critérios de prontidão para N3</w:t>
      </w:r>
    </w:p>
    <w:p>
      <w:r>
        <w:t>A continuidade pressupõe modelos persistidos de ferramenta e empréstimo, checklist de retirada e devolução, cálculo de prazo e regra de bloqueio. FR-6/7 dependem de histórico; FR-15 depende dos dois checklists; FR-19 depende de empréstimo ativo e integra-se ao desbloqueio. Treinamento e multas exigem decisões adicionais de regras e dados.</w:t>
      </w:r>
    </w:p>
    <w:p>
      <w:pPr>
        <w:pStyle w:val="Heading1"/>
      </w:pPr>
      <w:r>
        <w:t>Decisões a confirmar com a equipe</w:t>
      </w:r>
    </w:p>
    <w:p>
      <w:r>
        <w:t>Confirmar quem pode iniciar a solicitação e em qual interface ela aparece; como o membro confirma concordância com o checklist; qual o comportamento de campos de acessórios quando não houver acessórios; quais evidências serão usadas para comprovar a N2; qual será o critério de aceite de interface para WCAG 2.1 AA. Esses pontos não devem ser inventados como decisões aprovadas.</w:t>
      </w:r>
    </w:p>
    <w:sectPr w:rsidR="00FC693F" w:rsidRPr="0006063C" w:rsidSect="00034616">
      <w:pgSz w:w="12240" w:h="15840"/>
      <w:pgMar w:top="1123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7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7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75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