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MONITOOLRING</w:t>
      </w:r>
    </w:p>
    <w:p>
      <w:pPr>
        <w:pStyle w:val="Title"/>
      </w:pPr>
      <w:r>
        <w:t>Plano de Continuidade — N3</w:t>
      </w:r>
    </w:p>
    <w:p>
      <w:r>
        <w:t>Engenharia de Requisitos | Versão 1.0 | 22/10/2026</w:t>
      </w:r>
    </w:p>
    <w:p>
      <w:r>
        <w:t>Linha de base: divisão de escopo mais recente do README da branch main, prevalecendo sobre a classificação anterior do PRD.</w:t>
      </w:r>
    </w:p>
    <w:p>
      <w:pPr>
        <w:pStyle w:val="Heading1"/>
      </w:pPr>
      <w:r>
        <w:t>1. Objetivo e ponto de partida</w:t>
      </w:r>
    </w:p>
    <w:p>
      <w:r>
        <w:t>A N3 complementará o núcleo de cadastro, catálogo, retirada, devolução e bloqueio previsto na N2. Não se deve presumir que todos os 15 requisitos da N2 estão implementados: o README identifica FR-1 a FR-5 concluídos, FR-8 a FR-11 em desenvolvimento fora da main e FR-12 a FR-14, FR-16 a FR-18 planejados. A N3 depende da integração e validação dessas funcionalidades.</w:t>
      </w:r>
    </w:p>
    <w:p>
      <w:pPr>
        <w:pStyle w:val="Heading1"/>
      </w:pPr>
      <w:r>
        <w:t>2. Requisitos funcionais formalmente adiados</w:t>
      </w:r>
    </w:p>
    <w:p>
      <w:pPr>
        <w:pStyle w:val="Heading2"/>
      </w:pPr>
      <w:r>
        <w:t>FR-6 — Histórico de empréstimos por Staff</w:t>
      </w:r>
    </w:p>
    <w:p>
      <w:r>
        <w:t>Comportamento: Staff seleciona um membro e visualiza empréstimos ativos e encerrados, incluindo prazos, devoluções, atrasos e perdas.</w:t>
      </w:r>
    </w:p>
    <w:p>
      <w:r>
        <w:t>Dependências: Persistência dos empréstimos e identificação de membros na N2.</w:t>
      </w:r>
    </w:p>
    <w:p>
      <w:r>
        <w:t>Critérios de aceite: Staff acessa histórico de terceiro; MEMBER não pode acessar histórico de terceiros; lista reflete registros reais.</w:t>
      </w:r>
    </w:p>
    <w:p>
      <w:r>
        <w:t>Caso de uso: UC-14</w:t>
      </w:r>
    </w:p>
    <w:p>
      <w:pPr>
        <w:pStyle w:val="Heading2"/>
      </w:pPr>
      <w:r>
        <w:t>FR-7 — Histórico do próprio membro</w:t>
      </w:r>
    </w:p>
    <w:p>
      <w:r>
        <w:t>Comportamento: Membro autenticado acompanha apenas suas retiradas, devoluções, prazos e situações.</w:t>
      </w:r>
    </w:p>
    <w:p>
      <w:r>
        <w:t>Dependências: Autenticação e associação empréstimo→membro da N2.</w:t>
      </w:r>
    </w:p>
    <w:p>
      <w:r>
        <w:t>Critérios de aceite: Um MEMBER visualiza seus dados e não obtém dados de outro usuário por alteração de identificadores.</w:t>
      </w:r>
    </w:p>
    <w:p>
      <w:r>
        <w:t>Caso de uso: UC-15</w:t>
      </w:r>
    </w:p>
    <w:p>
      <w:pPr>
        <w:pStyle w:val="Heading2"/>
      </w:pPr>
      <w:r>
        <w:t>FR-15 — Divergência de conservação</w:t>
      </w:r>
    </w:p>
    <w:p>
      <w:r>
        <w:t>Comportamento: Staff compara checklist de devolução com o de retirada, registra justificativa e encaminha ferramenta à inspeção/reparo.</w:t>
      </w:r>
    </w:p>
    <w:p>
      <w:r>
        <w:t>Dependências: FR-10, FR-13, FR-14 e transições de status da ferramenta.</w:t>
      </w:r>
    </w:p>
    <w:p>
      <w:r>
        <w:t>Critérios de aceite: Justificativa obrigatória; checklists preservados; ferramenta não retorna ao catálogo como disponível.</w:t>
      </w:r>
    </w:p>
    <w:p>
      <w:r>
        <w:t>Caso de uso: UC-16</w:t>
      </w:r>
    </w:p>
    <w:p>
      <w:pPr>
        <w:pStyle w:val="Heading2"/>
      </w:pPr>
      <w:r>
        <w:t>FR-19 — Perda ou furto</w:t>
      </w:r>
    </w:p>
    <w:p>
      <w:r>
        <w:t>Comportamento: Staff registra ocorrência de perda/furto para empréstimo ativo, encerra a operação sem checklist de devolução, marca ferramenta perdida e reavalia pendências.</w:t>
      </w:r>
    </w:p>
    <w:p>
      <w:r>
        <w:t>Dependências: FR-11, FR-17 e FR-18; estados da ferramenta.</w:t>
      </w:r>
    </w:p>
    <w:p>
      <w:r>
        <w:t>Critérios de aceite: Ferramenta não fica disponível; empréstimo encerrado; bloqueio é recalculado considerando outras pendências.</w:t>
      </w:r>
    </w:p>
    <w:p>
      <w:r>
        <w:t>Caso de uso: UC-17</w:t>
      </w:r>
    </w:p>
    <w:p>
      <w:pPr>
        <w:pStyle w:val="Heading1"/>
      </w:pPr>
      <w:r>
        <w:t>3. Evoluções complementares previstas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Evolução</w:t>
            </w:r>
          </w:p>
        </w:tc>
        <w:tc>
          <w:tcPr>
            <w:tcW w:type="dxa" w:w="3293"/>
          </w:tcPr>
          <w:p>
            <w:r>
              <w:t>Proposta de implementação</w:t>
            </w:r>
          </w:p>
        </w:tc>
        <w:tc>
          <w:tcPr>
            <w:tcW w:type="dxa" w:w="3293"/>
          </w:tcPr>
          <w:p>
            <w:r>
              <w:t>Critério de validação</w:t>
            </w:r>
          </w:p>
        </w:tc>
      </w:tr>
      <w:tr>
        <w:tc>
          <w:tcPr>
            <w:tcW w:type="dxa" w:w="3293"/>
          </w:tcPr>
          <w:p>
            <w:r>
              <w:t>Pré-requisito de treinamento</w:t>
            </w:r>
          </w:p>
        </w:tc>
        <w:tc>
          <w:tcPr>
            <w:tcW w:type="dxa" w:w="3293"/>
          </w:tcPr>
          <w:p>
            <w:r>
              <w:t>Registrar capacitações do membro e exigência por ferramenta; validar antes de retirada.</w:t>
            </w:r>
          </w:p>
        </w:tc>
        <w:tc>
          <w:tcPr>
            <w:tcW w:type="dxa" w:w="3293"/>
          </w:tcPr>
          <w:p>
            <w:r>
              <w:t>Membro sem capacitação requerida não consegue retirar; capacitado consegue.</w:t>
            </w:r>
          </w:p>
        </w:tc>
      </w:tr>
      <w:tr>
        <w:tc>
          <w:tcPr>
            <w:tcW w:type="dxa" w:w="3293"/>
          </w:tcPr>
          <w:p>
            <w:r>
              <w:t>Multas por atraso</w:t>
            </w:r>
          </w:p>
        </w:tc>
        <w:tc>
          <w:tcPr>
            <w:tcW w:type="dxa" w:w="3293"/>
          </w:tcPr>
          <w:p>
            <w:r>
              <w:t>Definir política de cobrança, cálculo e arredondamento antes de implementar.</w:t>
            </w:r>
          </w:p>
        </w:tc>
        <w:tc>
          <w:tcPr>
            <w:tcW w:type="dxa" w:w="3293"/>
          </w:tcPr>
          <w:p>
            <w:r>
              <w:t>Casos de prazo, múltiplos atrasos e pagamento são aprovados pela equipe.</w:t>
            </w:r>
          </w:p>
        </w:tc>
      </w:tr>
      <w:tr>
        <w:tc>
          <w:tcPr>
            <w:tcW w:type="dxa" w:w="3293"/>
          </w:tcPr>
          <w:p>
            <w:r>
              <w:t>Revogação de JWT no logout</w:t>
            </w:r>
          </w:p>
        </w:tc>
        <w:tc>
          <w:tcPr>
            <w:tcW w:type="dxa" w:w="3293"/>
          </w:tcPr>
          <w:p>
            <w:r>
              <w:t>Definir estratégia de revogação (ex.: lista de bloqueio/versão de sessão).</w:t>
            </w:r>
          </w:p>
        </w:tc>
        <w:tc>
          <w:tcPr>
            <w:tcW w:type="dxa" w:w="3293"/>
          </w:tcPr>
          <w:p>
            <w:r>
              <w:t>Token encerrado não autoriza operações posteriores.</w:t>
            </w:r>
          </w:p>
        </w:tc>
      </w:tr>
      <w:tr>
        <w:tc>
          <w:tcPr>
            <w:tcW w:type="dxa" w:w="3293"/>
          </w:tcPr>
          <w:p>
            <w:r>
              <w:t>Tratamento de erros e acesso</w:t>
            </w:r>
          </w:p>
        </w:tc>
        <w:tc>
          <w:tcPr>
            <w:tcW w:type="dxa" w:w="3293"/>
          </w:tcPr>
          <w:p>
            <w:r>
              <w:t>Revisar respostas 400/401/403/404/409, consistência de contratos e mensagens.</w:t>
            </w:r>
          </w:p>
        </w:tc>
        <w:tc>
          <w:tcPr>
            <w:tcW w:type="dxa" w:w="3293"/>
          </w:tcPr>
          <w:p>
            <w:r>
              <w:t>Casos de permissão e inexistência retornam código e mensagem esperados.</w:t>
            </w:r>
          </w:p>
        </w:tc>
      </w:tr>
      <w:tr>
        <w:tc>
          <w:tcPr>
            <w:tcW w:type="dxa" w:w="3293"/>
          </w:tcPr>
          <w:p>
            <w:r>
              <w:t>Desempenho</w:t>
            </w:r>
          </w:p>
        </w:tc>
        <w:tc>
          <w:tcPr>
            <w:tcW w:type="dxa" w:w="3293"/>
          </w:tcPr>
          <w:p>
            <w:r>
              <w:t>Executar carga representativa para catálogo e retirada/devolução.</w:t>
            </w:r>
          </w:p>
        </w:tc>
        <w:tc>
          <w:tcPr>
            <w:tcW w:type="dxa" w:w="3293"/>
          </w:tcPr>
          <w:p>
            <w:r>
              <w:t>Consulta até 1s; confirmação até 2s sob carga normal definida.</w:t>
            </w:r>
          </w:p>
        </w:tc>
      </w:tr>
      <w:tr>
        <w:tc>
          <w:tcPr>
            <w:tcW w:type="dxa" w:w="3293"/>
          </w:tcPr>
          <w:p>
            <w:r>
              <w:t>LGPD e acessibilidade</w:t>
            </w:r>
          </w:p>
        </w:tc>
        <w:tc>
          <w:tcPr>
            <w:tcW w:type="dxa" w:w="3293"/>
          </w:tcPr>
          <w:p>
            <w:r>
              <w:t>Revisar minimização, acesso, retenção, WCAG 2.1 AA.</w:t>
            </w:r>
          </w:p>
        </w:tc>
        <w:tc>
          <w:tcPr>
            <w:tcW w:type="dxa" w:w="3293"/>
          </w:tcPr>
          <w:p>
            <w:r>
              <w:t>Checklist de conformidade e evidências registradas.</w:t>
            </w:r>
          </w:p>
        </w:tc>
      </w:tr>
    </w:tbl>
    <w:p>
      <w:pPr>
        <w:pStyle w:val="Heading1"/>
      </w:pPr>
      <w:r>
        <w:t>4. Ordem de implementação e dependências</w:t>
      </w:r>
    </w:p>
    <w:p>
      <w:pPr>
        <w:pStyle w:val="ListBullet"/>
      </w:pPr>
      <w:r>
        <w:t>Etapa 0 — Integrar e testar a N2: prazo global, retirada/checklist, bloqueio e devolução; validar concorrência e persistência.</w:t>
      </w:r>
    </w:p>
    <w:p>
      <w:pPr>
        <w:pStyle w:val="ListBullet"/>
      </w:pPr>
      <w:r>
        <w:t>Etapa 1 — Implementar FR-6 e FR-7: histórico e controle de autorização com base nos empréstimos existentes.</w:t>
      </w:r>
    </w:p>
    <w:p>
      <w:pPr>
        <w:pStyle w:val="ListBullet"/>
      </w:pPr>
      <w:r>
        <w:t>Etapa 2 — Implementar FR-15: divergências, justificativa, ocorrência e transição para inspeção/reparo.</w:t>
      </w:r>
    </w:p>
    <w:p>
      <w:pPr>
        <w:pStyle w:val="ListBullet"/>
      </w:pPr>
      <w:r>
        <w:t>Etapa 3 — Implementar FR-19: perda/furto, encerramento alternativo e reavaliação do bloqueio.</w:t>
      </w:r>
    </w:p>
    <w:p>
      <w:pPr>
        <w:pStyle w:val="ListBullet"/>
      </w:pPr>
      <w:r>
        <w:t>Etapa 4 — Implementar treinamento, multas e melhorias de segurança, após definir regras de negócio em aberto.</w:t>
      </w:r>
    </w:p>
    <w:p>
      <w:pPr>
        <w:pStyle w:val="ListBullet"/>
      </w:pPr>
      <w:r>
        <w:t>Etapa 5 — Executar testes de integração, concorrência, carga, acessibilidade e revisão de privacidade.</w:t>
      </w:r>
    </w:p>
    <w:p>
      <w:pPr>
        <w:pStyle w:val="Heading1"/>
      </w:pPr>
      <w:r>
        <w:t>5. Decisões pendentes de validação com a equipe</w:t>
      </w:r>
    </w:p>
    <w:p>
      <w:pPr>
        <w:pStyle w:val="ListBullet"/>
      </w:pPr>
      <w:r>
        <w:t>Quais ferramentas exigem treinamento e como Staff comprova a capacitação?</w:t>
      </w:r>
    </w:p>
    <w:p>
      <w:pPr>
        <w:pStyle w:val="ListBullet"/>
      </w:pPr>
      <w:r>
        <w:t>Como calcular multa: valor diário, tolerância, teto, suspensão e quitação?</w:t>
      </w:r>
    </w:p>
    <w:p>
      <w:pPr>
        <w:pStyle w:val="ListBullet"/>
      </w:pPr>
      <w:r>
        <w:t>Qual fluxo permite retornar ferramenta de inspeção/reparo ao estado disponível?</w:t>
      </w:r>
    </w:p>
    <w:p>
      <w:pPr>
        <w:pStyle w:val="ListBullet"/>
      </w:pPr>
      <w:r>
        <w:t>Qual nível de detalhe do histórico fica disponível a MEMBER e a STAFF?</w:t>
      </w:r>
    </w:p>
    <w:p>
      <w:pPr>
        <w:pStyle w:val="ListBullet"/>
      </w:pPr>
      <w:r>
        <w:t>Qual política de retenção, exclusão e exportação de dados pessoais será adotada?</w:t>
      </w:r>
    </w:p>
    <w:p>
      <w:pPr>
        <w:pStyle w:val="ListBullet"/>
      </w:pPr>
      <w:r>
        <w:t>Quais volumes e condições caracterizam “carga normal” para metas de desempenho?</w:t>
      </w:r>
    </w:p>
    <w:p>
      <w:pPr>
        <w:pStyle w:val="Heading1"/>
      </w:pPr>
      <w:r>
        <w:t>6. Matriz de riscos e mitigação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Risco</w:t>
            </w:r>
          </w:p>
        </w:tc>
        <w:tc>
          <w:tcPr>
            <w:tcW w:type="dxa" w:w="3293"/>
          </w:tcPr>
          <w:p>
            <w:r>
              <w:t>Impacto</w:t>
            </w:r>
          </w:p>
        </w:tc>
        <w:tc>
          <w:tcPr>
            <w:tcW w:type="dxa" w:w="3293"/>
          </w:tcPr>
          <w:p>
            <w:r>
              <w:t>Mitigação</w:t>
            </w:r>
          </w:p>
        </w:tc>
      </w:tr>
      <w:tr>
        <w:tc>
          <w:tcPr>
            <w:tcW w:type="dxa" w:w="3293"/>
          </w:tcPr>
          <w:p>
            <w:r>
              <w:t>N2 incompleta na main</w:t>
            </w:r>
          </w:p>
        </w:tc>
        <w:tc>
          <w:tcPr>
            <w:tcW w:type="dxa" w:w="3293"/>
          </w:tcPr>
          <w:p>
            <w:r>
              <w:t>N3 sem base de empréstimos</w:t>
            </w:r>
          </w:p>
        </w:tc>
        <w:tc>
          <w:tcPr>
            <w:tcW w:type="dxa" w:w="3293"/>
          </w:tcPr>
          <w:p>
            <w:r>
              <w:t>Criar marco de integração e testes antes da N3</w:t>
            </w:r>
          </w:p>
        </w:tc>
      </w:tr>
      <w:tr>
        <w:tc>
          <w:tcPr>
            <w:tcW w:type="dxa" w:w="3293"/>
          </w:tcPr>
          <w:p>
            <w:r>
              <w:t>Histórico expõe dados de terceiros</w:t>
            </w:r>
          </w:p>
        </w:tc>
        <w:tc>
          <w:tcPr>
            <w:tcW w:type="dxa" w:w="3293"/>
          </w:tcPr>
          <w:p>
            <w:r>
              <w:t>Privacidade e autorização</w:t>
            </w:r>
          </w:p>
        </w:tc>
        <w:tc>
          <w:tcPr>
            <w:tcW w:type="dxa" w:w="3293"/>
          </w:tcPr>
          <w:p>
            <w:r>
              <w:t>Testes de acesso horizontal/vertical</w:t>
            </w:r>
          </w:p>
        </w:tc>
      </w:tr>
      <w:tr>
        <w:tc>
          <w:tcPr>
            <w:tcW w:type="dxa" w:w="3293"/>
          </w:tcPr>
          <w:p>
            <w:r>
              <w:t>Status inconsistente após divergência/perda</w:t>
            </w:r>
          </w:p>
        </w:tc>
        <w:tc>
          <w:tcPr>
            <w:tcW w:type="dxa" w:w="3293"/>
          </w:tcPr>
          <w:p>
            <w:r>
              <w:t>Disponibilidade incorreta</w:t>
            </w:r>
          </w:p>
        </w:tc>
        <w:tc>
          <w:tcPr>
            <w:tcW w:type="dxa" w:w="3293"/>
          </w:tcPr>
          <w:p>
            <w:r>
              <w:t>Transações e testes de transição</w:t>
            </w:r>
          </w:p>
        </w:tc>
      </w:tr>
      <w:tr>
        <w:tc>
          <w:tcPr>
            <w:tcW w:type="dxa" w:w="3293"/>
          </w:tcPr>
          <w:p>
            <w:r>
              <w:t>Regras de multa não definidas</w:t>
            </w:r>
          </w:p>
        </w:tc>
        <w:tc>
          <w:tcPr>
            <w:tcW w:type="dxa" w:w="3293"/>
          </w:tcPr>
          <w:p>
            <w:r>
              <w:t>Retrabalho</w:t>
            </w:r>
          </w:p>
        </w:tc>
        <w:tc>
          <w:tcPr>
            <w:tcW w:type="dxa" w:w="3293"/>
          </w:tcPr>
          <w:p>
            <w:r>
              <w:t>Aprovação formal antes da codificação</w:t>
            </w:r>
          </w:p>
        </w:tc>
      </w:tr>
      <w:tr>
        <w:tc>
          <w:tcPr>
            <w:tcW w:type="dxa" w:w="3293"/>
          </w:tcPr>
          <w:p>
            <w:r>
              <w:t>Concorrência na retirada</w:t>
            </w:r>
          </w:p>
        </w:tc>
        <w:tc>
          <w:tcPr>
            <w:tcW w:type="dxa" w:w="3293"/>
          </w:tcPr>
          <w:p>
            <w:r>
              <w:t>Empréstimos duplicados</w:t>
            </w:r>
          </w:p>
        </w:tc>
        <w:tc>
          <w:tcPr>
            <w:tcW w:type="dxa" w:w="3293"/>
          </w:tcPr>
          <w:p>
            <w:r>
              <w:t>Transação e restrição de exclusividade</w:t>
            </w:r>
          </w:p>
        </w:tc>
      </w:tr>
    </w:tbl>
    <w:p>
      <w:pPr>
        <w:pStyle w:val="Heading1"/>
      </w:pPr>
      <w:r>
        <w:t>7. Critérios de conclusão da N3</w:t>
      </w:r>
    </w:p>
    <w:p>
      <w:pPr>
        <w:pStyle w:val="ListBullet"/>
      </w:pPr>
      <w:r>
        <w:t>FR-6, FR-7, FR-15 e FR-19 implementados e demonstrados com testes positivos e negativos.</w:t>
      </w:r>
    </w:p>
    <w:p>
      <w:pPr>
        <w:pStyle w:val="ListBullet"/>
      </w:pPr>
      <w:r>
        <w:t>Permissões por papel e acesso a dados próprios/de terceiros verificados.</w:t>
      </w:r>
    </w:p>
    <w:p>
      <w:pPr>
        <w:pStyle w:val="ListBullet"/>
      </w:pPr>
      <w:r>
        <w:t>Checklists e ocorrências auditáveis e vinculados ao empréstimo.</w:t>
      </w:r>
    </w:p>
    <w:p>
      <w:pPr>
        <w:pStyle w:val="ListBullet"/>
      </w:pPr>
      <w:r>
        <w:t>Fluxos de devolução, divergência e perda sem estados contraditórios.</w:t>
      </w:r>
    </w:p>
    <w:p>
      <w:pPr>
        <w:pStyle w:val="ListBullet"/>
      </w:pPr>
      <w:r>
        <w:t>Matriz de rastreabilidade atualizada com evidências reais, responsáveis e resultados.</w:t>
      </w:r>
    </w:p>
    <w:p>
      <w:pPr>
        <w:pStyle w:val="ListBullet"/>
      </w:pPr>
      <w:r>
        <w:t>Decisões de negócio pendentes formalmente resolvidas ou explicitamente adiadas.</w:t>
      </w:r>
    </w:p>
    <w:p>
      <w:pPr>
        <w:pStyle w:val="Heading1"/>
      </w:pPr>
      <w:r>
        <w:t>8. Referências e ressalvas</w:t>
      </w:r>
    </w:p>
    <w:p>
      <w:r>
        <w:t>README: https://github.com/patrickgusmao10/horangotango/blob/main/README.md</w:t>
      </w:r>
    </w:p>
    <w:p>
      <w:r>
        <w:t>PRD: https://github.com/patrickgusmao10/horangotango/blob/main/backend/docs/prd.md</w:t>
      </w:r>
    </w:p>
    <w:p>
      <w:r>
        <w:t>Este plano registra especificações e recomendações, não a comprovação de implementação. O modelo de domínio é conceitual; nomes de classes/atributos devem ser conciliados com o código antes de tratá-lo como diagrama de implementação.</w:t>
      </w:r>
    </w:p>
    <w:sectPr w:rsidR="00FC693F" w:rsidRPr="0006063C" w:rsidSect="00034616"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3A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3A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43A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