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C025" w14:textId="571B9F0B" w:rsidR="00B408EE" w:rsidRPr="00B408EE" w:rsidRDefault="00B408EE" w:rsidP="00B408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Acordo de Manutenibilidade e Engenharia de Software</w:t>
      </w:r>
    </w:p>
    <w:p/>
    <w:p>
      <w:r>
        <w:t xml:space="preserve">Nome do Projeto: Monitoolring — Sistema de Empréstimo de Ferramentas para Makerspaces (manutenção e evolução do projeto do grupo horangotango, refeito no repositório iagokoch/horangotango)</w:t>
      </w:r>
    </w:p>
    <w:p>
      <w:r>
        <w:t xml:space="preserve">Nome da Equipe ou Grupo: checkflow</w:t>
      </w:r>
    </w:p>
    <w:p>
      <w:r>
        <w:t xml:space="preserve">Data da Elaboração: 29/10/2026</w:t>
      </w:r>
    </w:p>
    <w:p>
      <w:pPr>
        <w:pBdr>
          <w:bottom w:val="single" w:sz="6" w:space="1" w:color="auto"/>
        </w:pBdr>
      </w:pPr>
    </w:p>
    <w:p>
      <w:r>
        <w:t xml:space="preserve">1. Identificação da Equipe e Papéis</w:t>
      </w:r>
    </w:p>
    <w:p>
      <w:r>
        <w:t xml:space="preserve">Product Owner (PO): William Vodzinsky</w:t>
      </w:r>
    </w:p>
    <w:p>
      <w:r>
        <w:t xml:space="preserve">Engenheiro de Requisitos: Patrick Gusmão</w:t>
      </w:r>
    </w:p>
    <w:p>
      <w:r>
        <w:t xml:space="preserve">Quality Assurance (QA): Pedro Israel</w:t>
      </w:r>
    </w:p>
    <w:p>
      <w:r>
        <w:t xml:space="preserve">Desenvolvedor Frontend: João Francisco da Silva</w:t>
      </w:r>
    </w:p>
    <w:p>
      <w:r>
        <w:t xml:space="preserve">Desenvolvedor Backend: Iago Koch</w:t>
      </w:r>
    </w:p>
    <w:p>
      <w:r>
        <w:t xml:space="preserve">DevOps: Caio Rosa</w:t>
      </w:r>
    </w:p>
    <w:p>
      <w:pPr>
        <w:pBdr>
          <w:bottom w:val="single" w:sz="6" w:space="1" w:color="auto"/>
        </w:pBdr>
      </w:pPr>
    </w:p>
    <w:p>
      <w:r>
        <w:t xml:space="preserve">2. Processo e Gestão de Débito Técnico (Responsável: Product Owner)</w:t>
      </w:r>
    </w:p>
    <w:p>
      <w:r>
        <w:tab/>
        <w:t xml:space="preserve">2.1. Política de Registro de Débito Técnico</w:t>
      </w:r>
    </w:p>
    <w:p>
      <w:r>
        <w:t xml:space="preserve">Todo atalho técnico, pendência de refatoração, limitação conhecida ou funcionalidade adiada assumida durante o desenvolvimento deve ser registrada no GitHub do repositório iagokoch/horangotango como uma issue do tipo </w:t>
      </w:r>
      <w:r>
        <w:rPr>
          <w:b/>
          <w:bCs/>
        </w:rPr>
        <w:t xml:space="preserve">Débito Técnico</w:t>
      </w:r>
      <w:r>
        <w:t xml:space="preserve">, vinculada ao milestone da entrega em que será tratada (N2 — v2.0 ou N3). A issue deve descrever o problema, o impacto e o ponto de partida da correção, e o débito também deve constar em “Pendências para a N3” no README da raiz ou em “Limitações conhecidas” no README do frontend. Não são permitidas marcações soltas no código (TODO, FIXME, DEBT) sem issue correspondente. Exemplos de débitos já registrados: revogação do token no logout (#19), histórico de Membro e consulta dos próprios Empréstimos (#13 e #14) e divergência de checklist na devolução (#15).</w:t>
      </w:r>
    </w:p>
    <w:p/>
    <w:p>
      <w:r>
        <w:tab/>
        <w:t xml:space="preserve">2.2. Priorização e Pagamento da Dívida</w:t>
      </w:r>
    </w:p>
    <w:p>
      <w:pPr>
        <w:pBdr>
          <w:bottom w:val="single" w:sz="6" w:space="1" w:color="auto"/>
        </w:pBdr>
      </w:pPr>
      <w:r>
        <w:t xml:space="preserve">A equipe dedicará 20% do tempo/esforço de cada ciclo (N2, N3) para a liquidação de débitos técnicos registrados. O PO revisa o backlog de débitos no início de cada ciclo junto com a equipe. Débitos técnicos que afetem segurança (ex.: JWT válido após o logout), a integridade dos dados de empréstimo (bloqueio por inadimplência, concorrência na retirada e na devolução) ou o trabalho de outro membro do time (ex.: contrato da API que quebra o frontend) têm prioridade máxima de refatoração no ciclo seguinte.</w:t>
      </w:r>
    </w:p>
    <w:p>
      <w:pPr>
        <w:pBdr>
          <w:bottom w:val="single" w:sz="6" w:space="1" w:color="auto"/>
        </w:pBdr>
      </w:pPr>
    </w:p>
    <w:p/>
    <w:p>
      <w:r>
        <w:t xml:space="preserve">3. Critérios de Qualidade: DoR e DoD (Responsável: Engenheiro de Requisitos)</w:t>
      </w:r>
    </w:p>
    <w:p>
      <w:r>
        <w:tab/>
        <w:t xml:space="preserve">3.1. Definition of Ready — DoR (Pronto para Desenvolver)</w:t>
      </w:r>
    </w:p>
    <w:p>
      <w:r>
        <w:t xml:space="preserve">Uma tarefa só poderá entrar em desenvolvimento quando atender a todos os itens abaixo:</w:t>
      </w:r>
    </w:p>
    <w:p>
      <w:r>
        <w:tab/>
        <w:t xml:space="preserve">- A história de usuário está clara no formato: </w:t>
      </w:r>
      <w:r>
        <w:rPr>
          <w:i/>
          <w:iCs/>
        </w:rPr>
        <w:t xml:space="preserve">“Como [Membro/Staff], eu quero [funcionalidade] para que [benefício]”</w:t>
      </w:r>
      <w:r>
        <w:t xml:space="preserve"> e está vinculada a um requisito funcional do PRD (FR-1 a FR-19).</w:t>
      </w:r>
    </w:p>
    <w:p>
      <w:r>
        <w:tab/>
        <w:t xml:space="preserve">- Os critérios de aceitação foram descritos de forma objetiva na ERS e na Especificação de Casos de Uso, incluindo os resultados esperados da API (ex.: 201, 409, 422).</w:t>
      </w:r>
    </w:p>
    <w:p>
      <w:r>
        <w:tab/>
        <w:t xml:space="preserve">- As regras de negócio essenciais e exceções estão especificadas (ex.: bloqueio por inadimplência, checklist obrigatório, ferramenta indisponível, prazo de devolução não configurado).</w:t>
      </w:r>
    </w:p>
    <w:p>
      <w:r>
        <w:tab/>
        <w:t xml:space="preserve">- Dependências técnicas foram mapeadas: rota e contrato da API conforme api-convencoes-http.md e api-nomenclatura-recursos.md e alteração no esquema do banco (changeset Liquibase), quando houver.</w:t>
      </w:r>
    </w:p>
    <w:p>
      <w:r>
        <w:tab/>
        <w:t xml:space="preserve">- O requisito está registrado na Matriz de Rastreabilidade e possui issue no milestone da entrega.</w:t>
      </w:r>
    </w:p>
    <w:p>
      <w:r>
        <w:tab/>
        <w:t xml:space="preserve">- O modelo/layout de interface foi aprovado (se aplicável), seguindo o design system “Etiqueta &amp; Bancada”.</w:t>
      </w:r>
    </w:p>
    <w:p/>
    <w:p>
      <w:r>
        <w:tab/>
        <w:t xml:space="preserve">3.2. Definition of Done — DoD (Pronto para Entrega / Concluído)</w:t>
      </w:r>
    </w:p>
    <w:p>
      <w:r>
        <w:t xml:space="preserve">Uma tarefa só será considerada “Concluída” (Done) se atender rigorosamente a todos os itens:</w:t>
      </w:r>
    </w:p>
    <w:p>
      <w:r>
        <w:tab/>
        <w:t xml:space="preserve">- O código segue os padrões definidos pela equipe (seção 5) e os commits seguem o padrão da seção 6.2.</w:t>
      </w:r>
    </w:p>
    <w:p>
      <w:r>
        <w:tab/>
        <w:t xml:space="preserve">- O código passou por Code Review (Pull Request aprovado por pelo menos outro dev).</w:t>
      </w:r>
    </w:p>
    <w:p>
      <w:r>
        <w:tab/>
        <w:t xml:space="preserve">- Foi validado e testado de acordo com a estratégia do QA sem erros críticos, com `./mvnw test` (backend) e `npm run validate` (frontend) passando.</w:t>
      </w:r>
    </w:p>
    <w:p>
      <w:r>
        <w:tab/>
        <w:t xml:space="preserve">- Swagger, coleção Postman, tabela de status dos requisitos e README foram atualizados quando houve mudança de comportamento.</w:t>
      </w:r>
    </w:p>
    <w:p>
      <w:r>
        <w:tab/>
        <w:t xml:space="preserve">- O código foi mesclado na branch principal (`main`).</w:t>
      </w:r>
    </w:p>
    <w:p>
      <w:pPr>
        <w:pBdr>
          <w:bottom w:val="single" w:sz="6" w:space="1" w:color="auto"/>
        </w:pBdr>
      </w:pPr>
    </w:p>
    <w:p>
      <w:r>
        <w:t xml:space="preserve">4. Estratégia de Testabilidade (Responsável: Quality Assurance)</w:t>
      </w:r>
    </w:p>
    <w:p>
      <w:r>
        <w:tab/>
        <w:t xml:space="preserve">4.1. Cobertura e Níveis de Teste</w:t>
      </w:r>
    </w:p>
    <w:p>
      <w:r>
        <w:t xml:space="preserve">O foco primário dos testes automatizados será nas regras de negócio do backend (camada service): bloqueio por atraso, cálculo do prazo em UTC com Clock controlável, checklist obrigatório, concorrência na retirada e na devolução e permissões MEMBER/STAFF, com testes unitários em JUnit e testes de integração com Testcontainers sobre PostgreSQL real. No frontend, as regras puras (situação do empréstimo, comparação de checklists, ciclo de vida da ferramenta, sessão e redirecionamento seguro) são cobertas por Vitest. Antes de cada entrega oficial, o QA executará o roteiro ponta a ponta pela interface (`npm run test:e2e`, contra a API real e um banco de teste isolado) e a coleção Postman na ordem Health → Auth → Staff → Tools → Settings → Loans, cobrindo o fluxo principal e as regras de negócio críticas.</w:t>
      </w:r>
    </w:p>
    <w:p>
      <w:r>
        <w:tab/>
        <w:t xml:space="preserve">4.2. Registro e Resolução de Erros (Bugs)</w:t>
      </w:r>
    </w:p>
    <w:p>
      <w:r>
        <w:t xml:space="preserve">Todo bug identificado durante os testes deve ser registrado como issue no GitHub com: passos para reproduzir, resultado esperado, resultado obtido, ambiente (backend ou frontend, navegador ou requisição) e severidade. A correção é feita em uma branch `fix/...` e deve incluir um teste que reproduza o erro, evitando regressões. Bugs de alta severidade (falhas de segurança, perda ou inconsistência de dados de empréstimo, quebra do bloqueio por inadimplência) bloqueiam o encerramento das tarefas e a publicação da entrega.</w:t>
      </w:r>
    </w:p>
    <w:p/>
    <w:p>
      <w:pPr>
        <w:pBdr>
          <w:bottom w:val="single" w:sz="6" w:space="1" w:color="auto"/>
        </w:pBdr>
      </w:pPr>
    </w:p>
    <w:p>
      <w:r>
        <w:t xml:space="preserve">5. Guia de Estilo e Padrões de Código (Responsáveis: Desenvolvedor Frontend e Desenvolvedor Backend)</w:t>
      </w:r>
    </w:p>
    <w:p>
      <w:r>
        <w:tab/>
        <w:t xml:space="preserve">5.1. Convenções de Código (Style Guide)</w:t>
      </w:r>
    </w:p>
    <w:p>
      <w:r>
        <w:t xml:space="preserve">- Linguagem:</w:t>
      </w:r>
      <w:r>
        <w:rPr>
          <w:b/>
          <w:bCs/>
        </w:rPr>
        <w:t xml:space="preserve"> </w:t>
      </w:r>
      <w:r>
        <w:t xml:space="preserve">Backend em Java 21 com Spring Boot 3.3 (Spring Security, JPA/Hibernate, Liquibase, MapStruct) e PostgreSQL 16; Frontend em TypeScript com Next.js 14 (App Router), React 18, Tailwind CSS, shadcn/ui e Zod.</w:t>
      </w:r>
    </w:p>
    <w:p>
      <w:r>
        <w:t xml:space="preserve">- Nomenclatura de Variáveis/Funções</w:t>
      </w:r>
      <w:r>
        <w:rPr>
          <w:b/>
          <w:bCs/>
        </w:rPr>
        <w:t xml:space="preserve">: </w:t>
      </w:r>
      <w:r>
        <w:t xml:space="preserve">camelCase para variáveis, métodos e funções (`prazoDevolucao`, `montarEdicao`); PascalCase para classes, records, tipos e componentes React (`LoanService`, `ToolResponse`, `BlockedPanel`); UPPER_SNAKE_CASE para constantes e valores de enum (`AVAILABLE`, `ON_LOAN`).</w:t>
      </w:r>
    </w:p>
    <w:p>
      <w:r>
        <w:t xml:space="preserve">- Nomenclatura de Arquivos: kebab-case para arquivos e pastas do frontend (`tool-form.tsx`, `session-codec.ts`), organizados por funcionalidade em `features/&lt;domínio&gt;`; no backend, o arquivo tem o nome da classe (`LoanService.java`), testes unitários terminam em `Test` e testes de integração em `IT`.</w:t>
      </w:r>
    </w:p>
    <w:p>
      <w:r>
        <w:t xml:space="preserve">- Idioma do Código: Classes, pacotes e valores de enum do backend em inglês; campos de negócio e JSON da API em português (`codigo`, `membroId`, `prazoDevolucao`). No frontend, pastas de domínio, funções de regra e textos da interface em português (`ferramentas`, `emprestimos`, `exigirUsuario`). Documentação, mensagens de commit e comentários em português.</w:t>
      </w:r>
    </w:p>
    <w:p/>
    <w:p>
      <w:r>
        <w:tab/>
        <w:t xml:space="preserve">5.2. Boas Práticas de Manutenibilidade</w:t>
      </w:r>
    </w:p>
    <w:p>
      <w:r>
        <w:tab/>
        <w:t xml:space="preserve">Práticas acordadas:</w:t>
      </w:r>
    </w:p>
    <w:p>
      <w:r>
        <w:tab/>
        <w:tab/>
        <w:t xml:space="preserve">- Evitar duplicação de código: chamadas à API centralizadas em `lib/api/client.ts` e `features/*/api.ts`, rotas em `lib/rotas.ts`, componentes reutilizáveis em `components/ui` e `components/shared` e conversão entidade ↔ DTO feita somente pelo MapStruct.</w:t>
      </w:r>
    </w:p>
    <w:p>
      <w:r>
        <w:tab/>
        <w:tab/>
        <w:t xml:space="preserve">- As funções/métodos devem possuir responsabilidade única e não ultrapassar 30 linhas sem justificativa técnica, respeitando as camadas do backend: controller (HTTP), service (regras e transações) e repository (dados).</w:t>
      </w:r>
    </w:p>
    <w:p>
      <w:r>
        <w:tab/>
        <w:tab/>
        <w:t xml:space="preserve">- Exceções devem ser capturadas e tratadas/registradas adequadamente pelo `GlobalExceptionHandler`, sempre no formato `ErrorResponse` e sem expor detalhes internos ao cliente. No frontend, erros são devolvidos como dado (`ActionResult&lt;T&gt;`). É proibido utilizar blocos `catch` vazios.</w:t>
      </w:r>
    </w:p>
    <w:p>
      <w:r>
        <w:tab/>
        <w:tab/>
        <w:t xml:space="preserve">- Mudanças no esquema do banco entram sempre em um novo changeset Liquibase no fim do arquivo, com rollback; changesets já aplicados não são editados.</w:t>
      </w:r>
    </w:p>
    <w:p>
      <w:r>
        <w:tab/>
        <w:tab/>
        <w:t xml:space="preserve">- Toda resposta da API é validada por schema Zod no frontend, e o backend obtém a hora por um `Clock` injetável em UTC, mantendo as regras de prazo e atraso testáveis.</w:t>
      </w:r>
    </w:p>
    <w:p>
      <w:pPr>
        <w:pBdr>
          <w:bottom w:val="single" w:sz="6" w:space="1" w:color="auto"/>
        </w:pBdr>
      </w:pPr>
    </w:p>
    <w:p/>
    <w:p>
      <w:r>
        <w:t xml:space="preserve">6. Fluxo de Versionamento e Pipeline de CI/CD (Responsável: DevOps)</w:t>
      </w:r>
    </w:p>
    <w:p>
      <w:r>
        <w:tab/>
        <w:t xml:space="preserve">6.1. Estratégia de Branches (Versionamento)</w:t>
      </w:r>
    </w:p>
    <w:p>
      <w:r>
        <w:t xml:space="preserve">Estratégia adotada:</w:t>
      </w:r>
    </w:p>
    <w:p>
      <w:r>
        <w:tab/>
        <w:t xml:space="preserve">- main: Código estável e pronto para entrega; é a única branch permanente do repositório e não recebe commits diretos, somente Pull Requests revisados.</w:t>
      </w:r>
    </w:p>
    <w:p>
      <w:r>
        <w:tab/>
        <w:t xml:space="preserve">- Branches de trabalho: curtas, criadas a partir da `main` e apagadas após o merge, seguindo o padrão `feat/nome-da-funcionalidade`, `fix/descricao-do-bug`, `docs/assunto` ou `refactor/assunto` (ex.: `feat/reconstrucao-frontend`, `fix/n2-senhas-bcrypt`).</w:t>
      </w:r>
    </w:p>
    <w:p>
      <w:r>
        <w:tab/>
        <w:t xml:space="preserve">- Entregas: cada entrega (N2, N3) é acompanhada por um milestone no GitHub e, ao ser concluída, publicada como release versionada (ex.: v2.0).</w:t>
      </w:r>
    </w:p>
    <w:p/>
    <w:p>
      <w:r>
        <w:tab/>
        <w:t xml:space="preserve">6.2. Padronização de Commits</w:t>
      </w:r>
    </w:p>
    <w:p>
      <w:r>
        <w:t xml:space="preserve">Os commits devem seguir a especificação do </w:t>
      </w:r>
      <w:r>
        <w:rPr>
          <w:i/>
          <w:iCs/>
        </w:rPr>
        <w:t xml:space="preserve">Conventional Commits</w:t>
      </w:r>
      <w:r>
        <w:t xml:space="preserve">, escritos em português, no formato `tipo(escopo opcional): descrição` (ex.: `feat(frontend): finaliza redesign`):</w:t>
      </w:r>
    </w:p>
    <w:p>
      <w:r>
        <w:tab/>
        <w:t xml:space="preserve">- feat para nova funcionalidade.</w:t>
      </w:r>
    </w:p>
    <w:p>
      <w:r>
        <w:tab/>
        <w:t xml:space="preserve">- fix para correção de bug.</w:t>
      </w:r>
    </w:p>
    <w:p>
      <w:r>
        <w:tab/>
        <w:t xml:space="preserve">- refactor para alteração de código que não altera o comportamento externo (Manutenção Preventiva).</w:t>
      </w:r>
    </w:p>
    <w:p>
      <w:r>
        <w:tab/>
        <w:t xml:space="preserve">- docs para alterações na documentação.</w:t>
      </w:r>
    </w:p>
    <w:p>
      <w:r>
        <w:tab/>
        <w:t xml:space="preserve">- test para criação ou ajuste de testes.</w:t>
      </w:r>
    </w:p>
    <w:p>
      <w:r>
        <w:tab/>
        <w:t xml:space="preserve">- build para dependências, migrations e configuração de build.</w:t>
      </w:r>
    </w:p>
    <w:p/>
    <w:p>
      <w:r>
        <w:tab/>
        <w:t xml:space="preserve">6.3. Verificação Automática e Linters</w:t>
      </w:r>
    </w:p>
    <w:p>
      <w:pPr>
        <w:ind w:left="708"/>
      </w:pPr>
      <w:r>
        <w:t xml:space="preserve">- Ferramentas Configuradas: ESLint (`next/core-web-vitals`) e verificação de tipos do TypeScript (`tsc --noEmit`) no frontend, executados junto com Vitest e build por `npm run validate`; no backend, compilação e testes JUnit/Testcontainers com o Maven Wrapper (`./mvnw test`). Docker Compose padroniza o PostgreSQL de desenvolvimento, e o Dockerfile do frontend gera a imagem de produção.</w:t>
      </w:r>
    </w:p>
    <w:p>
      <w:pPr>
        <w:ind w:left="708"/>
      </w:pPr>
      <w:r>
        <w:t xml:space="preserve">- Pipeline de CI: o DevOps configurará o GitHub Actions para executar `./mvnw test` e `npm run validate` automaticamente em todo Pull Request para a `main`.</w:t>
      </w:r>
    </w:p>
    <w:p>
      <w:pPr>
        <w:ind w:left="708"/>
      </w:pPr>
      <w:r>
        <w:t xml:space="preserve">- Regra de Integração: Nenhum Pull Request será aprovado se o linter, a verificação de tipos, os testes ou o build acusarem erros. Enquanto o pipeline não estiver ativo, o autor do PR informa na descrição o resultado da execução local desses comandos.</w:t>
      </w:r>
    </w:p>
    <w:p>
      <w:pPr>
        <w:pBdr>
          <w:bottom w:val="single" w:sz="6" w:space="1" w:color="auto"/>
        </w:pBdr>
      </w:pPr>
    </w:p>
    <w:p/>
    <w:p>
      <w:r>
        <w:t xml:space="preserve">7. Compromisso da Equipe</w:t>
      </w:r>
    </w:p>
    <w:p>
      <w:r>
        <w:t xml:space="preserve">Todos os membros da equipe leram, concordam e se comprometem a seguir as diretrizes estabelecidas neste documento para garantir a qualidade, manutenibilidade e entrega sustentável do software.</w:t>
      </w:r>
    </w:p>
    <w:p>
      <w:r>
        <w:t xml:space="preserve">( X ) Product Owner (PO) — William Vodzinsky</w:t>
      </w:r>
    </w:p>
    <w:p>
      <w:r>
        <w:t xml:space="preserve">( X )  Engenheiro de Requisitos — Patrick Gusmão</w:t>
      </w:r>
    </w:p>
    <w:p>
      <w:r>
        <w:t xml:space="preserve">( X )  Quality Assurance (QA) — Pedro Israel</w:t>
      </w:r>
    </w:p>
    <w:p>
      <w:r>
        <w:t xml:space="preserve">( X )  Desenvolvedor Frontend — João Francisco da Silva</w:t>
      </w:r>
    </w:p>
    <w:p>
      <w:r>
        <w:t xml:space="preserve">( X )  Desenvolvedor Backend — Iago Koch</w:t>
      </w:r>
    </w:p>
    <w:p>
      <w:r>
        <w:t xml:space="preserve">( X )  DevOps — Caio Rosa</w:t>
      </w:r>
    </w:p>
    <w:sectPr w:rsidR="00B40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EE"/>
    <w:rsid w:val="0002206E"/>
    <w:rsid w:val="00120854"/>
    <w:rsid w:val="00B408EE"/>
    <w:rsid w:val="00BA5FDF"/>
    <w:rsid w:val="00FE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2589"/>
  <w15:chartTrackingRefBased/>
  <w15:docId w15:val="{458E3E5F-F8D0-4DFF-BFFA-71DACAC5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0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08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0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08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0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0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0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0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0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0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76DA3186409E408613CFD158C67BA7" ma:contentTypeVersion="4" ma:contentTypeDescription="Crie um novo documento." ma:contentTypeScope="" ma:versionID="642dbcf6e54a6d5b0ed4c87e4ef2770d">
  <xsd:schema xmlns:xsd="http://www.w3.org/2001/XMLSchema" xmlns:xs="http://www.w3.org/2001/XMLSchema" xmlns:p="http://schemas.microsoft.com/office/2006/metadata/properties" xmlns:ns2="3026a051-f094-466f-a6ca-e1fd65ba89bb" targetNamespace="http://schemas.microsoft.com/office/2006/metadata/properties" ma:root="true" ma:fieldsID="7ccdd231d740b2fc2bcc6fc987582a17" ns2:_="">
    <xsd:import namespace="3026a051-f094-466f-a6ca-e1fd65ba89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6a051-f094-466f-a6ca-e1fd65ba89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26a051-f094-466f-a6ca-e1fd65ba89bb" xsi:nil="true"/>
  </documentManagement>
</p:properties>
</file>

<file path=customXml/itemProps1.xml><?xml version="1.0" encoding="utf-8"?>
<ds:datastoreItem xmlns:ds="http://schemas.openxmlformats.org/officeDocument/2006/customXml" ds:itemID="{9742CF75-903B-47A1-8EC6-042C022DB3A5}"/>
</file>

<file path=customXml/itemProps2.xml><?xml version="1.0" encoding="utf-8"?>
<ds:datastoreItem xmlns:ds="http://schemas.openxmlformats.org/officeDocument/2006/customXml" ds:itemID="{5F4057B8-6AD3-4FB3-95D9-4603665A0334}"/>
</file>

<file path=customXml/itemProps3.xml><?xml version="1.0" encoding="utf-8"?>
<ds:datastoreItem xmlns:ds="http://schemas.openxmlformats.org/officeDocument/2006/customXml" ds:itemID="{9D82A082-9F85-4D3A-98B9-757232C11D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EDICARSIA BARBIERO PILLON</dc:creator>
  <cp:keywords/>
  <dc:description/>
  <cp:lastModifiedBy>EDICARSIA BARBIERO PILLON</cp:lastModifiedBy>
  <cp:revision>2</cp:revision>
  <dcterms:created xsi:type="dcterms:W3CDTF">2026-08-06T18:37:00Z</dcterms:created>
  <dcterms:modified xsi:type="dcterms:W3CDTF">2026-08-06T18:37:00Z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0x010100E176DA3186409E408613CFD158C67BA7</vt:lpwstr>
  </property>
</Properties>
</file>