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CCF6E" w14:textId="65281539" w:rsidR="002F548C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UNIVERSIDADE FEDERAL DA PARAÍBA</w:t>
      </w:r>
    </w:p>
    <w:p w14:paraId="4E53D68C" w14:textId="5DDA188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CENTRO DE CIÊNCIAS SOCIAIS APLICADAS</w:t>
      </w:r>
    </w:p>
    <w:p w14:paraId="7F27BD58" w14:textId="3A6F21E4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CIÊNCIA DE DADOS PARA NEGÓCIOS</w:t>
      </w:r>
    </w:p>
    <w:p w14:paraId="02E0BE3E" w14:textId="3B173412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APRENDIZAGEM DE MÁQUINA NÃO SUPERVISIONADA</w:t>
      </w:r>
    </w:p>
    <w:p w14:paraId="12FC75B4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DA96BF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CD1789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D185A4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4AA160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A0E4D2" w14:textId="4C25D78F" w:rsidR="00E2064A" w:rsidRPr="00E2064A" w:rsidRDefault="00E2064A" w:rsidP="00E2064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2064A">
        <w:rPr>
          <w:rFonts w:ascii="Times New Roman" w:hAnsi="Times New Roman" w:cs="Times New Roman"/>
          <w:b/>
          <w:bCs/>
          <w:sz w:val="48"/>
          <w:szCs w:val="48"/>
        </w:rPr>
        <w:t>PROVA II</w:t>
      </w:r>
      <w:r w:rsidR="008C75FE">
        <w:rPr>
          <w:rFonts w:ascii="Times New Roman" w:hAnsi="Times New Roman" w:cs="Times New Roman"/>
          <w:b/>
          <w:bCs/>
          <w:sz w:val="48"/>
          <w:szCs w:val="48"/>
        </w:rPr>
        <w:t>I</w:t>
      </w:r>
      <w:r w:rsidRPr="00E2064A"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7BB120A9" w14:textId="7A3130B0" w:rsidR="00E2064A" w:rsidRDefault="008C75FE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 w:rsidRPr="008C75FE">
        <w:rPr>
          <w:rFonts w:ascii="Times New Roman" w:hAnsi="Times New Roman" w:cs="Times New Roman"/>
          <w:b/>
          <w:bCs/>
          <w:sz w:val="48"/>
          <w:szCs w:val="48"/>
        </w:rPr>
        <w:t>MÉTODOS DE AGRUPAMENTO E DETECÇÃO DE ANOMALIAS</w:t>
      </w:r>
    </w:p>
    <w:p w14:paraId="67E96ACC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7F45BE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4E8386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37AE79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08964C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8104F1" w14:textId="129FB3FC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CAUÃ WENDEL SOUSA DA SILVA</w:t>
      </w:r>
    </w:p>
    <w:p w14:paraId="0D7ABF26" w14:textId="25952B25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HERTZ RAFAEL QUEIROZ DA CRUZ</w:t>
      </w:r>
    </w:p>
    <w:p w14:paraId="60DEEFA4" w14:textId="147E1812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IAGO FLÁVIO SILVA DE ALBUQUERQUE</w:t>
      </w:r>
    </w:p>
    <w:p w14:paraId="659F50F7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6FA676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B129ED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59CC1E" w14:textId="77777777" w:rsidR="00E2064A" w:rsidRDefault="00E2064A" w:rsidP="00E206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5EF97A" w14:textId="1833F364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1ª Questão:</w:t>
      </w:r>
    </w:p>
    <w:p w14:paraId="5C434AB9" w14:textId="77777777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a) Inicialmente, os cinco indicadores foram padronizados, pois a remuneração média possui uma escala muito diferente das proporções e taxas. Sem essa padronização, ela teria influência excessiva no cálculo das distâncias. </w:t>
      </w:r>
    </w:p>
    <w:p w14:paraId="12AB3E38" w14:textId="1F189D90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Foram comparados os métodos Ward, Complete e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Average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, que apresentaram coeficientes de correlação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cofenética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de 0,532, 0,814 e 0,929, respectivamente. Como o método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Average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obteve o valor mais próximo de 1, concluímos que ele preservou melhor as distâncias originais e, por isso, foi escolhido para as etapas seguintes.</w:t>
      </w:r>
    </w:p>
    <w:p w14:paraId="2512B642" w14:textId="7D0993E3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b) A partir do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dendrograma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do método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Average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, foi realizado um corte na distância 6, antes das fusões de maior distância, resultando em quatro grupos. A silhueta apresentou seu maior valor para (k=2), com 0,815, enquanto (k=3) obteve 0,713 e (k=4), 0,669. </w:t>
      </w:r>
    </w:p>
    <w:p w14:paraId="35F22C8E" w14:textId="77777777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Apesar de (k=2) apresentar a melhor separação matemática, essa solução resume excessivamente os dados e é muito influenciada pelos municípios atípicos. Assim, optou-se por (k=4), que ainda possui uma silhueta razoável e permite identificar perfis mais específicos do mercado de trabalho. </w:t>
      </w:r>
    </w:p>
    <w:p w14:paraId="5A249A6B" w14:textId="4A478CD2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Os grupos foram adicionados ao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DataFrame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na coluna grupo, resultando em grupos com 2, 4, 216 e 1 município.</w:t>
      </w:r>
    </w:p>
    <w:p w14:paraId="3AFF6FCB" w14:textId="77777777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c) O grupo 1 contém dois municípios e apresenta remuneração média de aproximadamente R$ 4.899,08, ausência de vínculos com remuneração muito baixa, ausência de participação feminina, 100% dos vínculos ocupados por pessoas com ensino superior e nenhuma lesão ocupacional. </w:t>
      </w:r>
    </w:p>
    <w:p w14:paraId="10D6159C" w14:textId="1BBAA546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Dessa forma, ele pode ser interpretado como um grupo de alta remuneração e alta escolaridade. Seus municípios representativos são Curral Velho (2505303) e Pedra Branca (2511004). Não é possível indicar um terceiro representante porque o grupo possui somente dois municípios.</w:t>
      </w:r>
    </w:p>
    <w:p w14:paraId="7902FED2" w14:textId="77777777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O grupo 2 contém </w:t>
      </w:r>
      <w:bookmarkStart w:id="0" w:name="_GoBack"/>
      <w:bookmarkEnd w:id="0"/>
      <w:r w:rsidRPr="00F4656D">
        <w:rPr>
          <w:rFonts w:ascii="Times New Roman" w:hAnsi="Times New Roman" w:cs="Times New Roman"/>
          <w:bCs/>
          <w:sz w:val="24"/>
          <w:szCs w:val="24"/>
        </w:rPr>
        <w:t>quatro municípios e apresenta remuneração média de aproximadamente R$ 1.728,30, 33,17% de vínculos com remuneração muito baixa, 62,27% de participação feminina, 31,01% de vínculos ocupados por pessoas com ensino superior e nenhuma lesão ocupacional.</w:t>
      </w:r>
    </w:p>
    <w:p w14:paraId="3E24F2F3" w14:textId="5A463486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Esse grupo pode ser caracterizado como de baixa remuneração, elevada participação feminina e maior precariedade salarial. Seus três municípios mais representativos são Borborema (2502706),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Pilõezinhos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(2511707) e Emas (2505907).</w:t>
      </w:r>
    </w:p>
    <w:p w14:paraId="41424390" w14:textId="77777777" w:rsid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O grupo 3 reúne 216 municípios, representando a maior parte da base. Ele possui remuneração média de aproximadamente R$ 2.037,38, 3,02% de vínculos com remuneração muito baixa, 29,30% de participação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4656D">
        <w:rPr>
          <w:rFonts w:ascii="Times New Roman" w:hAnsi="Times New Roman" w:cs="Times New Roman"/>
          <w:bCs/>
          <w:sz w:val="24"/>
          <w:szCs w:val="24"/>
        </w:rPr>
        <w:t xml:space="preserve">feminina, 8,99% de vínculos com ensino superior e taxa média de lesões ocupacionais de 0,0024. </w:t>
      </w:r>
    </w:p>
    <w:p w14:paraId="089378B0" w14:textId="3632D430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Por apresentar valores mais próximos do comportamento geral da base, ele pode ser interpretado como o grupo de mercado de trabalho intermediário e predominante. Seus municípios mais representativos são Itaporanga (2507002), Sapé (2515302) e Sousa (2516201).</w:t>
      </w:r>
    </w:p>
    <w:p w14:paraId="1C89AF76" w14:textId="77777777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</w:p>
    <w:p w14:paraId="48DE542A" w14:textId="3F34B994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O grupo 4 é formado apenas por Olho d’Água (2510402). Ele apresenta remuneração média de aproximadamente R$ 1.714,03, ausência de vínculos com remuneração muito baixa, participação feminina de 42,86%, percentual de ensino superior de 14,29% e taxa de lesões ocupacionais de 0,1429. O grupo pode ser interpretado como um perfil de baixa remuneração e incidência atípica de lesões ocupacionais. Como possui somente um município, não é possível apresentar três representantes.</w:t>
      </w:r>
    </w:p>
    <w:p w14:paraId="1AB37B2C" w14:textId="60A90327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d) A comparação com o K-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Means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>, utilizando os mesmos quatro grupos, mostrou elevada concordância entre os métodos. Depois de compatibilizar a numeração dos clusters, 218 dos 223 municípios receberam classificações correspondentes, representando aproximadamente 97,76% da base. Os quatro municípios do grupo 2 e o município isolado do grupo 4 foram reproduzidos pelo K-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Means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>. Os dois municípios do grupo 1 permaneceram juntos, mas o K-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Means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acrescentou a esse cluster cinco municípios classificados no grupo 3 pela solução hierárquica. Portanto, os métodos identificaram uma estrutura geral muito semelhante, divergindo somente na classificação de cinco municípios.</w:t>
      </w:r>
    </w:p>
    <w:p w14:paraId="5DECC2D8" w14:textId="3D512C5C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clusterização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hierárquica possui como vantagens a visualização das relações de similaridade por meio do 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dendrograma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, a possibilidade de testar diferentes pontos de corte sem executar novamente o algoritmo e a facilidade para identificar municípios atípicos. Como desvantagens, ela apresenta maior custo computacional, é sensível ao método de ligação e aos outliers e pode produzir grupos muito desbalanceados. </w:t>
      </w:r>
      <w:proofErr w:type="gramStart"/>
      <w:r w:rsidRPr="00F4656D">
        <w:rPr>
          <w:rFonts w:ascii="Times New Roman" w:hAnsi="Times New Roman" w:cs="Times New Roman"/>
          <w:bCs/>
          <w:sz w:val="24"/>
          <w:szCs w:val="24"/>
        </w:rPr>
        <w:t>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4656D">
        <w:rPr>
          <w:rFonts w:ascii="Times New Roman" w:hAnsi="Times New Roman" w:cs="Times New Roman"/>
          <w:bCs/>
          <w:sz w:val="24"/>
          <w:szCs w:val="24"/>
        </w:rPr>
        <w:t xml:space="preserve"> K</w:t>
      </w:r>
      <w:proofErr w:type="gramEnd"/>
      <w:r w:rsidRPr="00F4656D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F4656D">
        <w:rPr>
          <w:rFonts w:ascii="Times New Roman" w:hAnsi="Times New Roman" w:cs="Times New Roman"/>
          <w:bCs/>
          <w:sz w:val="24"/>
          <w:szCs w:val="24"/>
        </w:rPr>
        <w:t>Means</w:t>
      </w:r>
      <w:proofErr w:type="spellEnd"/>
      <w:r w:rsidRPr="00F4656D">
        <w:rPr>
          <w:rFonts w:ascii="Times New Roman" w:hAnsi="Times New Roman" w:cs="Times New Roman"/>
          <w:bCs/>
          <w:sz w:val="24"/>
          <w:szCs w:val="24"/>
        </w:rPr>
        <w:t xml:space="preserve"> é mais simples e eficiente para bases maiores, mas exige a definição prévia do número de grupos, depende da inicialização dos centroides e funciona melhor quando os clusters possuem formatos compactos.</w:t>
      </w:r>
    </w:p>
    <w:p w14:paraId="1C0D0DF6" w14:textId="726356A5" w:rsidR="00F4656D" w:rsidRPr="00F4656D" w:rsidRDefault="00F4656D" w:rsidP="00F4656D">
      <w:pPr>
        <w:rPr>
          <w:rFonts w:ascii="Times New Roman" w:hAnsi="Times New Roman" w:cs="Times New Roman"/>
          <w:bCs/>
          <w:sz w:val="24"/>
          <w:szCs w:val="24"/>
        </w:rPr>
      </w:pPr>
      <w:r w:rsidRPr="00F4656D">
        <w:rPr>
          <w:rFonts w:ascii="Times New Roman" w:hAnsi="Times New Roman" w:cs="Times New Roman"/>
          <w:bCs/>
          <w:sz w:val="24"/>
          <w:szCs w:val="24"/>
        </w:rPr>
        <w:t>Os resultados podem orientar políticas específicas para cada perfil. O grupo 1 pode receber ações de retenção de profissionais qualificados e estímulo a atividades de maior valor agregado. O grupo 2 demanda políticas de valorização salarial, qualificação profissional, formalização e redução das desigualdades enfrentadas pelas mulheres. Para o grupo 3, podem ser adotadas políticas mais amplas de aumento da escolaridade, produtividade e remuneração. Por fim, o município do grupo 4 deve ser investigado individualmente, principalmente em relação à fiscalização e à prevenção de acidentes de trabalho.</w:t>
      </w:r>
    </w:p>
    <w:p w14:paraId="679A44AD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38B27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E17E3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7FAE3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2EE40B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97306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0AF1D" w14:textId="59D207B5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2ª Questão:</w:t>
      </w:r>
    </w:p>
    <w:p w14:paraId="35838EF6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F8F52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8274C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790FE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B62A9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3D7066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95EB9" w14:textId="77777777" w:rsidR="00E2064A" w:rsidRDefault="00E2064A" w:rsidP="00E206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3ª Questão: </w:t>
      </w:r>
    </w:p>
    <w:p w14:paraId="5057D0D7" w14:textId="77777777" w:rsidR="00670BFF" w:rsidRPr="00670BFF" w:rsidRDefault="00670BFF" w:rsidP="00E2064A">
      <w:pPr>
        <w:rPr>
          <w:rFonts w:ascii="Times New Roman" w:hAnsi="Times New Roman" w:cs="Times New Roman"/>
          <w:sz w:val="24"/>
          <w:szCs w:val="24"/>
        </w:rPr>
      </w:pPr>
    </w:p>
    <w:sectPr w:rsidR="00670BFF" w:rsidRPr="00670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4A"/>
    <w:rsid w:val="000B24C0"/>
    <w:rsid w:val="002F548C"/>
    <w:rsid w:val="00670BFF"/>
    <w:rsid w:val="008B68CB"/>
    <w:rsid w:val="008C75FE"/>
    <w:rsid w:val="00A93E13"/>
    <w:rsid w:val="00E2064A"/>
    <w:rsid w:val="00F4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9F09"/>
  <w15:chartTrackingRefBased/>
  <w15:docId w15:val="{3FB25CE9-BF88-4B7C-B2E6-31E2FCF0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6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6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6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6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6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6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6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861</Words>
  <Characters>4654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Hertz Rafael</dc:creator>
  <cp:keywords/>
  <dc:description/>
  <cp:lastModifiedBy>Usuário</cp:lastModifiedBy>
  <cp:revision>3</cp:revision>
  <dcterms:created xsi:type="dcterms:W3CDTF">2026-07-21T00:17:00Z</dcterms:created>
  <dcterms:modified xsi:type="dcterms:W3CDTF">2026-07-30T03:24:00Z</dcterms:modified>
</cp:coreProperties>
</file>