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Research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Iago</w:t>
      </w:r>
      <w:r>
        <w:t xml:space="preserve"> </w:t>
      </w:r>
      <w:r>
        <w:t xml:space="preserve">Pinal-Fernandez</w:t>
      </w:r>
    </w:p>
    <w:p>
      <w:pPr>
        <w:pStyle w:val="Date"/>
      </w:pPr>
      <w:r>
        <w:t xml:space="preserve">2024-10-28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discusses various experiments and their results. We will refer to several figures and tables throughout the text.</w:t>
      </w:r>
    </w:p>
    <w:p>
      <w:pPr>
        <w:pStyle w:val="BodyText"/>
      </w:pPr>
      <w:r>
        <w:t xml:space="preserve">In Experiment 1, we can see the results in Figures 1-4 and Figure 2. Also, here we illustrate an important finding (Figures 1, 3-4, Table 1, Supplementary Figure 1, Supplementary Tables 1-2).</w:t>
      </w:r>
    </w:p>
    <w:p>
      <w:pPr>
        <w:pStyle w:val="BodyText"/>
      </w:pPr>
      <w:r>
        <w:t xml:space="preserve">The analysis is summarized in Table 2 and detailed further in Table 3.</w:t>
      </w:r>
    </w:p>
    <w:p>
      <w:pPr>
        <w:pStyle w:val="BodyText"/>
      </w:pPr>
      <w:r>
        <w:t xml:space="preserve">Supplementary details can be found in Supplementary Figure 2 and Supplementary Table 3.</w:t>
      </w:r>
    </w:p>
    <w:p>
      <w:pPr>
        <w:pStyle w:val="BodyText"/>
      </w:pPr>
      <w:r>
        <w:t xml:space="preserve">In addition to the figures and tables, further reading can be found in references</w:t>
      </w:r>
      <w:r>
        <w:t xml:space="preserve"> </w:t>
      </w:r>
      <w:r>
        <w:t xml:space="preserve">Pinal-Fernandez et al. (2024)</w:t>
      </w:r>
      <w:r>
        <w:t xml:space="preserve">, and</w:t>
      </w:r>
      <w:r>
        <w:t xml:space="preserve"> </w:t>
      </w:r>
      <w:r>
        <w:t xml:space="preserve">Selva-O’Callaghan et al. (2018)</w:t>
      </w:r>
      <w:r>
        <w:t xml:space="preserve">. These references discuss the theoretical background and related work in this field.</w:t>
      </w:r>
    </w:p>
    <w:bookmarkEnd w:id="20"/>
    <w:bookmarkStart w:id="21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results show a significant improvement when comparing different methods. Figure 1 and Figure 2 highlight the trends observed.</w:t>
      </w:r>
    </w:p>
    <w:p>
      <w:pPr>
        <w:pStyle w:val="BodyText"/>
      </w:pPr>
      <w:r>
        <w:t xml:space="preserve">Moreover, Table 2 and Table 3 provide comprehensive data supporting these findings.</w:t>
      </w:r>
    </w:p>
    <w:p>
      <w:pPr>
        <w:pStyle w:val="BodyText"/>
      </w:pPr>
      <w:r>
        <w:t xml:space="preserve">See Table 2.</w:t>
      </w:r>
    </w:p>
    <w:bookmarkEnd w:id="21"/>
    <w:bookmarkStart w:id="2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figure-tables-formatter filter automatically manages the figures, tables, and supplementary materials. Placeholders are used to insert these elements in the correct order and location:</w:t>
      </w:r>
    </w:p>
    <w:p>
      <w:pPr>
        <w:pStyle w:val="BodyText"/>
      </w:pPr>
      <w:r>
        <w:t xml:space="preserve">The filter ensures clear and concise management of references and visual elements.</w:t>
      </w:r>
    </w:p>
    <w:p>
      <w:r>
        <w:br w:type="page"/>
      </w:r>
    </w:p>
    <w:bookmarkEnd w:id="22"/>
    <w:bookmarkStart w:id="26" w:name="tables-and-figures"/>
    <w:p>
      <w:pPr>
        <w:pStyle w:val="Heading2"/>
      </w:pPr>
      <w:r>
        <w:t xml:space="preserve">Tables and Figures</w:t>
      </w:r>
    </w:p>
    <w:p>
      <w:pPr>
        <w:pStyle w:val="TableCaption"/>
      </w:pPr>
      <w:r>
        <w:t xml:space="preserve">Table 2.  Results.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  Result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1.  More data." title="" id="24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 More data.</w:t>
      </w:r>
    </w:p>
    <w:p>
      <w:r>
        <w:br w:type="page"/>
      </w:r>
    </w:p>
    <w:bookmarkEnd w:id="26"/>
    <w:bookmarkStart w:id="30" w:name="supplementary-figures"/>
    <w:p>
      <w:pPr>
        <w:pStyle w:val="Heading2"/>
      </w:pPr>
      <w:r>
        <w:t xml:space="preserve">Supplementary Figures</w:t>
      </w:r>
    </w:p>
    <w:p>
      <w:pPr>
        <w:pStyle w:val="CaptionedFigure"/>
      </w:pPr>
      <w:r>
        <w:drawing>
          <wp:inline>
            <wp:extent cx="5334000" cy="5992345"/>
            <wp:effectExtent b="0" l="0" r="0" t="0"/>
            <wp:docPr descr="Supplementary Figure 1.  Antibodies inside of cells in myositis." title="" id="28" name="Picture"/>
            <a:graphic>
              <a:graphicData uri="http://schemas.openxmlformats.org/drawingml/2006/picture">
                <pic:pic>
                  <pic:nvPicPr>
                    <pic:cNvPr descr="assets/internalization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Supplementary Figure 1.  Antibodies inside of cells in myositis.</w:t>
      </w:r>
    </w:p>
    <w:p>
      <w:r>
        <w:br w:type="page"/>
      </w:r>
    </w:p>
    <w:bookmarkEnd w:id="30"/>
    <w:bookmarkStart w:id="31" w:name="supplementary-tables"/>
    <w:p>
      <w:pPr>
        <w:pStyle w:val="Heading2"/>
      </w:pPr>
      <w:r>
        <w:t xml:space="preserve">Supplementary Tables</w:t>
      </w:r>
    </w:p>
    <w:p>
      <w:pPr>
        <w:pStyle w:val="TableCaption"/>
      </w:pPr>
      <w:r>
        <w:t xml:space="preserve">Supplementary Table 3.  More results.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pplementary Table 3.  More result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r>
        <w:br w:type="page"/>
      </w:r>
    </w:p>
    <w:bookmarkEnd w:id="31"/>
    <w:bookmarkStart w:id="37" w:name="references"/>
    <w:p>
      <w:pPr>
        <w:pStyle w:val="Heading2"/>
      </w:pPr>
      <w:r>
        <w:t xml:space="preserve">References</w:t>
      </w:r>
    </w:p>
    <w:bookmarkStart w:id="36" w:name="refs"/>
    <w:bookmarkStart w:id="33" w:name="ref-Pinal-Fernandez2024"/>
    <w:p>
      <w:pPr>
        <w:pStyle w:val="Bibliography"/>
      </w:pPr>
      <w:r>
        <w:t xml:space="preserve">Pinal-Fernandez, Iago, Sandra Muñoz-Braceras, Maria Casal-Dominguez, Katherine Pak, Jiram Torres-Ruiz, Jon Musai, Stefania Dell’Orso, et al. 2024.</w:t>
      </w:r>
      <w:r>
        <w:t xml:space="preserve"> </w:t>
      </w:r>
      <w:r>
        <w:t xml:space="preserve">“Pathological Autoantibody Internalisation in Myositis.”</w:t>
      </w:r>
      <w:r>
        <w:t xml:space="preserve"> </w:t>
      </w:r>
      <w:r>
        <w:rPr>
          <w:i/>
          <w:iCs/>
        </w:rPr>
        <w:t xml:space="preserve">Annals of the Rheumatic Diseases</w:t>
      </w:r>
      <w:r>
        <w:t xml:space="preserve">, June.</w:t>
      </w:r>
      <w:r>
        <w:t xml:space="preserve"> </w:t>
      </w:r>
      <w:hyperlink r:id="rId32">
        <w:r>
          <w:rPr>
            <w:rStyle w:val="Hyperlink"/>
          </w:rPr>
          <w:t xml:space="preserve">https://doi.org/10.1136/ard-2024-225773</w:t>
        </w:r>
      </w:hyperlink>
      <w:r>
        <w:t xml:space="preserve">.</w:t>
      </w:r>
    </w:p>
    <w:bookmarkEnd w:id="33"/>
    <w:bookmarkStart w:id="35" w:name="ref-Selva-OCallaghan2018"/>
    <w:p>
      <w:pPr>
        <w:pStyle w:val="Bibliography"/>
      </w:pPr>
      <w:r>
        <w:t xml:space="preserve">Selva-O’Callaghan, Albert, Iago Pinal-Fernandez, Ernesto Trallero-Araguás, José César Milisenda, Josep Maria Grau-Junyent, and Andrew L Mammen. 2018.</w:t>
      </w:r>
      <w:r>
        <w:t xml:space="preserve"> </w:t>
      </w:r>
      <w:r>
        <w:t xml:space="preserve">“Classification and Management of Adult Inflammatory Myopathies.”</w:t>
      </w:r>
      <w:r>
        <w:t xml:space="preserve"> </w:t>
      </w:r>
      <w:r>
        <w:rPr>
          <w:i/>
          <w:iCs/>
        </w:rPr>
        <w:t xml:space="preserve">The Lancet Neurology</w:t>
      </w:r>
      <w:r>
        <w:t xml:space="preserve"> </w:t>
      </w:r>
      <w:r>
        <w:t xml:space="preserve">17 (9): 816–28.</w:t>
      </w:r>
      <w:r>
        <w:t xml:space="preserve"> </w:t>
      </w:r>
      <w:hyperlink r:id="rId34">
        <w:r>
          <w:rPr>
            <w:rStyle w:val="Hyperlink"/>
          </w:rPr>
          <w:t xml:space="preserve">https://doi.org/10.1016/s1474-4422(18)30254-0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png" /><Relationship Type="http://schemas.openxmlformats.org/officeDocument/2006/relationships/hyperlink" Id="rId34" Target="https://doi.org/10.1016/s1474-4422(18)30254-0" TargetMode="External" /><Relationship Type="http://schemas.openxmlformats.org/officeDocument/2006/relationships/hyperlink" Id="rId32" Target="https://doi.org/10.1136/ard-2024-2257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s1474-4422(18)30254-0" TargetMode="External" /><Relationship Type="http://schemas.openxmlformats.org/officeDocument/2006/relationships/hyperlink" Id="rId32" Target="https://doi.org/10.1136/ard-2024-2257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Research Document</dc:title>
  <dc:creator>Iago Pinal-Fernandez</dc:creator>
  <cp:keywords/>
  <dcterms:created xsi:type="dcterms:W3CDTF">2024-11-09T22:07:00Z</dcterms:created>
  <dcterms:modified xsi:type="dcterms:W3CDTF">2024-11-09T22:07:00Z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assets/references.bib</vt:lpwstr>
  </property>
  <property fmtid="{D5CDD505-2E9C-101B-9397-08002B2CF9AE}" pid="5" name="by-author">
    <vt:lpwstr/>
  </property>
  <property fmtid="{D5CDD505-2E9C-101B-9397-08002B2CF9AE}" pid="6" name="date">
    <vt:lpwstr>2024-10-28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