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18"/>
          <w:szCs w:val="18"/>
        </w:rPr>
        <w:t xml:space="preserve">AUTOTRADER AGENT — KNOWLEDGE BASE</w:t>
      </w:r>
    </w:p>
    <w:p>
      <w:pPr>
        <w:spacing w:after="60" w:before="0"/>
      </w:pPr>
      <w:r>
        <w:rPr>
          <w:rFonts w:ascii="Arial" w:cs="Arial" w:eastAsia="Arial" w:hAnsi="Arial"/>
          <w:b/>
          <w:bCs/>
          <w:color w:val="111827"/>
          <w:sz w:val="44"/>
          <w:szCs w:val="44"/>
        </w:rPr>
        <w:t xml:space="preserve">Estrategia Alpha — Momentum Rider</w:t>
      </w:r>
    </w:p>
    <w:p>
      <w:pPr>
        <w:spacing w:after="40" w:before="0"/>
      </w:pPr>
      <w:r>
        <w:rPr>
          <w:rFonts w:ascii="Arial" w:cs="Arial" w:eastAsia="Arial" w:hAnsi="Arial"/>
          <w:color w:val="6B7280"/>
          <w:sz w:val="22"/>
          <w:szCs w:val="22"/>
        </w:rPr>
        <w:t xml:space="preserve">Objetivo: capturar movimientos de tendencia alcista consolidada en crypto</w:t>
      </w:r>
    </w:p>
    <w:p>
      <w:pPr>
        <w:pBdr>
          <w:bottom w:val="single" w:color="1A56DB" w:sz="8" w:space="4"/>
        </w:pBdr>
        <w:spacing w:after="400" w:before="120"/>
      </w:pPr>
      <w:r>
        <w:t xml:space="preserve"/>
      </w:r>
    </w:p>
    <w:p>
      <w:pPr>
        <w:pStyle w:val="Heading2"/>
        <w:spacing w:after="160" w:before="320"/>
      </w:pPr>
      <w:r>
        <w:rPr>
          <w:rFonts w:ascii="Arial" w:cs="Arial" w:eastAsia="Arial" w:hAnsi="Arial"/>
          <w:b/>
          <w:bCs/>
          <w:color w:val="1E40AF"/>
          <w:sz w:val="26"/>
          <w:szCs w:val="26"/>
        </w:rPr>
        <w:t xml:space="preserve">Posición dentro del sistema de tres estrategias</w:t>
      </w:r>
    </w:p>
    <w:p>
      <w:pPr>
        <w:spacing w:after="80" w:before="80"/>
      </w:pPr>
      <w:r>
        <w:rPr>
          <w:rFonts w:ascii="Arial" w:cs="Arial" w:eastAsia="Arial" w:hAnsi="Arial"/>
          <w:color w:val="374151"/>
          <w:sz w:val="22"/>
          <w:szCs w:val="22"/>
        </w:rPr>
        <w:t xml:space="preserve">Este agente opera dentro de un sistema de tres estrategias independientes, cada una con un objetivo distinto y condiciones de mercado propias. La Estrategia Alpha — Momentum Rider cubre el objetivo de capturar tendencias alcistas de medio plazo en crypto. Las otras dos estrategias del sistema se encargan de objetivos distintos (por ejemplo, reversión a la media o volatilidad comprimida). Este agente no interfiere con ellas ni comparte lógica de entrada o gestión.</w:t>
      </w:r>
    </w:p>
    <w:p>
      <w:pPr>
        <w:spacing w:after="60" w:before="60"/>
      </w:pPr>
      <w:r>
        <w:t xml:space="preserve"/>
      </w:r>
    </w:p>
    <w:p>
      <w:pPr>
        <w:spacing w:after="80" w:before="80"/>
      </w:pPr>
      <w:r>
        <w:rPr>
          <w:rFonts w:ascii="Arial" w:cs="Arial" w:eastAsia="Arial" w:hAnsi="Arial"/>
          <w:color w:val="374151"/>
          <w:sz w:val="22"/>
          <w:szCs w:val="22"/>
        </w:rPr>
        <w:t xml:space="preserve">El capital asignado a esta estrategia es independiente del capital de las otras dos. Las métricas de rendimiento, las rachas de pérdidas y las pausas de par se evalúan exclusivamente dentro de esta estrategia — nunca en función del comportamiento del sistema completo.</w:t>
      </w:r>
    </w:p>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Filosofía</w:t>
      </w:r>
    </w:p>
    <w:p>
      <w:pPr>
        <w:spacing w:after="80" w:before="80"/>
      </w:pPr>
      <w:r>
        <w:rPr>
          <w:rFonts w:ascii="Arial" w:cs="Arial" w:eastAsia="Arial" w:hAnsi="Arial"/>
          <w:color w:val="374151"/>
          <w:sz w:val="22"/>
          <w:szCs w:val="22"/>
        </w:rPr>
        <w:t xml:space="preserve">Esta estrategia parte de una premisa simple: la tendencia es tu aliada hasta que deja de serlo. Los mercados crypto tienen una característica que los hace ideales para momentum — cuando empiezan a moverse en una dirección con convicción, tienden a continuar más tiempo del que la mayoría espera. El error más común del trader novato es intentar predecir cuándo termina la tendencia. El Momentum Rider no hace eso. Se sube cuando la tendencia está confirmada y se baja cuando da señales claras de agotamiento.</w:t>
      </w:r>
    </w:p>
    <w:p>
      <w:pPr>
        <w:spacing w:after="60" w:before="60"/>
      </w:pPr>
      <w:r>
        <w:t xml:space="preserve"/>
      </w:r>
    </w:p>
    <w:p>
      <w:pPr>
        <w:spacing w:after="80" w:before="80"/>
      </w:pPr>
      <w:r>
        <w:rPr>
          <w:rFonts w:ascii="Arial" w:cs="Arial" w:eastAsia="Arial" w:hAnsi="Arial"/>
          <w:color w:val="374151"/>
          <w:sz w:val="22"/>
          <w:szCs w:val="22"/>
        </w:rPr>
        <w:t xml:space="preserve">El agente que usa esta estrategia debe tener una mentalidad de paciencia activa. Hay muchos días sin operar. Eso no es un fallo — es la estrategia funcionando correctamente. Un agente Momentum Rider que opera todos los días está haciendo algo mal.</w:t>
      </w:r>
    </w:p>
    <w:p>
      <w:pPr>
        <w:spacing w:after="60" w:before="60"/>
      </w:pPr>
      <w:r>
        <w:t xml:space="preserve"/>
      </w:r>
    </w:p>
    <w:p>
      <w:pPr>
        <w:spacing w:after="80" w:before="80"/>
      </w:pPr>
      <w:r>
        <w:rPr>
          <w:rFonts w:ascii="Arial" w:cs="Arial" w:eastAsia="Arial" w:hAnsi="Arial"/>
          <w:color w:val="374151"/>
          <w:sz w:val="22"/>
          <w:szCs w:val="22"/>
        </w:rPr>
        <w:t xml:space="preserve">El capital se preserva ante todo. Una pérdida del 10% requiere un 11% para recuperarse. Una pérdida del 30% requiere un 43%. El Momentum Rider nunca persigue operaciones perdidas ni promedia a la baja.</w:t>
      </w:r>
    </w:p>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Condiciones de mercado objetivo</w:t>
      </w:r>
    </w:p>
    <w:p>
      <w:pPr>
        <w:spacing w:after="80" w:before="80"/>
      </w:pPr>
      <w:r>
        <w:rPr>
          <w:rFonts w:ascii="Arial" w:cs="Arial" w:eastAsia="Arial" w:hAnsi="Arial"/>
          <w:color w:val="374151"/>
          <w:sz w:val="22"/>
          <w:szCs w:val="22"/>
        </w:rPr>
        <w:t xml:space="preserve">El mercado ideal para esta estrategia es aquel donde el precio lleva al menos 3 sesiones de 4H haciendo máximos y mínimos crecientes. No operamos en el primer día de un posible nuevo impulso — esperamos confirmación. La paciencia aquí es literalmente dinero.</w:t>
      </w:r>
    </w:p>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E40AF"/>
          <w:sz w:val="26"/>
          <w:szCs w:val="26"/>
        </w:rPr>
        <w:t xml:space="preserve">Filtro 1 — Régimen de mercado (ejecutar primero, siempre)</w:t>
      </w:r>
    </w:p>
    <w:p>
      <w:pPr>
        <w:spacing w:after="80" w:before="80"/>
      </w:pPr>
      <w:r>
        <w:rPr>
          <w:rFonts w:ascii="Arial" w:cs="Arial" w:eastAsia="Arial" w:hAnsi="Arial"/>
          <w:color w:val="374151"/>
          <w:sz w:val="22"/>
          <w:szCs w:val="22"/>
        </w:rPr>
        <w:t xml:space="preserve">Antes de evaluar cualquier otra condición, el agente verifica que el mercado esté en un régimen que permita operar esta estrategia. Este filtro es el más importante: si falla, no se evalúa nada más.</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El ATR de las últimas 10 velas 4H debe ser superior al percentil 25 del ATR histórico de los últimos 60 días en ese par. Si el ATR actual cae por debajo de ese umbral, el par entra en modo solo observación de forma indefinida hasta que el régimen cambie. Este filtro reemplaza la lógica de pausa por contador de pérdidas consecutivas, que era reactiva y arbitraria.</w:t>
      </w:r>
    </w:p>
    <w:p>
      <w:pPr>
        <w:pStyle w:val="ListParagraph"/>
        <w:numPr>
          <w:ilvl w:val="0"/>
          <w:numId w:val="2"/>
        </w:numPr>
        <w:spacing w:after="60" w:before="60"/>
      </w:pPr>
      <w:r>
        <w:rPr>
          <w:rFonts w:ascii="Arial" w:cs="Arial" w:eastAsia="Arial" w:hAnsi="Arial"/>
          <w:color w:val="374151"/>
          <w:sz w:val="22"/>
          <w:szCs w:val="22"/>
        </w:rPr>
        <w:t xml:space="preserve">No debe haber ninguna vela bajista con cuerpo mayor al 4% en las últimas 8 horas. Esto indica ventas institucionales o noticias negativas que esta estrategia no está diseñada para manejar.</w:t>
      </w:r>
    </w:p>
    <w:p>
      <w:pPr>
        <w:pStyle w:val="ListParagraph"/>
        <w:numPr>
          <w:ilvl w:val="0"/>
          <w:numId w:val="2"/>
        </w:numPr>
        <w:spacing w:after="60" w:before="60"/>
      </w:pPr>
      <w:r>
        <w:rPr>
          <w:rFonts w:ascii="Arial" w:cs="Arial" w:eastAsia="Arial" w:hAnsi="Arial"/>
          <w:color w:val="374151"/>
          <w:sz w:val="22"/>
          <w:szCs w:val="22"/>
        </w:rPr>
        <w:t xml:space="preserve">Si el mercado lleva más de 5 velas 4H con rango menor al 1% del precio, el mercado está en compresión. Pausar hasta que el rango se expanda por encima del 1.5% del precio.</w:t>
      </w:r>
    </w:p>
    <w:p>
      <w:pPr>
        <w:pStyle w:val="ListParagraph"/>
        <w:numPr>
          <w:ilvl w:val="0"/>
          <w:numId w:val="2"/>
        </w:numPr>
        <w:spacing w:after="60" w:before="60"/>
      </w:pPr>
      <w:r>
        <w:rPr>
          <w:rFonts w:ascii="Arial" w:cs="Arial" w:eastAsia="Arial" w:hAnsi="Arial"/>
          <w:color w:val="374151"/>
          <w:sz w:val="22"/>
          <w:szCs w:val="22"/>
        </w:rPr>
        <w:t xml:space="preserve">Si el volumen de las últimas 3 velas es consistentemente inferior al 70% del volumen medio ajustado por franja horaria, el mercado está dormido. No operar.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Por qué percentil 25 del ATR y no un valor fijo: </w:t>
            </w:r>
            <w:r>
              <w:rPr>
                <w:rFonts w:ascii="Arial" w:cs="Arial" w:eastAsia="Arial" w:hAnsi="Arial"/>
                <w:color w:val="374151"/>
                <w:sz w:val="21"/>
                <w:szCs w:val="21"/>
              </w:rPr>
              <w:t xml:space="preserve">Los pares crypto tienen volatilidad estructural muy diferente entre sí y a lo largo del tiempo. Un ATR de 200 puntos puede ser bajo para BTC y alto para un altcoin de baja capitalización. Usar un percentil relativo al propio historial del par hace el filtro adaptativo sin necesidad de calibrar umbrales por activo.</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E40AF"/>
          <w:sz w:val="26"/>
          <w:szCs w:val="26"/>
        </w:rPr>
        <w:t xml:space="preserve">Filtro 2 — Alineación estructural</w:t>
      </w:r>
    </w:p>
    <w:p>
      <w:pPr>
        <w:spacing w:after="80" w:before="80"/>
      </w:pPr>
      <w:r>
        <w:rPr>
          <w:rFonts w:ascii="Arial" w:cs="Arial" w:eastAsia="Arial" w:hAnsi="Arial"/>
          <w:color w:val="374151"/>
          <w:sz w:val="22"/>
          <w:szCs w:val="22"/>
        </w:rPr>
        <w:t xml:space="preserve">Con el filtro de régimen superado, se verifica que la estructura de precio esté alineada para esta estrategia.</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El precio tiene que estar por encima de la EMA200. Esta es la línea que separa un mercado alcista de fondo de uno bajista. Si el precio está bajo la EMA200, esta estrategia no opera en largo bajo ninguna circunstancia, sin excepciones. La EMA200 en timeframe 4H representa aproximadamente 33 días de precio — si estás por debajo de ella, el mercado ha estado bajando durante más de un mes. No es el entorno para esta estrategia.</w:t>
      </w:r>
    </w:p>
    <w:p>
      <w:pPr>
        <w:pStyle w:val="ListParagraph"/>
        <w:numPr>
          <w:ilvl w:val="0"/>
          <w:numId w:val="2"/>
        </w:numPr>
        <w:spacing w:after="60" w:before="60"/>
      </w:pPr>
      <w:r>
        <w:rPr>
          <w:rFonts w:ascii="Arial" w:cs="Arial" w:eastAsia="Arial" w:hAnsi="Arial"/>
          <w:color w:val="374151"/>
          <w:sz w:val="22"/>
          <w:szCs w:val="22"/>
        </w:rPr>
        <w:t xml:space="preserve">La EMA20 debe estar por encima de la EMA50. Esto confirma que el momentum de corto plazo está alineado con el de medio plazo. Cuando la EMA20 cae bajo la EMA50 mientras el precio sigue subiendo, es una señal de alerta temprana — el momentum interno se está debilitando aunque el precio no lo refleje todavía.</w:t>
      </w:r>
    </w:p>
    <w:p>
      <w:pPr>
        <w:pStyle w:val="ListParagraph"/>
        <w:numPr>
          <w:ilvl w:val="0"/>
          <w:numId w:val="2"/>
        </w:numPr>
        <w:spacing w:after="60" w:before="60"/>
      </w:pPr>
      <w:r>
        <w:rPr>
          <w:rFonts w:ascii="Arial" w:cs="Arial" w:eastAsia="Arial" w:hAnsi="Arial"/>
          <w:color w:val="374151"/>
          <w:sz w:val="22"/>
          <w:szCs w:val="22"/>
        </w:rPr>
        <w:t xml:space="preserve">El precio debe llevar al menos 3 velas 4H consecutivas haciendo máximos más altos y mínimos más altos (estructura HH+HL confirmada). Una sola vela alcista fuerte no es tendencia — es un movimiento.</w:t>
      </w:r>
    </w:p>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E40AF"/>
          <w:sz w:val="26"/>
          <w:szCs w:val="26"/>
        </w:rPr>
        <w:t xml:space="preserve">Filtro 3 — Confirmación de momentum</w:t>
      </w:r>
    </w:p>
    <w:p>
      <w:pPr>
        <w:spacing w:after="80" w:before="80"/>
      </w:pPr>
      <w:r>
        <w:rPr>
          <w:rFonts w:ascii="Arial" w:cs="Arial" w:eastAsia="Arial" w:hAnsi="Arial"/>
          <w:color w:val="374151"/>
          <w:sz w:val="22"/>
          <w:szCs w:val="22"/>
        </w:rPr>
        <w:t xml:space="preserve">Este filtro evalúa si el momentum interno del activo está activo y sano. Es el filtro que más ha sido corregido respecto a versiones anteriores del sistema.</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El RSI debe estar en pendiente positiva durante las últimas 3 velas consecutivas. No se usa un rango fijo de nivel (por ejemplo, 45-68) porque eso elimina entradas válidas en mercados alcistas fuertes donde el RSI puede mantenerse elevado de forma sostenida sin que eso indique agotamiento real. Lo que importa es la dirección, no la posición.</w:t>
      </w:r>
    </w:p>
    <w:p>
      <w:pPr>
        <w:pStyle w:val="ListParagraph"/>
        <w:numPr>
          <w:ilvl w:val="0"/>
          <w:numId w:val="2"/>
        </w:numPr>
        <w:spacing w:after="60" w:before="60"/>
      </w:pPr>
      <w:r>
        <w:rPr>
          <w:rFonts w:ascii="Arial" w:cs="Arial" w:eastAsia="Arial" w:hAnsi="Arial"/>
          <w:color w:val="374151"/>
          <w:sz w:val="22"/>
          <w:szCs w:val="22"/>
        </w:rPr>
        <w:t xml:space="preserve">No debe existir una divergencia bajista clara: el precio no puede estar haciendo máximos más altos mientras el RSI hace máximos decrecientes durante 3 o más velas consecutivas. Esta condición sí se mantiene porque identifica debilitamiento estructural, no agotamiento por nivel.</w:t>
      </w:r>
    </w:p>
    <w:p>
      <w:pPr>
        <w:pStyle w:val="ListParagraph"/>
        <w:numPr>
          <w:ilvl w:val="0"/>
          <w:numId w:val="2"/>
        </w:numPr>
        <w:spacing w:after="60" w:before="60"/>
      </w:pPr>
      <w:r>
        <w:rPr>
          <w:rFonts w:ascii="Arial" w:cs="Arial" w:eastAsia="Arial" w:hAnsi="Arial"/>
          <w:color w:val="374151"/>
          <w:sz w:val="22"/>
          <w:szCs w:val="22"/>
        </w:rPr>
        <w:t xml:space="preserve">El histograma del MACD debe ser positivo. Adicionalmente, si lleva 4 o más velas consecutivas decreciendo — aunque siga siendo positivo — es señal de alerta temprana de agotamiento y el agente no abre nuevas posiciones en ese par hasta que el histograma retome pendiente positiva.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4"/>
              <w:bottom w:val="single" w:color="FCD34D" w:sz="4"/>
              <w:right w:val="single" w:color="FCD34D" w:sz="4"/>
            </w:tcBorders>
            <w:shd w:fill="FEF3C7"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Por qué se eliminó el filtro RSI por nivel: </w:t>
            </w:r>
            <w:r>
              <w:rPr>
                <w:rFonts w:ascii="Arial" w:cs="Arial" w:eastAsia="Arial" w:hAnsi="Arial"/>
                <w:color w:val="374151"/>
                <w:sz w:val="21"/>
                <w:szCs w:val="21"/>
              </w:rPr>
              <w:t xml:space="preserve">El RSI mide momentum relativo al propio activo en los últimos N periodos, no momentum absoluto. En mercados alcistas fuertes un RSI de 70-75 puede mantenerse durante semanas sin que eso señale agotamiento. Usar un techo de 68 como filtro en esos entornos elimina sistemáticamente los movimientos más fuertes, que son exactamente los que esta estrategia busca capturar.</w:t>
            </w:r>
          </w:p>
        </w:tc>
      </w:tr>
    </w:tbl>
    <w:p>
      <w:pPr>
        <w:spacing w:after="60" w:before="60"/>
      </w:pPr>
      <w:r>
        <w:t xml:space="preserve"/>
      </w:r>
    </w:p>
    <w:p>
      <w:pPr>
        <w:spacing w:after="60" w:before="60"/>
      </w:pPr>
      <w:r>
        <w:t xml:space="preserve"/>
      </w:r>
    </w:p>
    <w:p>
      <w:pPr>
        <w:pStyle w:val="Heading2"/>
        <w:spacing w:after="160" w:before="320"/>
      </w:pPr>
      <w:r>
        <w:rPr>
          <w:rFonts w:ascii="Arial" w:cs="Arial" w:eastAsia="Arial" w:hAnsi="Arial"/>
          <w:b/>
          <w:bCs/>
          <w:color w:val="1E40AF"/>
          <w:sz w:val="26"/>
          <w:szCs w:val="26"/>
        </w:rPr>
        <w:t xml:space="preserve">Filtro 4 — Volumen ajustado por franja horaria</w:t>
      </w:r>
    </w:p>
    <w:p>
      <w:pPr>
        <w:spacing w:after="80" w:before="80"/>
      </w:pPr>
      <w:r>
        <w:rPr>
          <w:rFonts w:ascii="Arial" w:cs="Arial" w:eastAsia="Arial" w:hAnsi="Arial"/>
          <w:color w:val="374151"/>
          <w:sz w:val="22"/>
          <w:szCs w:val="22"/>
        </w:rPr>
        <w:t xml:space="preserve">El volumen en crypto tiene un sesgo circadiano fuerte y bien documentado. Las velas 4H que abren en franjas de mercado activo (12:00-20:00 UTC) generan consistentemente más volumen que las mismas velas abriendo en franjas asiáticas o de madrugada europea. Comparar el volumen de cualquier vela contra una media plana de las últimas 20 velas introduce un sesgo sistemático que genera falsas señales positivas en horarios activos y falsas negativas en horarios de bajo volumen estructural.</w:t>
      </w:r>
    </w:p>
    <w:p>
      <w:pPr>
        <w:spacing w:after="60" w:before="60"/>
      </w:pPr>
      <w:r>
        <w:t xml:space="preserve"/>
      </w:r>
    </w:p>
    <w:p>
      <w:pPr>
        <w:spacing w:after="80" w:before="80"/>
      </w:pPr>
      <w:r>
        <w:rPr>
          <w:rFonts w:ascii="Arial" w:cs="Arial" w:eastAsia="Arial" w:hAnsi="Arial"/>
          <w:color w:val="374151"/>
          <w:sz w:val="22"/>
          <w:szCs w:val="22"/>
        </w:rPr>
        <w:t xml:space="preserve">La lógica correcta es la siguiente:</w:t>
      </w:r>
    </w:p>
    <w:p>
      <w:pPr>
        <w:pStyle w:val="ListParagraph"/>
        <w:numPr>
          <w:ilvl w:val="0"/>
          <w:numId w:val="2"/>
        </w:numPr>
        <w:spacing w:after="60" w:before="60"/>
      </w:pPr>
      <w:r>
        <w:rPr>
          <w:rFonts w:ascii="Arial" w:cs="Arial" w:eastAsia="Arial" w:hAnsi="Arial"/>
          <w:color w:val="374151"/>
          <w:sz w:val="22"/>
          <w:szCs w:val="22"/>
        </w:rPr>
        <w:t xml:space="preserve">Para cada vela de entrada candidata, identificar su franja horaria de apertura (agrupada en bloques de 4H: 00-04, 04-08, 08-12, 12-16, 16-20, 20-24 UTC).</w:t>
      </w:r>
    </w:p>
    <w:p>
      <w:pPr>
        <w:pStyle w:val="ListParagraph"/>
        <w:numPr>
          <w:ilvl w:val="0"/>
          <w:numId w:val="2"/>
        </w:numPr>
        <w:spacing w:after="60" w:before="60"/>
      </w:pPr>
      <w:r>
        <w:rPr>
          <w:rFonts w:ascii="Arial" w:cs="Arial" w:eastAsia="Arial" w:hAnsi="Arial"/>
          <w:color w:val="374151"/>
          <w:sz w:val="22"/>
          <w:szCs w:val="22"/>
        </w:rPr>
        <w:t xml:space="preserve">Calcular la media de volumen de todas las velas de ese par que han abierto en esa misma franja durante los últimos 30 días calendarios.</w:t>
      </w:r>
    </w:p>
    <w:p>
      <w:pPr>
        <w:pStyle w:val="ListParagraph"/>
        <w:numPr>
          <w:ilvl w:val="0"/>
          <w:numId w:val="2"/>
        </w:numPr>
        <w:spacing w:after="60" w:before="60"/>
      </w:pPr>
      <w:r>
        <w:rPr>
          <w:rFonts w:ascii="Arial" w:cs="Arial" w:eastAsia="Arial" w:hAnsi="Arial"/>
          <w:color w:val="374151"/>
          <w:sz w:val="22"/>
          <w:szCs w:val="22"/>
        </w:rPr>
        <w:t xml:space="preserve">El volumen de la vela actual debe superar en al menos 1.2 veces esa media de grupo. Si no la supera, el movimiento no tiene convicción suficiente dentro de su propio contexto temporal.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Nota de implementación: </w:t>
            </w:r>
            <w:r>
              <w:rPr>
                <w:rFonts w:ascii="Arial" w:cs="Arial" w:eastAsia="Arial" w:hAnsi="Arial"/>
                <w:color w:val="374151"/>
                <w:sz w:val="21"/>
                <w:szCs w:val="21"/>
              </w:rPr>
              <w:t xml:space="preserve">Este cálculo requiere almacenar el historial de volumen agrupado por franja para cada par activo. El coste computacional es bajo — son 6 grupos de medias por par — pero debe precalcularse al inicio de cada sesión o actualizarse con cada nueva vela cerrada para no ralentizar la evaluación en tiempo real.</w:t>
            </w:r>
          </w:p>
        </w:tc>
      </w:tr>
    </w:tbl>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Setups de alta convicción</w:t>
      </w:r>
    </w:p>
    <w:p>
      <w:pPr>
        <w:spacing w:after="80" w:before="80"/>
      </w:pPr>
      <w:r>
        <w:rPr>
          <w:rFonts w:ascii="Arial" w:cs="Arial" w:eastAsia="Arial" w:hAnsi="Arial"/>
          <w:color w:val="374151"/>
          <w:sz w:val="22"/>
          <w:szCs w:val="22"/>
        </w:rPr>
        <w:t xml:space="preserve">El agente debe priorizar estos tres setups. Son los patrones con mayor ratio histórico de operaciones exitosas dentro de esta estrategia. No son los únicos setups válidos, pero cuando se presentan debe darles preferencia sobre un setup genérico que simplemente cumpla todos los filtros.</w:t>
      </w:r>
    </w:p>
    <w:p>
      <w:pPr>
        <w:spacing w:after="60" w:before="60"/>
      </w:pPr>
      <w:r>
        <w:t xml:space="preserve"/>
      </w:r>
    </w:p>
    <w:p>
      <w:pPr>
        <w:spacing w:after="100" w:before="240"/>
      </w:pPr>
      <w:r>
        <w:rPr>
          <w:rFonts w:ascii="Arial" w:cs="Arial" w:eastAsia="Arial" w:hAnsi="Arial"/>
          <w:b/>
          <w:bCs/>
          <w:color w:val="374151"/>
          <w:sz w:val="22"/>
          <w:szCs w:val="22"/>
        </w:rPr>
        <w:t xml:space="preserve">Setup 1 — El retroceso perfecto</w:t>
      </w:r>
    </w:p>
    <w:p>
      <w:pPr>
        <w:spacing w:after="80" w:before="80"/>
      </w:pPr>
      <w:r>
        <w:rPr>
          <w:rFonts w:ascii="Arial" w:cs="Arial" w:eastAsia="Arial" w:hAnsi="Arial"/>
          <w:color w:val="374151"/>
          <w:sz w:val="22"/>
          <w:szCs w:val="22"/>
        </w:rPr>
        <w:t xml:space="preserve">El precio está en tendencia alcista confirmada. Retrocede hasta tocar la EMA50 sin romperla en cierre de vela. El RSI baja durante ese retroceso y está en pendiente positiva en la vela de rebote. El rebote se produce con una vela verde cuyo volumen ajustado por franja supera el doble de la media del grupo horario. Este es el setup más fiable de la estrategia. La entrada es en el cierre de la vela de rebote.</w:t>
      </w:r>
    </w:p>
    <w:p>
      <w:pPr>
        <w:spacing w:after="60" w:before="60"/>
      </w:pPr>
      <w:r>
        <w:t xml:space="preserve"/>
      </w:r>
    </w:p>
    <w:p>
      <w:pPr>
        <w:spacing w:after="100" w:before="240"/>
      </w:pPr>
      <w:r>
        <w:rPr>
          <w:rFonts w:ascii="Arial" w:cs="Arial" w:eastAsia="Arial" w:hAnsi="Arial"/>
          <w:b/>
          <w:bCs/>
          <w:color w:val="374151"/>
          <w:sz w:val="22"/>
          <w:szCs w:val="22"/>
        </w:rPr>
        <w:t xml:space="preserve">Setup 2 — El breakout de consolidación</w:t>
      </w:r>
    </w:p>
    <w:p>
      <w:pPr>
        <w:spacing w:after="80" w:before="80"/>
      </w:pPr>
      <w:r>
        <w:rPr>
          <w:rFonts w:ascii="Arial" w:cs="Arial" w:eastAsia="Arial" w:hAnsi="Arial"/>
          <w:color w:val="374151"/>
          <w:sz w:val="22"/>
          <w:szCs w:val="22"/>
        </w:rPr>
        <w:t xml:space="preserve">El precio ha estado comprimido en un rango estrecho de menos del 2% durante al menos 6 velas 4H. Todas las EMAs están alineadas alcistas. El ATR durante la consolidación debe estar por encima del percentil 25 histórico — si no lo está, el filtro de régimen ya habrá descartado el par antes de llegar aquí. El precio rompe el techo del rango con volumen ajustado alto. La entrada es en el cierre de la vela de breakout, no en la apertura de la siguiente.</w:t>
      </w:r>
    </w:p>
    <w:p>
      <w:pPr>
        <w:spacing w:after="60" w:before="60"/>
      </w:pPr>
      <w:r>
        <w:t xml:space="preserve"/>
      </w:r>
    </w:p>
    <w:p>
      <w:pPr>
        <w:spacing w:after="100" w:before="240"/>
      </w:pPr>
      <w:r>
        <w:rPr>
          <w:rFonts w:ascii="Arial" w:cs="Arial" w:eastAsia="Arial" w:hAnsi="Arial"/>
          <w:b/>
          <w:bCs/>
          <w:color w:val="374151"/>
          <w:sz w:val="22"/>
          <w:szCs w:val="22"/>
        </w:rPr>
        <w:t xml:space="preserve">Setup 3 — La continuación tras pausa</w:t>
      </w:r>
    </w:p>
    <w:p>
      <w:pPr>
        <w:spacing w:after="80" w:before="80"/>
      </w:pPr>
      <w:r>
        <w:rPr>
          <w:rFonts w:ascii="Arial" w:cs="Arial" w:eastAsia="Arial" w:hAnsi="Arial"/>
          <w:color w:val="374151"/>
          <w:sz w:val="22"/>
          <w:szCs w:val="22"/>
        </w:rPr>
        <w:t xml:space="preserve">El precio subió fuerte, consolidó lateralmente durante 3 a 8 velas sin romper el 50% del movimiento anterior, y retoma la dirección original. El RSI nunca llegó a máximos relativos de sobrecompra en el impulso inicial (es decir, no hay divergencia latente pendiente), lo que indica que hay espacio para continuar. El MACD histograma debe ser positivo y en pendiente no decreciente.</w:t>
      </w:r>
    </w:p>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Gestión de la operación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4"/>
              <w:left w:val="single" w:color="BFDBFE" w:sz="4"/>
              <w:bottom w:val="single" w:color="BFDBFE" w:sz="4"/>
              <w:right w:val="single" w:color="BFDBFE" w:sz="4"/>
            </w:tcBorders>
            <w:shd w:fill="1A56DB" w:val="clear"/>
            <w:tcMar>
              <w:top w:type="dxa" w:w="120"/>
              <w:left w:type="dxa" w:w="160"/>
              <w:bottom w:type="dxa" w:w="120"/>
              <w:right w:type="dxa" w:w="160"/>
            </w:tcMar>
          </w:tcPr>
          <w:p>
            <w:r>
              <w:rPr>
                <w:rFonts w:ascii="Arial" w:cs="Arial" w:eastAsia="Arial" w:hAnsi="Arial"/>
                <w:b/>
                <w:bCs/>
                <w:color w:val="FFFFFF"/>
                <w:sz w:val="21"/>
                <w:szCs w:val="21"/>
              </w:rPr>
              <w:t xml:space="preserve">Parámetro</w:t>
            </w:r>
          </w:p>
        </w:tc>
        <w:tc>
          <w:tcPr>
            <w:tcW w:type="dxa" w:w="4680"/>
            <w:tcBorders>
              <w:top w:val="single" w:color="BFDBFE" w:sz="4"/>
              <w:left w:val="single" w:color="BFDBFE" w:sz="4"/>
              <w:bottom w:val="single" w:color="BFDBFE" w:sz="4"/>
              <w:right w:val="single" w:color="BFDBFE" w:sz="4"/>
            </w:tcBorders>
            <w:shd w:fill="1A56DB" w:val="clear"/>
            <w:tcMar>
              <w:top w:type="dxa" w:w="120"/>
              <w:left w:type="dxa" w:w="160"/>
              <w:bottom w:type="dxa" w:w="120"/>
              <w:right w:type="dxa" w:w="160"/>
            </w:tcMar>
          </w:tcPr>
          <w:p>
            <w:r>
              <w:rPr>
                <w:rFonts w:ascii="Arial" w:cs="Arial" w:eastAsia="Arial" w:hAnsi="Arial"/>
                <w:b/>
                <w:bCs/>
                <w:color w:val="FFFFFF"/>
                <w:sz w:val="21"/>
                <w:szCs w:val="21"/>
              </w:rPr>
              <w:t xml:space="preserve">Regla</w:t>
            </w:r>
          </w:p>
        </w:tc>
      </w:tr>
      <w:tr>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b/>
                <w:bCs/>
                <w:color w:val="1E3A5F"/>
                <w:sz w:val="21"/>
                <w:szCs w:val="21"/>
              </w:rPr>
              <w:t xml:space="preserve">Stop loss inicial</w:t>
            </w:r>
          </w:p>
        </w:tc>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color w:val="374151"/>
                <w:sz w:val="21"/>
                <w:szCs w:val="21"/>
              </w:rPr>
              <w:t xml:space="preserve">Precio de entrada menos 1.5 veces el ATR de 14 periodos en el momento de entrada. Se calcula una sola vez al abrir la posición y nunca se mueve hacia abajo.</w:t>
            </w:r>
          </w:p>
        </w:tc>
      </w:tr>
      <w:tr>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Trailing stop</w:t>
            </w:r>
          </w:p>
        </w:tc>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Al cierre de cada vela 4H, calcular (precio actual - 1.5 x ATR actual). Si ese valor es estrictamente mayor que el stop actual, actualizar el stop a ese nuevo valor. Si no es mayor, el stop permanece donde está. Esta es la única lógica válida — no hay discrecionalidad.</w:t>
            </w:r>
          </w:p>
        </w:tc>
      </w:tr>
      <w:tr>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b/>
                <w:bCs/>
                <w:color w:val="1E3A5F"/>
                <w:sz w:val="21"/>
                <w:szCs w:val="21"/>
              </w:rPr>
              <w:t xml:space="preserve">Take profit parcial</w:t>
            </w:r>
          </w:p>
        </w:tc>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color w:val="374151"/>
                <w:sz w:val="21"/>
                <w:szCs w:val="21"/>
              </w:rPr>
              <w:t xml:space="preserve">Cuando el precio ha subido 2 veces el ATR desde la entrada, cerrar el 50% de la posición. Esto asegura beneficio real en la cuenta. La posición restante continúa con el trailing stop activo.</w:t>
            </w:r>
          </w:p>
        </w:tc>
      </w:tr>
      <w:tr>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Take profit total</w:t>
            </w:r>
          </w:p>
        </w:tc>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Cuando el precio ha subido 4 veces el ATR desde la entrada. O cuando el RSI lleva 3 velas en pendiente negativa sostenida (no una sola corrección). O cuando el histograma MACD lleva 4 velas consecutivas decreciendo aunque siga siendo positivo.</w:t>
            </w:r>
          </w:p>
        </w:tc>
      </w:tr>
      <w:tr>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b/>
                <w:bCs/>
                <w:color w:val="1E3A5F"/>
                <w:sz w:val="21"/>
                <w:szCs w:val="21"/>
              </w:rPr>
              <w:t xml:space="preserve">Contexto BTC bajista</w:t>
            </w:r>
          </w:p>
        </w:tc>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color w:val="374151"/>
                <w:sz w:val="21"/>
                <w:szCs w:val="21"/>
              </w:rPr>
              <w:t xml:space="preserve">Si BTC está en tendencia bajista confirmada (precio bajo su EMA200 en 4H), reducir el tamaño de posición al 50% del valor calculado. No cancelar la operación si el setup es válido, pero reconocer que la correlación altcoin-BTC en entornos bajistas es alta y el riesgo sistémico aumenta.</w:t>
            </w:r>
          </w:p>
        </w:tc>
      </w:tr>
    </w:tbl>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Tamaño de posición</w:t>
      </w:r>
    </w:p>
    <w:p>
      <w:pPr>
        <w:spacing w:after="80" w:before="80"/>
      </w:pPr>
      <w:r>
        <w:rPr>
          <w:rFonts w:ascii="Arial" w:cs="Arial" w:eastAsia="Arial" w:hAnsi="Arial"/>
          <w:color w:val="374151"/>
          <w:sz w:val="22"/>
          <w:szCs w:val="22"/>
        </w:rPr>
        <w:t xml:space="preserve">El tamaño base es el 8% del capital disponible asignado a esta estrategia. Este valor se ajusta por volatilidad relativa del par en el momento de la entrada, no por el historial de aciertos o errores recientes del agente.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val="clear"/>
            <w:tcMar>
              <w:top w:type="dxa" w:w="160"/>
              <w:left w:type="dxa" w:w="200"/>
              <w:bottom w:type="dxa" w:w="160"/>
              <w:right w:type="dxa" w:w="200"/>
            </w:tcMar>
          </w:tcPr>
          <w:p>
            <w:pPr>
              <w:spacing w:after="60" w:before="0"/>
            </w:pPr>
            <w:r>
              <w:rPr>
                <w:rFonts w:ascii="Arial" w:cs="Arial" w:eastAsia="Arial" w:hAnsi="Arial"/>
                <w:color w:val="374151"/>
                <w:sz w:val="21"/>
                <w:szCs w:val="21"/>
              </w:rPr>
              <w:t xml:space="preserve">Fórmula de sizing ajustado por volatilidad:</w:t>
            </w:r>
          </w:p>
          <w:p>
            <w:pPr>
              <w:spacing w:after="60" w:before="60"/>
            </w:pPr>
            <w:r>
              <w:rPr>
                <w:rFonts w:ascii="Arial" w:cs="Arial" w:eastAsia="Arial" w:hAnsi="Arial"/>
                <w:color w:val="374151"/>
                <w:sz w:val="21"/>
                <w:szCs w:val="21"/>
              </w:rPr>
              <w:t xml:space="preserve"/>
            </w:r>
          </w:p>
          <w:p>
            <w:pPr>
              <w:spacing w:after="60" w:before="60"/>
            </w:pPr>
            <w:r>
              <w:rPr>
                <w:rFonts w:ascii="Arial" w:cs="Arial" w:eastAsia="Arial" w:hAnsi="Arial"/>
                <w:color w:val="374151"/>
                <w:sz w:val="21"/>
                <w:szCs w:val="21"/>
              </w:rPr>
              <w:t xml:space="preserve">    tamaño = 8% × (ATR_medio_30d / ATR_actual_14p)</w:t>
            </w:r>
          </w:p>
          <w:p>
            <w:pPr>
              <w:spacing w:after="60" w:before="60"/>
            </w:pPr>
            <w:r>
              <w:rPr>
                <w:rFonts w:ascii="Arial" w:cs="Arial" w:eastAsia="Arial" w:hAnsi="Arial"/>
                <w:color w:val="374151"/>
                <w:sz w:val="21"/>
                <w:szCs w:val="21"/>
              </w:rPr>
              <w:t xml:space="preserve"/>
            </w:r>
          </w:p>
          <w:p>
            <w:pPr>
              <w:spacing w:after="60" w:before="60"/>
            </w:pPr>
            <w:r>
              <w:rPr>
                <w:rFonts w:ascii="Arial" w:cs="Arial" w:eastAsia="Arial" w:hAnsi="Arial"/>
                <w:color w:val="374151"/>
                <w:sz w:val="21"/>
                <w:szCs w:val="21"/>
              </w:rPr>
              <w:t xml:space="preserve">Si el ATR actual es superior a la media histórica de 30 días, el mercado está más volátil de lo normal y el agente reduce automáticamente el tamaño. Si el ATR actual es inferior, el mercado está más tranquilo y el tamaño aumenta ligeramente. El resultado se aplica con un techo del 10% y un suelo del 4% del capital asignado a esta estrategia.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CD34D" w:sz="4"/>
              <w:bottom w:val="single" w:color="FCD34D" w:sz="4"/>
              <w:right w:val="single" w:color="FCD34D" w:sz="4"/>
            </w:tcBorders>
            <w:shd w:fill="FEF3C7"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Por qué se eliminó el ajuste por racha de resultados: </w:t>
            </w:r>
            <w:r>
              <w:rPr>
                <w:rFonts w:ascii="Arial" w:cs="Arial" w:eastAsia="Arial" w:hAnsi="Arial"/>
                <w:color w:val="374151"/>
                <w:sz w:val="21"/>
                <w:szCs w:val="21"/>
              </w:rPr>
              <w:t xml:space="preserve">Aumentar el tamaño tras una racha ganadora o reducirlo tras pérdidas consecutivas no tiene base estadística en crypto. Las rachas de resultados reflejan condiciones de mercado, no capacidad predictiva del agente. Ajustar el sizing por racha introduce el error del jugador: asumir correlación entre operaciones que son estadísticamente independientes. El ajuste por volatilidad relativa sí tiene base — cuando el mercado se mueve más de lo habitual, el riesgo real por unidad de posición aumenta independientemente del historial reciente.</w:t>
            </w:r>
          </w:p>
        </w:tc>
      </w:tr>
    </w:tbl>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Condiciones donde esta estrategia no opera</w:t>
      </w:r>
    </w:p>
    <w:p>
      <w:pPr>
        <w:spacing w:after="80" w:before="80"/>
      </w:pPr>
      <w:r>
        <w:rPr>
          <w:rFonts w:ascii="Arial" w:cs="Arial" w:eastAsia="Arial" w:hAnsi="Arial"/>
          <w:color w:val="374151"/>
          <w:sz w:val="22"/>
          <w:szCs w:val="22"/>
        </w:rPr>
        <w:t xml:space="preserve">Estas condiciones son adicionales a los filtros del proceso de evaluación. Si cualquiera de ellas se cumple, el agente no abre posiciones nuevas en ese par, independientemente de que el setup parezca válido.</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El par ha tenido 3 o más pérdidas consecutivas en los últimos 10 días. Esto no activa una pausa de tiempo fijo — activa una revisión de si el régimen del par ha cambiado. Si el ATR del par sigue por encima del percentil 25, el par puede seguir siendo evaluado pero con tamaño reducido al 50% hasta que se registre una operación ganadora.</w:t>
      </w:r>
    </w:p>
    <w:p>
      <w:pPr>
        <w:pStyle w:val="ListParagraph"/>
        <w:numPr>
          <w:ilvl w:val="0"/>
          <w:numId w:val="2"/>
        </w:numPr>
        <w:spacing w:after="60" w:before="60"/>
      </w:pPr>
      <w:r>
        <w:rPr>
          <w:rFonts w:ascii="Arial" w:cs="Arial" w:eastAsia="Arial" w:hAnsi="Arial"/>
          <w:color w:val="374151"/>
          <w:sz w:val="22"/>
          <w:szCs w:val="22"/>
        </w:rPr>
        <w:t xml:space="preserve">Hay una divergencia bajista confirmada: precio haciendo nuevos máximos mientras el RSI hace máximos decrecientes durante 3 o más velas. El precio miente cuando el momentum interno lo contradice.</w:t>
      </w:r>
    </w:p>
    <w:p>
      <w:pPr>
        <w:pStyle w:val="ListParagraph"/>
        <w:numPr>
          <w:ilvl w:val="0"/>
          <w:numId w:val="2"/>
        </w:numPr>
        <w:spacing w:after="60" w:before="60"/>
      </w:pPr>
      <w:r>
        <w:rPr>
          <w:rFonts w:ascii="Arial" w:cs="Arial" w:eastAsia="Arial" w:hAnsi="Arial"/>
          <w:color w:val="374151"/>
          <w:sz w:val="22"/>
          <w:szCs w:val="22"/>
        </w:rPr>
        <w:t xml:space="preserve">El volumen ajustado de las últimas 3 velas es inferior al 70% de la media del grupo horario correspondiente en todas ellas. El mercado está dormido y los movimientos no son confiables.</w:t>
      </w:r>
    </w:p>
    <w:p>
      <w:pPr>
        <w:pStyle w:val="ListParagraph"/>
        <w:numPr>
          <w:ilvl w:val="0"/>
          <w:numId w:val="2"/>
        </w:numPr>
        <w:spacing w:after="60" w:before="60"/>
      </w:pPr>
      <w:r>
        <w:rPr>
          <w:rFonts w:ascii="Arial" w:cs="Arial" w:eastAsia="Arial" w:hAnsi="Arial"/>
          <w:color w:val="374151"/>
          <w:sz w:val="22"/>
          <w:szCs w:val="22"/>
        </w:rPr>
        <w:t xml:space="preserve">BTC está en caída libre — vela 4H bajista mayor al 5% en las últimas 4 horas. Aunque el filtro de régimen debería haberlo detectado, esta condición adicional actúa como capa de seguridad frente a eventos sistémicos de alta velocidad.</w:t>
      </w:r>
    </w:p>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Lo que el agente debe considerar adicionalmente</w:t>
      </w:r>
    </w:p>
    <w:p>
      <w:pPr>
        <w:spacing w:after="80" w:before="80"/>
      </w:pPr>
      <w:r>
        <w:rPr>
          <w:rFonts w:ascii="Arial" w:cs="Arial" w:eastAsia="Arial" w:hAnsi="Arial"/>
          <w:color w:val="374151"/>
          <w:sz w:val="22"/>
          <w:szCs w:val="22"/>
        </w:rPr>
        <w:t xml:space="preserve">El contexto del mercado general siempre importa. Si BTC está en tendencia bajista fuerte (precio bajo su EMA200 en 4H), casi ningún altcoin va a sostener momentum alcista independiente durante más de 1-2 sesiones. El agente debe evaluar la correlación histórica de cada par con BTC en los últimos 30 días. Los pares con correlación superior al 0.75 en ese periodo se tratan con tamaño reducido al 50% cuando BTC es bajista. Los pares con correlación históricamente baja pueden evaluarse con tamaño normal, pero con el trailing stop ajustado a 1.2 ATR en lugar de 1.5 para proteger beneficios antes.</w:t>
      </w:r>
    </w:p>
    <w:p>
      <w:pPr>
        <w:spacing w:after="60" w:before="60"/>
      </w:pPr>
      <w:r>
        <w:t xml:space="preserve"/>
      </w:r>
    </w:p>
    <w:p>
      <w:pPr>
        <w:spacing w:after="80" w:before="80"/>
      </w:pPr>
      <w:r>
        <w:rPr>
          <w:rFonts w:ascii="Arial" w:cs="Arial" w:eastAsia="Arial" w:hAnsi="Arial"/>
          <w:color w:val="374151"/>
          <w:sz w:val="22"/>
          <w:szCs w:val="22"/>
        </w:rPr>
        <w:t xml:space="preserve">El agente no adapta su comportamiento en función de su historial de resultados recientes. La consistencia en la ejecución de las reglas vale más que cualquier ajuste discrecional basado en rachas. Un agente que empieza a saltarse filtros porque lleva una buena racha está a una operación de distancia de un drawdown significativo.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ECFDF5" w:val="clear"/>
            <w:tcMar>
              <w:top w:type="dxa" w:w="160"/>
              <w:left w:type="dxa" w:w="200"/>
              <w:bottom w:type="dxa" w:w="160"/>
              <w:right w:type="dxa" w:w="200"/>
            </w:tcMar>
          </w:tcPr>
          <w:p>
            <w:pPr>
              <w:spacing w:after="60" w:before="0"/>
            </w:pPr>
            <w:r>
              <w:rPr>
                <w:rFonts w:ascii="Arial" w:cs="Arial" w:eastAsia="Arial" w:hAnsi="Arial"/>
                <w:b/>
                <w:bCs/>
                <w:color w:val="1E3A5F"/>
                <w:sz w:val="21"/>
                <w:szCs w:val="21"/>
              </w:rPr>
              <w:t xml:space="preserve">Nota sobre correlación altcoin-BTC: </w:t>
            </w:r>
            <w:r>
              <w:rPr>
                <w:rFonts w:ascii="Arial" w:cs="Arial" w:eastAsia="Arial" w:hAnsi="Arial"/>
                <w:color w:val="374151"/>
                <w:sz w:val="21"/>
                <w:szCs w:val="21"/>
              </w:rPr>
              <w:t xml:space="preserve">En crypto, la correlación entre BTC y los principales altcoins tiende a aumentar en entornos de pánico o tendencia bajista fuerte. Es decir, los altcoins se independizan en movimientos alcistas pero se sincronizan en los bajistas. El agente debe recalcular la correlación con BTC semanalmente para mantener el ajuste de sizing actualizado.</w:t>
            </w:r>
          </w:p>
        </w:tc>
      </w:tr>
    </w:tbl>
    <w:p>
      <w:pPr>
        <w:spacing w:after="60" w:before="60"/>
      </w:pPr>
      <w:r>
        <w:t xml:space="preserve"/>
      </w:r>
    </w:p>
    <w:p>
      <w:pPr>
        <w:spacing w:after="60" w:before="60"/>
      </w:pPr>
      <w:r>
        <w:t xml:space="preserve"/>
      </w:r>
    </w:p>
    <w:p>
      <w:pPr>
        <w:pStyle w:val="Heading1"/>
        <w:pBdr>
          <w:bottom w:val="single" w:color="1A56DB" w:sz="6" w:space="4"/>
        </w:pBdr>
        <w:spacing w:after="200" w:before="400"/>
      </w:pPr>
      <w:r>
        <w:rPr>
          <w:rFonts w:ascii="Arial" w:cs="Arial" w:eastAsia="Arial" w:hAnsi="Arial"/>
          <w:b/>
          <w:bCs/>
          <w:color w:val="111827"/>
          <w:sz w:val="32"/>
          <w:szCs w:val="32"/>
        </w:rPr>
        <w:t xml:space="preserve">Resumen de cambios respecto a la versión inicial</w:t>
      </w:r>
    </w:p>
    <w:p>
      <w:pPr>
        <w:spacing w:after="80" w:before="80"/>
      </w:pPr>
      <w:r>
        <w:rPr>
          <w:rFonts w:ascii="Arial" w:cs="Arial" w:eastAsia="Arial" w:hAnsi="Arial"/>
          <w:color w:val="374151"/>
          <w:sz w:val="22"/>
          <w:szCs w:val="22"/>
        </w:rPr>
        <w:t xml:space="preserve">Esta sección documenta las diferencias entre la especificación original de la estrategia y la versión actual, para facilitar el tracking de versiones en el sistema.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4"/>
              <w:left w:val="single" w:color="BFDBFE" w:sz="4"/>
              <w:bottom w:val="single" w:color="BFDBFE" w:sz="4"/>
              <w:right w:val="single" w:color="BFDBFE" w:sz="4"/>
            </w:tcBorders>
            <w:shd w:fill="1A56DB" w:val="clear"/>
            <w:tcMar>
              <w:top w:type="dxa" w:w="120"/>
              <w:left w:type="dxa" w:w="160"/>
              <w:bottom w:type="dxa" w:w="120"/>
              <w:right w:type="dxa" w:w="160"/>
            </w:tcMar>
          </w:tcPr>
          <w:p>
            <w:r>
              <w:rPr>
                <w:rFonts w:ascii="Arial" w:cs="Arial" w:eastAsia="Arial" w:hAnsi="Arial"/>
                <w:b/>
                <w:bCs/>
                <w:color w:val="FFFFFF"/>
                <w:sz w:val="21"/>
                <w:szCs w:val="21"/>
              </w:rPr>
              <w:t xml:space="preserve">Especificación original</w:t>
            </w:r>
          </w:p>
        </w:tc>
        <w:tc>
          <w:tcPr>
            <w:tcW w:type="dxa" w:w="4680"/>
            <w:tcBorders>
              <w:top w:val="single" w:color="BFDBFE" w:sz="4"/>
              <w:left w:val="single" w:color="BFDBFE" w:sz="4"/>
              <w:bottom w:val="single" w:color="BFDBFE" w:sz="4"/>
              <w:right w:val="single" w:color="BFDBFE" w:sz="4"/>
            </w:tcBorders>
            <w:shd w:fill="1A56DB" w:val="clear"/>
            <w:tcMar>
              <w:top w:type="dxa" w:w="120"/>
              <w:left w:type="dxa" w:w="160"/>
              <w:bottom w:type="dxa" w:w="120"/>
              <w:right w:type="dxa" w:w="160"/>
            </w:tcMar>
          </w:tcPr>
          <w:p>
            <w:r>
              <w:rPr>
                <w:rFonts w:ascii="Arial" w:cs="Arial" w:eastAsia="Arial" w:hAnsi="Arial"/>
                <w:b/>
                <w:bCs/>
                <w:color w:val="FFFFFF"/>
                <w:sz w:val="21"/>
                <w:szCs w:val="21"/>
              </w:rPr>
              <w:t xml:space="preserve">Especificación actualizada</w:t>
            </w:r>
          </w:p>
        </w:tc>
      </w:tr>
      <w:tr>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b/>
                <w:bCs/>
                <w:color w:val="1E3A5F"/>
                <w:sz w:val="21"/>
                <w:szCs w:val="21"/>
              </w:rPr>
              <w:t xml:space="preserve">Filtro RSI por nivel (45-68)</w:t>
            </w:r>
          </w:p>
        </w:tc>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color w:val="374151"/>
                <w:sz w:val="21"/>
                <w:szCs w:val="21"/>
              </w:rPr>
              <w:t xml:space="preserve">Reemplazado por filtro de pendiente positiva en 3 velas. El nivel es arbitrario y elimina entradas válidas en tendencias fuertes.</w:t>
            </w:r>
          </w:p>
        </w:tc>
      </w:tr>
      <w:tr>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Volumen vs media plana 20 velas</w:t>
            </w:r>
          </w:p>
        </w:tc>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Reemplazado por volumen vs media ajustada por franja horaria (30d). Elimina el sesgo circadiano de crypto 24/7.</w:t>
            </w:r>
          </w:p>
        </w:tc>
      </w:tr>
      <w:tr>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b/>
                <w:bCs/>
                <w:color w:val="1E3A5F"/>
                <w:sz w:val="21"/>
                <w:szCs w:val="21"/>
              </w:rPr>
              <w:t xml:space="preserve">Trailing stop sin regla determinista</w:t>
            </w:r>
          </w:p>
        </w:tc>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color w:val="374151"/>
                <w:sz w:val="21"/>
                <w:szCs w:val="21"/>
              </w:rPr>
              <w:t xml:space="preserve">Definida regla exacta: mover stop solo si (precio - 1.5 ATR) &gt; stop actual. Sin discrecionalidad.</w:t>
            </w:r>
          </w:p>
        </w:tc>
      </w:tr>
      <w:tr>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Sizing +/-2% por racha de resultados</w:t>
            </w:r>
          </w:p>
        </w:tc>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Eliminado. Reemplazado por ajuste proporcional a volatilidad relativa (ATR_hist / ATR_actual).</w:t>
            </w:r>
          </w:p>
        </w:tc>
      </w:tr>
      <w:tr>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b/>
                <w:bCs/>
                <w:color w:val="1E3A5F"/>
                <w:sz w:val="21"/>
                <w:szCs w:val="21"/>
              </w:rPr>
              <w:t xml:space="preserve">Pausa 24H por 3 pérdidas consecutivas</w:t>
            </w:r>
          </w:p>
        </w:tc>
        <w:tc>
          <w:tcPr>
            <w:tcW w:type="dxa" w:w="4680"/>
            <w:tcBorders>
              <w:top w:val="single" w:color="BFDBFE" w:sz="4"/>
              <w:left w:val="single" w:color="BFDBFE" w:sz="4"/>
              <w:bottom w:val="single" w:color="BFDBFE" w:sz="4"/>
              <w:right w:val="single" w:color="BFDBFE" w:sz="4"/>
            </w:tcBorders>
            <w:shd w:fill="F0F7FF" w:val="clear"/>
            <w:tcMar>
              <w:top w:type="dxa" w:w="100"/>
              <w:left w:type="dxa" w:w="160"/>
              <w:bottom w:type="dxa" w:w="100"/>
              <w:right w:type="dxa" w:w="160"/>
            </w:tcMar>
          </w:tcPr>
          <w:p>
            <w:r>
              <w:rPr>
                <w:rFonts w:ascii="Arial" w:cs="Arial" w:eastAsia="Arial" w:hAnsi="Arial"/>
                <w:color w:val="374151"/>
                <w:sz w:val="21"/>
                <w:szCs w:val="21"/>
              </w:rPr>
              <w:t xml:space="preserve">Reemplazado por filtro de régimen ATR percentil 25. Detecta condiciones adversas antes de perder, no después.</w:t>
            </w:r>
          </w:p>
        </w:tc>
      </w:tr>
      <w:tr>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Sin referencia a otras estrategias</w:t>
            </w:r>
          </w:p>
        </w:tc>
        <w:tc>
          <w:tcPr>
            <w:tcW w:type="dxa" w:w="4680"/>
            <w:tcBorders>
              <w:top w:val="single" w:color="BFDBFE" w:sz="4"/>
              <w:left w:val="single" w:color="BFDBFE" w:sz="4"/>
              <w:bottom w:val="single" w:color="BFDBFE" w:sz="4"/>
              <w:right w:val="single" w:color="BFDBFE" w:sz="4"/>
            </w:tcBorders>
            <w:shd w:fill="FFFFFF" w:val="clear"/>
            <w:tcMar>
              <w:top w:type="dxa" w:w="100"/>
              <w:left w:type="dxa" w:w="160"/>
              <w:bottom w:type="dxa" w:w="100"/>
              <w:right w:type="dxa" w:w="160"/>
            </w:tcMar>
          </w:tcPr>
          <w:p>
            <w:r>
              <w:rPr>
                <w:rFonts w:ascii="Arial" w:cs="Arial" w:eastAsia="Arial" w:hAnsi="Arial"/>
                <w:color w:val="374151"/>
                <w:sz w:val="21"/>
                <w:szCs w:val="21"/>
              </w:rPr>
              <w:t xml:space="preserve">Añadida sección de posición dentro del sistema de tres estrategias y gestión de capital independiente.</w:t>
            </w:r>
          </w:p>
        </w:tc>
      </w:tr>
    </w:tbl>
    <w:p>
      <w:pPr>
        <w:spacing w:after="60" w:before="60"/>
      </w:pPr>
      <w:r>
        <w:t xml:space="preserve"/>
      </w:r>
    </w:p>
    <w:p>
      <w:pPr>
        <w:spacing w:after="60" w:before="60"/>
      </w:pPr>
      <w:r>
        <w:t xml:space="preserve"/>
      </w:r>
    </w:p>
    <w:p>
      <w:pPr>
        <w:pBdr>
          <w:top w:val="single" w:color="D1D5DB" w:sz="4" w:space="4"/>
        </w:pBdr>
        <w:spacing w:after="80" w:before="400"/>
      </w:pPr>
      <w:r>
        <w:rPr>
          <w:rFonts w:ascii="Arial" w:cs="Arial" w:eastAsia="Arial" w:hAnsi="Arial"/>
          <w:color w:val="9CA3AF"/>
          <w:sz w:val="18"/>
          <w:szCs w:val="18"/>
        </w:rPr>
        <w:t xml:space="preserve">Estrategia Alpha — Momentum Rider  ·  v2.0  ·  Sistema Autotrader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2026-03-25T01:12:00.480Z</dcterms:created>
  <dcterms:modified xsi:type="dcterms:W3CDTF">2026-03-25T01:12:00.482Z</dcterms:modified>
</cp:coreProperties>
</file>

<file path=docProps/custom.xml><?xml version="1.0" encoding="utf-8"?>
<Properties xmlns="http://schemas.openxmlformats.org/officeDocument/2006/custom-properties" xmlns:vt="http://schemas.openxmlformats.org/officeDocument/2006/docPropsVTypes"/>
</file>