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18"/>
          <w:szCs w:val="18"/>
        </w:rPr>
        <w:t xml:space="preserve">AUTOTRADER AGENT — KNOWLEDGE BASE</w:t>
      </w:r>
    </w:p>
    <w:p>
      <w:pPr>
        <w:spacing w:after="60" w:before="0"/>
      </w:pPr>
      <w:r>
        <w:rPr>
          <w:rFonts w:ascii="Arial" w:cs="Arial" w:eastAsia="Arial" w:hAnsi="Arial"/>
          <w:b/>
          <w:bCs/>
          <w:color w:val="111827"/>
          <w:sz w:val="44"/>
          <w:szCs w:val="44"/>
        </w:rPr>
        <w:t xml:space="preserve">Estrategia Beta — Range Scalper</w:t>
      </w:r>
    </w:p>
    <w:p>
      <w:pPr>
        <w:spacing w:after="40" w:before="0"/>
      </w:pPr>
      <w:r>
        <w:rPr>
          <w:rFonts w:ascii="Arial" w:cs="Arial" w:eastAsia="Arial" w:hAnsi="Arial"/>
          <w:color w:val="6B7280"/>
          <w:sz w:val="22"/>
          <w:szCs w:val="22"/>
        </w:rPr>
        <w:t xml:space="preserve">Objetivo: explotar consolidaciones laterales mientras la Estrategia Alpha está en pausa</w:t>
      </w:r>
    </w:p>
    <w:p>
      <w:pPr>
        <w:pBdr>
          <w:bottom w:val="single" w:color="0F766E" w:sz="8" w:space="4"/>
        </w:pBdr>
        <w:spacing w:after="400" w:before="120"/>
      </w:pPr>
      <w:r>
        <w:t xml:space="preserve"/>
      </w:r>
    </w:p>
    <w:p>
      <w:pPr>
        <w:pStyle w:val="Heading2"/>
        <w:spacing w:after="160" w:before="320"/>
      </w:pPr>
      <w:r>
        <w:rPr>
          <w:rFonts w:ascii="Arial" w:cs="Arial" w:eastAsia="Arial" w:hAnsi="Arial"/>
          <w:b/>
          <w:bCs/>
          <w:color w:val="0F766E"/>
          <w:sz w:val="26"/>
          <w:szCs w:val="26"/>
        </w:rPr>
        <w:t xml:space="preserve">Posición dentro del sistema de tres estrategias</w:t>
      </w:r>
    </w:p>
    <w:p>
      <w:pPr>
        <w:spacing w:after="80" w:before="80"/>
      </w:pPr>
      <w:r>
        <w:rPr>
          <w:rFonts w:ascii="Arial" w:cs="Arial" w:eastAsia="Arial" w:hAnsi="Arial"/>
          <w:color w:val="374151"/>
          <w:sz w:val="22"/>
          <w:szCs w:val="22"/>
        </w:rPr>
        <w:t xml:space="preserve">Este agente opera dentro de un sistema de tres estrategias independientes, cada una con un objetivo y unas condiciones de mercado distintos. La Estrategia Beta — Range Scalper cubre el objetivo de generar rendimiento durante los periodos de consolidación lateral donde la Estrategia Alpha no opera.</w:t>
      </w:r>
    </w:p>
    <w:p>
      <w:pPr>
        <w:spacing w:after="60" w:before="60"/>
      </w:pPr>
      <w:r>
        <w:t xml:space="preserve"/>
      </w:r>
    </w:p>
    <w:p>
      <w:pPr>
        <w:spacing w:after="80" w:before="80"/>
      </w:pPr>
      <w:r>
        <w:rPr>
          <w:rFonts w:ascii="Arial" w:cs="Arial" w:eastAsia="Arial" w:hAnsi="Arial"/>
          <w:color w:val="374151"/>
          <w:sz w:val="22"/>
          <w:szCs w:val="22"/>
        </w:rPr>
        <w:t xml:space="preserve">La complementariedad entre Alpha y Beta no es casual: Alpha requiere tendencia confirmada y abandona el par cuando el mercado entra en rango. Beta necesita exactamente ese entorno. Sin embargo, son agentes independientes — el capital, las métricas de rendimiento y las reglas de gestión de riesgo de cada uno no interfieren entre sí. Una pérdida en Beta no afecta al sizing de Alpha y viceversa.</w:t>
      </w:r>
    </w:p>
    <w:p>
      <w:pPr>
        <w:spacing w:after="60" w:before="60"/>
      </w:pPr>
      <w:r>
        <w:t xml:space="preserve"/>
      </w:r>
    </w:p>
    <w:p>
      <w:pPr>
        <w:spacing w:after="80" w:before="80"/>
      </w:pPr>
      <w:r>
        <w:rPr>
          <w:rFonts w:ascii="Arial" w:cs="Arial" w:eastAsia="Arial" w:hAnsi="Arial"/>
          <w:color w:val="374151"/>
          <w:sz w:val="22"/>
          <w:szCs w:val="22"/>
        </w:rPr>
        <w:t xml:space="preserve">El capital asignado a Beta es independiente del capital de las otras dos estrategias. Las métricas de rendimiento y las pausas de par se evalúan exclusivamente dentro de esta estrategia.</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Filosofía</w:t>
      </w:r>
    </w:p>
    <w:p>
      <w:pPr>
        <w:spacing w:after="80" w:before="80"/>
      </w:pPr>
      <w:r>
        <w:rPr>
          <w:rFonts w:ascii="Arial" w:cs="Arial" w:eastAsia="Arial" w:hAnsi="Arial"/>
          <w:color w:val="374151"/>
          <w:sz w:val="22"/>
          <w:szCs w:val="22"/>
        </w:rPr>
        <w:t xml:space="preserve">Los mercados no están en tendencia el 100% del tiempo. Los estudios de estructura de mercado en crypto sugieren que los mercados pasan entre el 60% y el 70% del tiempo en consolidación lateral. La mayoría de estrategias de tendencia pierden capital durante esos periodos. La Estrategia Beta existe para ser rentable exactamente cuando la Alpha está en pausa.</w:t>
      </w:r>
    </w:p>
    <w:p>
      <w:pPr>
        <w:spacing w:after="60" w:before="60"/>
      </w:pPr>
      <w:r>
        <w:t xml:space="preserve"/>
      </w:r>
    </w:p>
    <w:p>
      <w:pPr>
        <w:spacing w:after="80" w:before="80"/>
      </w:pPr>
      <w:r>
        <w:rPr>
          <w:rFonts w:ascii="Arial" w:cs="Arial" w:eastAsia="Arial" w:hAnsi="Arial"/>
          <w:color w:val="374151"/>
          <w:sz w:val="22"/>
          <w:szCs w:val="22"/>
        </w:rPr>
        <w:t xml:space="preserve">El Range Scalper opera sobre una realidad simple: el precio tiene memoria. Cuando un activo ha rebotado múltiples veces en el mismo nivel de precio, ese nivel es relevante. Los compradores aparecen ahí. Cuando ha encontrado vendedores repetidamente en otro nivel, esos vendedores siguen ahí. El agente opera la física del mercado — compra donde históricamente hay demanda y vende donde históricamente hay oferta.</w:t>
      </w:r>
    </w:p>
    <w:p>
      <w:pPr>
        <w:spacing w:after="60" w:before="60"/>
      </w:pPr>
      <w:r>
        <w:t xml:space="preserve"/>
      </w:r>
    </w:p>
    <w:p>
      <w:pPr>
        <w:spacing w:after="80" w:before="80"/>
      </w:pPr>
      <w:r>
        <w:rPr>
          <w:rFonts w:ascii="Arial" w:cs="Arial" w:eastAsia="Arial" w:hAnsi="Arial"/>
          <w:color w:val="374151"/>
          <w:sz w:val="22"/>
          <w:szCs w:val="22"/>
        </w:rPr>
        <w:t xml:space="preserve">Esta estrategia requiere más operaciones que la Alpha pero con beneficios por operación menores. La consistencia viene del volumen de trades acertados, no del tamaño de los movimientos capturados. Un agente Range Scalper que gana el 65% de sus operaciones con ratio riesgo/beneficio de 1:1.5 es un negocio sólido a largo plazo. La paciencia aquí no consiste en esperar una tendencia perfecta — consiste en esperar que el precio llegue a los extremos del rango donde la probabilidad está a nuestro favor.</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Condiciones de mercado objetivo</w:t>
      </w:r>
    </w:p>
    <w:p>
      <w:pPr>
        <w:spacing w:after="80" w:before="80"/>
      </w:pPr>
      <w:r>
        <w:rPr>
          <w:rFonts w:ascii="Arial" w:cs="Arial" w:eastAsia="Arial" w:hAnsi="Arial"/>
          <w:color w:val="374151"/>
          <w:sz w:val="22"/>
          <w:szCs w:val="22"/>
        </w:rPr>
        <w:t xml:space="preserve">El mercado ideal es aquel donde el precio lleva al menos 10 velas 4H — aproximadamente 40 horas — rebotando entre dos niveles sin romper ninguno con claridad. El rango debe tener una amplitud mínima del 3% entre soporte y resistencia para que haya beneficio potencial después de cubrir el spread y el riesgo. Rangos menores al 3% tienen demasiado ruido relativo.</w:t>
      </w:r>
    </w:p>
    <w:p>
      <w:pPr>
        <w:spacing w:after="60" w:before="60"/>
      </w:pPr>
      <w:r>
        <w:t xml:space="preserve"/>
      </w:r>
    </w:p>
    <w:p>
      <w:pPr>
        <w:spacing w:after="80" w:before="80"/>
      </w:pPr>
      <w:r>
        <w:rPr>
          <w:rFonts w:ascii="Arial" w:cs="Arial" w:eastAsia="Arial" w:hAnsi="Arial"/>
          <w:color w:val="374151"/>
          <w:sz w:val="22"/>
          <w:szCs w:val="22"/>
        </w:rPr>
        <w:t xml:space="preserve">El precio debe haber tocado el soporte al menos dos veces y la resistencia al menos dos veces para que el rango esté validado. Un solo toque no es un nivel — es una coincidencia.</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Identificación del rango</w:t>
      </w:r>
    </w:p>
    <w:p>
      <w:pPr>
        <w:spacing w:after="80" w:before="80"/>
      </w:pPr>
      <w:r>
        <w:rPr>
          <w:rFonts w:ascii="Arial" w:cs="Arial" w:eastAsia="Arial" w:hAnsi="Arial"/>
          <w:color w:val="374151"/>
          <w:sz w:val="22"/>
          <w:szCs w:val="22"/>
        </w:rPr>
        <w:t xml:space="preserve">La identificación correcta del rango es la base de todo lo demás. Un rango mal definido produce entradas en niveles sin validez real.</w:t>
      </w:r>
    </w:p>
    <w:p>
      <w:pPr>
        <w:spacing w:after="60" w:before="60"/>
      </w:pPr>
      <w:r>
        <w:t xml:space="preserve"/>
      </w:r>
    </w:p>
    <w:p>
      <w:pPr>
        <w:pStyle w:val="Heading2"/>
        <w:spacing w:after="160" w:before="320"/>
      </w:pPr>
      <w:r>
        <w:rPr>
          <w:rFonts w:ascii="Arial" w:cs="Arial" w:eastAsia="Arial" w:hAnsi="Arial"/>
          <w:b/>
          <w:bCs/>
          <w:color w:val="0F766E"/>
          <w:sz w:val="26"/>
          <w:szCs w:val="26"/>
        </w:rPr>
        <w:t xml:space="preserve">Definición de soporte y resistencia</w:t>
      </w:r>
    </w:p>
    <w:p>
      <w:pPr>
        <w:spacing w:after="80" w:before="80"/>
      </w:pPr>
      <w:r>
        <w:rPr>
          <w:rFonts w:ascii="Arial" w:cs="Arial" w:eastAsia="Arial" w:hAnsi="Arial"/>
          <w:color w:val="374151"/>
          <w:sz w:val="22"/>
          <w:szCs w:val="22"/>
        </w:rPr>
        <w:t xml:space="preserve">El soporte es el nivel de precio donde el activo ha encontrado compradores en al menos dos ocasiones recientes, formando mínimos en zonas similares. La zona de soporte tiene una anchura adaptativa de ±(0.3 × ATR_14p) alrededor del mínimo más relevante. Esta amplitud se recalcula cada vez que se evalúa el rango — no se fija en el momento de identificarlo — porque la volatilidad del par puede cambiar durante la vida del rango.</w:t>
      </w:r>
    </w:p>
    <w:p>
      <w:pPr>
        <w:spacing w:after="60" w:before="60"/>
      </w:pPr>
      <w:r>
        <w:t xml:space="preserve"/>
      </w:r>
    </w:p>
    <w:p>
      <w:pPr>
        <w:spacing w:after="80" w:before="80"/>
      </w:pPr>
      <w:r>
        <w:rPr>
          <w:rFonts w:ascii="Arial" w:cs="Arial" w:eastAsia="Arial" w:hAnsi="Arial"/>
          <w:color w:val="374151"/>
          <w:sz w:val="22"/>
          <w:szCs w:val="22"/>
        </w:rPr>
        <w:t xml:space="preserve">La resistencia es el nivel donde el activo ha encontrado vendedores en al menos dos ocasiones, formando máximos en zonas similares. La zona de resistencia tiene la misma anchura adaptativa.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99F6E4" w:sz="4"/>
              <w:bottom w:val="single" w:color="99F6E4" w:sz="4"/>
              <w:right w:val="single" w:color="99F6E4" w:sz="4"/>
            </w:tcBorders>
            <w:shd w:fill="F0FDFA"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Por qué zona adaptativa en lugar de ±0.5% fijo: </w:t>
            </w:r>
            <w:r>
              <w:rPr>
                <w:rFonts w:ascii="Arial" w:cs="Arial" w:eastAsia="Arial" w:hAnsi="Arial"/>
                <w:color w:val="374151"/>
                <w:sz w:val="21"/>
                <w:szCs w:val="21"/>
              </w:rPr>
              <w:t xml:space="preserve">Un margen fijo del 0.5% es insuficiente para altcoins de mediana y baja capitalización, donde la microestructura tiene rangos más amplios y los órdenes institucionales están distribuidos en una banda más ancha. Usar ±(0.3 × ATR) se adapta automáticamente a la volatilidad de cada par sin necesidad de calibrar por activo.</w:t>
            </w:r>
          </w:p>
        </w:tc>
      </w:tr>
    </w:tbl>
    <w:p>
      <w:pPr>
        <w:spacing w:after="60" w:before="60"/>
      </w:pPr>
      <w:r>
        <w:t xml:space="preserve"/>
      </w:r>
    </w:p>
    <w:p>
      <w:pPr>
        <w:pStyle w:val="Heading2"/>
        <w:spacing w:after="160" w:before="320"/>
      </w:pPr>
      <w:r>
        <w:rPr>
          <w:rFonts w:ascii="Arial" w:cs="Arial" w:eastAsia="Arial" w:hAnsi="Arial"/>
          <w:b/>
          <w:bCs/>
          <w:color w:val="0F766E"/>
          <w:sz w:val="26"/>
          <w:szCs w:val="26"/>
        </w:rPr>
        <w:t xml:space="preserve">Validez del rango</w:t>
      </w:r>
    </w:p>
    <w:p>
      <w:pPr>
        <w:spacing w:after="80" w:before="80"/>
      </w:pPr>
      <w:r>
        <w:rPr>
          <w:rFonts w:ascii="Arial" w:cs="Arial" w:eastAsia="Arial" w:hAnsi="Arial"/>
          <w:color w:val="374151"/>
          <w:sz w:val="22"/>
          <w:szCs w:val="22"/>
        </w:rPr>
        <w:t xml:space="preserve">El rango es válido mientras el precio no cierre una vela 4H más del 1.5% por fuera de cualquiera de los dos extremos. Si eso ocurre, el rango se invalida. El agente sale del modo espera no por tiempo transcurrido sino cuando se cumple una nueva condición de doble toque en niveles distintos — lo que confirma que se ha formado un nuevo rango válido. No existe una espera de tiempo fijo tras un breakout.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4"/>
              <w:bottom w:val="single" w:color="FCD34D" w:sz="4"/>
              <w:right w:val="single" w:color="FCD34D" w:sz="4"/>
            </w:tcBorders>
            <w:shd w:fill="FEF3C7"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Por qué no hay espera de tiempo fijo tras un breakout: </w:t>
            </w:r>
            <w:r>
              <w:rPr>
                <w:rFonts w:ascii="Arial" w:cs="Arial" w:eastAsia="Arial" w:hAnsi="Arial"/>
                <w:color w:val="374151"/>
                <w:sz w:val="21"/>
                <w:szCs w:val="21"/>
              </w:rPr>
              <w:t xml:space="preserve">Esperar 12 horas (o cualquier ventana fija) tras la ruptura de un rango no tiene base técnica. Lo que determina si un nuevo rango es válido es la estructura de precio: doble toque confirmado en nuevos niveles. Una espera de tiempo puede hacer que el agente se pierda un rango nuevo válido formado rápidamente, o que entre demasiado pronto en uno que no está consolidado.</w:t>
            </w:r>
          </w:p>
        </w:tc>
      </w:tr>
    </w:tbl>
    <w:p>
      <w:pPr>
        <w:spacing w:after="60" w:before="60"/>
      </w:pPr>
      <w:r>
        <w:t xml:space="preserve"/>
      </w:r>
    </w:p>
    <w:p>
      <w:pPr>
        <w:pStyle w:val="Heading2"/>
        <w:spacing w:after="160" w:before="320"/>
      </w:pPr>
      <w:r>
        <w:rPr>
          <w:rFonts w:ascii="Arial" w:cs="Arial" w:eastAsia="Arial" w:hAnsi="Arial"/>
          <w:b/>
          <w:bCs/>
          <w:color w:val="0F766E"/>
          <w:sz w:val="26"/>
          <w:szCs w:val="26"/>
        </w:rPr>
        <w:t xml:space="preserve">Rango de larga duración — modo breakout</w:t>
      </w:r>
    </w:p>
    <w:p>
      <w:pPr>
        <w:spacing w:after="80" w:before="80"/>
      </w:pPr>
      <w:r>
        <w:rPr>
          <w:rFonts w:ascii="Arial" w:cs="Arial" w:eastAsia="Arial" w:hAnsi="Arial"/>
          <w:color w:val="374151"/>
          <w:sz w:val="22"/>
          <w:szCs w:val="22"/>
        </w:rPr>
        <w:t xml:space="preserve">Cuando el rango lleva más de 15 días sin resolverse, el comportamiento histórico indica que la ruptura cuando llegue tiende a ser violenta. En ese punto el agente no reduce el tamaño de posición de forma genérica — en cambio, activa el modo de monitorización de breakout: prepara una orden de entrada en ambas direcciones (larga si rompe resistencia, corta si rompe soporte) con tamaño del 5% del capital asignado y objetivo del 150% de la amplitud del rango desde el punto de ruptura. Las condiciones de entrada en soporte y resistencia dentro del rango siguen activas con tamaño normal.</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Filtro de régimen previo a cualquier entrada</w:t>
      </w:r>
    </w:p>
    <w:p>
      <w:pPr>
        <w:spacing w:after="80" w:before="80"/>
      </w:pPr>
      <w:r>
        <w:rPr>
          <w:rFonts w:ascii="Arial" w:cs="Arial" w:eastAsia="Arial" w:hAnsi="Arial"/>
          <w:color w:val="374151"/>
          <w:sz w:val="22"/>
          <w:szCs w:val="22"/>
        </w:rPr>
        <w:t xml:space="preserve">Antes de evaluar cualquier setup dentro del rango, el agente verifica que el entorno de mercado sea compatible con esta estrategia. Si cualquiera de estas condiciones falla, no se evalúa nada más.</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ATR actual del par debe ser inferior al doble del ATR medio de las últimas 20 velas 4H. Si el ATR actual lo supera, el mercado está en alta volatilidad y los rangos pierden significado — esta estrategia necesita volatilidad normal o baja.</w:t>
      </w:r>
    </w:p>
    <w:p>
      <w:pPr>
        <w:pStyle w:val="ListParagraph"/>
        <w:numPr>
          <w:ilvl w:val="0"/>
          <w:numId w:val="2"/>
        </w:numPr>
        <w:spacing w:after="60" w:before="60"/>
      </w:pPr>
      <w:r>
        <w:rPr>
          <w:rFonts w:ascii="Arial" w:cs="Arial" w:eastAsia="Arial" w:hAnsi="Arial"/>
          <w:color w:val="374151"/>
          <w:sz w:val="22"/>
          <w:szCs w:val="22"/>
        </w:rPr>
        <w:t xml:space="preserve">BTC no debe estar en un movimiento tendencial fuerte en ninguna dirección. Se considera movimiento tendencial fuerte si BTC ha generado 3 o más velas 4H consecutivas en la misma dirección con cuerpos superiores al 1.5% y volumen creciente. En ese entorno la correlación crypto arrastra a casi todos los activos fuera de sus rangos independientes.</w:t>
      </w:r>
    </w:p>
    <w:p>
      <w:pPr>
        <w:pStyle w:val="ListParagraph"/>
        <w:numPr>
          <w:ilvl w:val="0"/>
          <w:numId w:val="2"/>
        </w:numPr>
        <w:spacing w:after="60" w:before="60"/>
      </w:pPr>
      <w:r>
        <w:rPr>
          <w:rFonts w:ascii="Arial" w:cs="Arial" w:eastAsia="Arial" w:hAnsi="Arial"/>
          <w:color w:val="374151"/>
          <w:sz w:val="22"/>
          <w:szCs w:val="22"/>
        </w:rPr>
        <w:t xml:space="preserve">El volumen general del mercado en el par no debe estar en mínimos de los últimos 7 días. Mercados sin liquidez producen movimientos erráticos que rompen rangos sin razón técnica.</w:t>
      </w:r>
    </w:p>
    <w:p>
      <w:pPr>
        <w:pStyle w:val="ListParagraph"/>
        <w:numPr>
          <w:ilvl w:val="0"/>
          <w:numId w:val="2"/>
        </w:numPr>
        <w:spacing w:after="60" w:before="60"/>
      </w:pPr>
      <w:r>
        <w:rPr>
          <w:rFonts w:ascii="Arial" w:cs="Arial" w:eastAsia="Arial" w:hAnsi="Arial"/>
          <w:color w:val="374151"/>
          <w:sz w:val="22"/>
          <w:szCs w:val="22"/>
        </w:rPr>
        <w:t xml:space="preserve">No debe haber ninguna posición abierta en ese mismo par dentro de esta estrategia. Esta estrategia no añade a posiciones existentes bajo ninguna circunstancia.</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Condiciones de entrada en soporte — posición larga</w:t>
      </w:r>
    </w:p>
    <w:p>
      <w:pPr>
        <w:spacing w:after="80" w:before="80"/>
      </w:pPr>
      <w:r>
        <w:rPr>
          <w:rFonts w:ascii="Arial" w:cs="Arial" w:eastAsia="Arial" w:hAnsi="Arial"/>
          <w:color w:val="374151"/>
          <w:sz w:val="22"/>
          <w:szCs w:val="22"/>
        </w:rPr>
        <w:t xml:space="preserve">Con el filtro de régimen superado y el rango validado, se evalúa si las condiciones de entrada en soporte están alineadas.</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precio debe estar dentro de la zona de soporte definida: entre el nivel de soporte y el nivel de soporte más ±(0.3 × ATR_14p). Si el precio ya rebotó y está en la mitad del rango o más arriba, no hay entrada — la relación riesgo/beneficio no compensa.</w:t>
      </w:r>
    </w:p>
    <w:p>
      <w:pPr>
        <w:pStyle w:val="ListParagraph"/>
        <w:numPr>
          <w:ilvl w:val="0"/>
          <w:numId w:val="2"/>
        </w:numPr>
        <w:spacing w:after="60" w:before="60"/>
      </w:pPr>
      <w:r>
        <w:rPr>
          <w:rFonts w:ascii="Arial" w:cs="Arial" w:eastAsia="Arial" w:hAnsi="Arial"/>
          <w:color w:val="374151"/>
          <w:sz w:val="22"/>
          <w:szCs w:val="22"/>
        </w:rPr>
        <w:t xml:space="preserve">El RSI debe estar por debajo del percentil 30 de sus propios valores en las últimas 20 velas en ese par. Esto reemplaza el umbral fijo de 38, que no se adapta al comportamiento histórico del oscilador en cada rango específico. Lo que importa es que el RSI está en la parte baja de su rango reciente, no que cruce un número concreto.</w:t>
      </w:r>
    </w:p>
    <w:p>
      <w:pPr>
        <w:pStyle w:val="ListParagraph"/>
        <w:numPr>
          <w:ilvl w:val="0"/>
          <w:numId w:val="2"/>
        </w:numPr>
        <w:spacing w:after="60" w:before="60"/>
      </w:pPr>
      <w:r>
        <w:rPr>
          <w:rFonts w:ascii="Arial" w:cs="Arial" w:eastAsia="Arial" w:hAnsi="Arial"/>
          <w:color w:val="374151"/>
          <w:sz w:val="22"/>
          <w:szCs w:val="22"/>
        </w:rPr>
        <w:t xml:space="preserve">El histograma MACD debe ser negativo pero con sus barras siendo progresivamente menos negativas — la presión vendedora se está agotando aunque todavía domine. Si el histograma negativo sigue profundizando, la caída no ha terminado.</w:t>
      </w:r>
    </w:p>
    <w:p>
      <w:pPr>
        <w:pStyle w:val="ListParagraph"/>
        <w:numPr>
          <w:ilvl w:val="0"/>
          <w:numId w:val="2"/>
        </w:numPr>
        <w:spacing w:after="60" w:before="60"/>
      </w:pPr>
      <w:r>
        <w:rPr>
          <w:rFonts w:ascii="Arial" w:cs="Arial" w:eastAsia="Arial" w:hAnsi="Arial"/>
          <w:color w:val="374151"/>
          <w:sz w:val="22"/>
          <w:szCs w:val="22"/>
        </w:rPr>
        <w:t xml:space="preserve">El volumen de la última vela bajista antes de la entrada debe ser inferior al 80% del volumen medio ajustado por franja horaria (media del grupo horario de los últimos 30 días para ese par). Una caída con volumen bajo en el soporte indica que no hay institucionales vendiendo — son tomas de beneficio o stops de posiciones largas, no presión estructural bajista.</w:t>
      </w:r>
    </w:p>
    <w:p>
      <w:pPr>
        <w:pStyle w:val="ListParagraph"/>
        <w:numPr>
          <w:ilvl w:val="0"/>
          <w:numId w:val="2"/>
        </w:numPr>
        <w:spacing w:after="60" w:before="60"/>
      </w:pPr>
      <w:r>
        <w:rPr>
          <w:rFonts w:ascii="Arial" w:cs="Arial" w:eastAsia="Arial" w:hAnsi="Arial"/>
          <w:color w:val="374151"/>
          <w:sz w:val="22"/>
          <w:szCs w:val="22"/>
        </w:rPr>
        <w:t xml:space="preserve">Debe haber al menos una vela de indecisión en la zona de soporte: una doji, un martillo, o una vela con mecha inferior cuya longitud supere al menos el doble del cuerpo. Esto confirma presencia activa de compradores en ese nivel.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99F6E4" w:sz="4"/>
              <w:bottom w:val="single" w:color="99F6E4" w:sz="4"/>
              <w:right w:val="single" w:color="99F6E4" w:sz="4"/>
            </w:tcBorders>
            <w:shd w:fill="F0FDFA"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Por qué RSI percentil 30 en lugar de umbral fijo 38: </w:t>
            </w:r>
            <w:r>
              <w:rPr>
                <w:rFonts w:ascii="Arial" w:cs="Arial" w:eastAsia="Arial" w:hAnsi="Arial"/>
                <w:color w:val="374151"/>
                <w:sz w:val="21"/>
                <w:szCs w:val="21"/>
              </w:rPr>
              <w:t xml:space="preserve">En mercados en rango, el RSI oscila sistemáticamente entre zonas de sobrevendido y sobrecomprado relativas al propio rango. Un umbral fijo de 38 puede ser la posición media del oscilador en un par con baja amplitud de rango, no sobrevendido real. Usar el percentil 30 de los últimos 20 valores del RSI garantiza que el indicador esté genuinamente en la parte baja de su comportamiento reciente, independientemente del nivel absoluto.</w:t>
            </w:r>
          </w:p>
        </w:tc>
      </w:tr>
    </w:tbl>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Condiciones de entrada en resistencia — posición corta</w:t>
      </w:r>
    </w:p>
    <w:p>
      <w:pPr>
        <w:spacing w:after="80" w:before="80"/>
      </w:pPr>
      <w:r>
        <w:rPr>
          <w:rFonts w:ascii="Arial" w:cs="Arial" w:eastAsia="Arial" w:hAnsi="Arial"/>
          <w:color w:val="374151"/>
          <w:sz w:val="22"/>
          <w:szCs w:val="22"/>
        </w:rPr>
        <w:t xml:space="preserve">Exactamente el inverso de las condiciones de entrada en soporte, con la misma lógica adaptativa.</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precio debe estar dentro de la zona de resistencia: entre el nivel de resistencia menos ±(0.3 × ATR_14p) y el nivel de resistencia.</w:t>
      </w:r>
    </w:p>
    <w:p>
      <w:pPr>
        <w:pStyle w:val="ListParagraph"/>
        <w:numPr>
          <w:ilvl w:val="0"/>
          <w:numId w:val="2"/>
        </w:numPr>
        <w:spacing w:after="60" w:before="60"/>
      </w:pPr>
      <w:r>
        <w:rPr>
          <w:rFonts w:ascii="Arial" w:cs="Arial" w:eastAsia="Arial" w:hAnsi="Arial"/>
          <w:color w:val="374151"/>
          <w:sz w:val="22"/>
          <w:szCs w:val="22"/>
        </w:rPr>
        <w:t xml:space="preserve">El RSI debe estar por encima del percentil 70 de sus propios valores en las últimas 20 velas en ese par.</w:t>
      </w:r>
    </w:p>
    <w:p>
      <w:pPr>
        <w:pStyle w:val="ListParagraph"/>
        <w:numPr>
          <w:ilvl w:val="0"/>
          <w:numId w:val="2"/>
        </w:numPr>
        <w:spacing w:after="60" w:before="60"/>
      </w:pPr>
      <w:r>
        <w:rPr>
          <w:rFonts w:ascii="Arial" w:cs="Arial" w:eastAsia="Arial" w:hAnsi="Arial"/>
          <w:color w:val="374151"/>
          <w:sz w:val="22"/>
          <w:szCs w:val="22"/>
        </w:rPr>
        <w:t xml:space="preserve">El histograma MACD debe ser positivo pero con sus barras siendo progresivamente menos positivas — la presión compradora se está agotando.</w:t>
      </w:r>
    </w:p>
    <w:p>
      <w:pPr>
        <w:pStyle w:val="ListParagraph"/>
        <w:numPr>
          <w:ilvl w:val="0"/>
          <w:numId w:val="2"/>
        </w:numPr>
        <w:spacing w:after="60" w:before="60"/>
      </w:pPr>
      <w:r>
        <w:rPr>
          <w:rFonts w:ascii="Arial" w:cs="Arial" w:eastAsia="Arial" w:hAnsi="Arial"/>
          <w:color w:val="374151"/>
          <w:sz w:val="22"/>
          <w:szCs w:val="22"/>
        </w:rPr>
        <w:t xml:space="preserve">El volumen de la última vela alcista antes de la entrada debe ser inferior al 80% del volumen medio ajustado por franja horaria del grupo horario correspondiente.</w:t>
      </w:r>
    </w:p>
    <w:p>
      <w:pPr>
        <w:pStyle w:val="ListParagraph"/>
        <w:numPr>
          <w:ilvl w:val="0"/>
          <w:numId w:val="2"/>
        </w:numPr>
        <w:spacing w:after="60" w:before="60"/>
      </w:pPr>
      <w:r>
        <w:rPr>
          <w:rFonts w:ascii="Arial" w:cs="Arial" w:eastAsia="Arial" w:hAnsi="Arial"/>
          <w:color w:val="374151"/>
          <w:sz w:val="22"/>
          <w:szCs w:val="22"/>
        </w:rPr>
        <w:t xml:space="preserve">Debe haber al menos una vela de indecisión en la zona de resistencia: una doji, una estrella fugaz, o una vela con mecha superior cuya longitud supere al menos el doble del cuerpo.</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Gestión de la operación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F6E4" w:sz="4"/>
              <w:left w:val="single" w:color="99F6E4" w:sz="4"/>
              <w:bottom w:val="single" w:color="99F6E4" w:sz="4"/>
              <w:right w:val="single" w:color="99F6E4" w:sz="4"/>
            </w:tcBorders>
            <w:shd w:fill="0F766E" w:val="clear"/>
            <w:tcMar>
              <w:top w:type="dxa" w:w="120"/>
              <w:left w:type="dxa" w:w="160"/>
              <w:bottom w:type="dxa" w:w="120"/>
              <w:right w:type="dxa" w:w="160"/>
            </w:tcMar>
          </w:tcPr>
          <w:p>
            <w:r>
              <w:rPr>
                <w:rFonts w:ascii="Arial" w:cs="Arial" w:eastAsia="Arial" w:hAnsi="Arial"/>
                <w:b/>
                <w:bCs/>
                <w:color w:val="FFFFFF"/>
                <w:sz w:val="21"/>
                <w:szCs w:val="21"/>
              </w:rPr>
              <w:t xml:space="preserve">Parámetro</w:t>
            </w:r>
          </w:p>
        </w:tc>
        <w:tc>
          <w:tcPr>
            <w:tcW w:type="dxa" w:w="4680"/>
            <w:tcBorders>
              <w:top w:val="single" w:color="99F6E4" w:sz="4"/>
              <w:left w:val="single" w:color="99F6E4" w:sz="4"/>
              <w:bottom w:val="single" w:color="99F6E4" w:sz="4"/>
              <w:right w:val="single" w:color="99F6E4" w:sz="4"/>
            </w:tcBorders>
            <w:shd w:fill="0F766E" w:val="clear"/>
            <w:tcMar>
              <w:top w:type="dxa" w:w="120"/>
              <w:left w:type="dxa" w:w="160"/>
              <w:bottom w:type="dxa" w:w="120"/>
              <w:right w:type="dxa" w:w="160"/>
            </w:tcMar>
          </w:tcPr>
          <w:p>
            <w:r>
              <w:rPr>
                <w:rFonts w:ascii="Arial" w:cs="Arial" w:eastAsia="Arial" w:hAnsi="Arial"/>
                <w:b/>
                <w:bCs/>
                <w:color w:val="FFFFFF"/>
                <w:sz w:val="21"/>
                <w:szCs w:val="21"/>
              </w:rPr>
              <w:t xml:space="preserve">Regla</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Stop loss en compra (soporte)</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Colocado 1.2 veces el ATR_4H por debajo del límite inferior de la zona de soporte. Fórmula: soporte_zona_baja - (1.2 x ATR_14p). Este stop reemplaza el 1% fijo, que no se adapta a la volatilidad del par. En activos con ATR bajo, el 1% fijo es amplio; en activos con ATR alto, el 1% se ejecuta por ruido normal antes de que el precio decida.</w:t>
            </w:r>
          </w:p>
        </w:tc>
      </w:tr>
      <w:tr>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b/>
                <w:bCs/>
                <w:color w:val="134E4A"/>
                <w:sz w:val="21"/>
                <w:szCs w:val="21"/>
              </w:rPr>
              <w:t xml:space="preserve">Stop loss en venta (resistencia)</w:t>
            </w:r>
          </w:p>
        </w:tc>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Colocado 1.2 veces el ATR_4H por encima del límite superior de la zona de resistencia. Fórmula: resistencia_zona_alta + (1.2 x ATR_14p).</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Take profit</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80% de la amplitud del rango desde el punto de entrada. No se intenta capturar el extremo opuesto completo — dejar el último 20% para el siguiente operador reduce el riesgo de inversión anticipada antes de llegar al nivel objetivo.</w:t>
            </w:r>
          </w:p>
        </w:tc>
      </w:tr>
      <w:tr>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b/>
                <w:bCs/>
                <w:color w:val="134E4A"/>
                <w:sz w:val="21"/>
                <w:szCs w:val="21"/>
              </w:rPr>
              <w:t xml:space="preserve">Cierre anticipado</w:t>
            </w:r>
          </w:p>
        </w:tc>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Si el MACD histograma revierte su pendiente con fuerza (barra actual mayor al 150% de la barra anterior en tamaño absoluto) antes de llegar al TP, cerrar el 50% de la posición y mover el stop al breakeven en el resto.</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Sin trailing stop</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Esta estrategia no usa trailing stop. El objetivo es claro (80% del rango) y el precio en mercados laterales tiende a revertir antes de que un trailing stop añada valor. El TP fijo maximiza la tasa de operaciones completadas.</w:t>
            </w:r>
          </w:p>
        </w:tc>
      </w:tr>
    </w:tbl>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Tamaño de posición</w:t>
      </w:r>
    </w:p>
    <w:p>
      <w:pPr>
        <w:spacing w:after="80" w:before="80"/>
      </w:pPr>
      <w:r>
        <w:rPr>
          <w:rFonts w:ascii="Arial" w:cs="Arial" w:eastAsia="Arial" w:hAnsi="Arial"/>
          <w:color w:val="374151"/>
          <w:sz w:val="22"/>
          <w:szCs w:val="22"/>
        </w:rPr>
        <w:t xml:space="preserve">El tamaño base es el 6% del capital disponible asignado a esta estrategia. Esta estrategia tiene stops más ajustados que la Alpha pero opera con más frecuencia, por lo que el riesgo acumulado puede ser mayor si se dimensiona igual.</w:t>
      </w:r>
    </w:p>
    <w:p>
      <w:pPr>
        <w:spacing w:after="60" w:before="60"/>
      </w:pPr>
      <w:r>
        <w:t xml:space="preserve"/>
      </w:r>
    </w:p>
    <w:p>
      <w:pPr>
        <w:spacing w:after="80" w:before="80"/>
      </w:pPr>
      <w:r>
        <w:rPr>
          <w:rFonts w:ascii="Arial" w:cs="Arial" w:eastAsia="Arial" w:hAnsi="Arial"/>
          <w:color w:val="374151"/>
          <w:sz w:val="22"/>
          <w:szCs w:val="22"/>
        </w:rPr>
        <w:t xml:space="preserve">El tamaño se ajusta por dos factores independientes que se aplican en orden:</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Ajuste por volatilidad relativa: igual que en Alpha, tamaño = 6% x (ATR_hist_30d / ATR_actual_14p), con techo del 8% y suelo del 3% del capital asignado a esta estrategia.</w:t>
      </w:r>
    </w:p>
    <w:p>
      <w:pPr>
        <w:pStyle w:val="ListParagraph"/>
        <w:numPr>
          <w:ilvl w:val="0"/>
          <w:numId w:val="2"/>
        </w:numPr>
        <w:spacing w:after="60" w:before="60"/>
      </w:pPr>
      <w:r>
        <w:rPr>
          <w:rFonts w:ascii="Arial" w:cs="Arial" w:eastAsia="Arial" w:hAnsi="Arial"/>
          <w:color w:val="374151"/>
          <w:sz w:val="22"/>
          <w:szCs w:val="22"/>
        </w:rPr>
        <w:t xml:space="preserve">Ajuste por antigüedad del rango: si el rango lleva entre 8 y 15 días activo, mantener el tamaño calculado. Si lleva más de 15 días, activar el modo breakout adicional (ver sección de rango de larga duración) pero mantener el tamaño de las entradas en los extremos del rango. La antigüedad del rango por sí sola no justifica reducir tamaño — la validación de los niveles sigue siendo la misma.</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Condiciones donde esta estrategia no opera</w:t>
      </w:r>
    </w:p>
    <w:p>
      <w:pPr>
        <w:pStyle w:val="ListParagraph"/>
        <w:numPr>
          <w:ilvl w:val="0"/>
          <w:numId w:val="2"/>
        </w:numPr>
        <w:spacing w:after="60" w:before="60"/>
      </w:pPr>
      <w:r>
        <w:rPr>
          <w:rFonts w:ascii="Arial" w:cs="Arial" w:eastAsia="Arial" w:hAnsi="Arial"/>
          <w:color w:val="374151"/>
          <w:sz w:val="22"/>
          <w:szCs w:val="22"/>
        </w:rPr>
        <w:t xml:space="preserve">Hay una vela de breakout: cuerpo mayor al 2% que cierra por fuera del rango. El rango está muerto. El agente espera a que se confirme un nuevo rango válido con doble toque, sin ventana de tiempo fija.</w:t>
      </w:r>
    </w:p>
    <w:p>
      <w:pPr>
        <w:pStyle w:val="ListParagraph"/>
        <w:numPr>
          <w:ilvl w:val="0"/>
          <w:numId w:val="2"/>
        </w:numPr>
        <w:spacing w:after="60" w:before="60"/>
      </w:pPr>
      <w:r>
        <w:rPr>
          <w:rFonts w:ascii="Arial" w:cs="Arial" w:eastAsia="Arial" w:hAnsi="Arial"/>
          <w:color w:val="374151"/>
          <w:sz w:val="22"/>
          <w:szCs w:val="22"/>
        </w:rPr>
        <w:t xml:space="preserve">El ATR actual supera el doble del ATR medio de las últimas 20 velas 4H. Alta volatilidad estructural invalida la lógica de rango.</w:t>
      </w:r>
    </w:p>
    <w:p>
      <w:pPr>
        <w:pStyle w:val="ListParagraph"/>
        <w:numPr>
          <w:ilvl w:val="0"/>
          <w:numId w:val="2"/>
        </w:numPr>
        <w:spacing w:after="60" w:before="60"/>
      </w:pPr>
      <w:r>
        <w:rPr>
          <w:rFonts w:ascii="Arial" w:cs="Arial" w:eastAsia="Arial" w:hAnsi="Arial"/>
          <w:color w:val="374151"/>
          <w:sz w:val="22"/>
          <w:szCs w:val="22"/>
        </w:rPr>
        <w:t xml:space="preserve">BTC está en movimiento tendencial fuerte (3 o más velas 4H consecutivas con cuerpo mayor al 1.5% y volumen creciente). La correlación sistémica arrastra los altcoins fuera de sus rangos independientes.</w:t>
      </w:r>
    </w:p>
    <w:p>
      <w:pPr>
        <w:pStyle w:val="ListParagraph"/>
        <w:numPr>
          <w:ilvl w:val="0"/>
          <w:numId w:val="2"/>
        </w:numPr>
        <w:spacing w:after="60" w:before="60"/>
      </w:pPr>
      <w:r>
        <w:rPr>
          <w:rFonts w:ascii="Arial" w:cs="Arial" w:eastAsia="Arial" w:hAnsi="Arial"/>
          <w:color w:val="374151"/>
          <w:sz w:val="22"/>
          <w:szCs w:val="22"/>
        </w:rPr>
        <w:t xml:space="preserve">El volumen general del par está en mínimos de los últimos 7 días. Sin liquidez los movimientos son erráticos.</w:t>
      </w:r>
    </w:p>
    <w:p>
      <w:pPr>
        <w:pStyle w:val="ListParagraph"/>
        <w:numPr>
          <w:ilvl w:val="0"/>
          <w:numId w:val="2"/>
        </w:numPr>
        <w:spacing w:after="60" w:before="60"/>
      </w:pPr>
      <w:r>
        <w:rPr>
          <w:rFonts w:ascii="Arial" w:cs="Arial" w:eastAsia="Arial" w:hAnsi="Arial"/>
          <w:color w:val="374151"/>
          <w:sz w:val="22"/>
          <w:szCs w:val="22"/>
        </w:rPr>
        <w:t xml:space="preserve">Ya existe una posición abierta en ese par dentro de esta estrategia. No se añade ni se promedia.</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Setups de alta convicción</w:t>
      </w:r>
    </w:p>
    <w:p>
      <w:pPr>
        <w:spacing w:after="80" w:before="80"/>
      </w:pPr>
      <w:r>
        <w:rPr>
          <w:rFonts w:ascii="Arial" w:cs="Arial" w:eastAsia="Arial" w:hAnsi="Arial"/>
          <w:color w:val="374151"/>
          <w:sz w:val="22"/>
          <w:szCs w:val="22"/>
        </w:rPr>
        <w:t xml:space="preserve">El agente prioriza estos tres setups cuando todas las condiciones de entrada están alineadas. Son los patrones con mayor ratio histórico de operaciones completadas con éxito en esta estrategia.</w:t>
      </w:r>
    </w:p>
    <w:p>
      <w:pPr>
        <w:spacing w:after="60" w:before="60"/>
      </w:pPr>
      <w:r>
        <w:t xml:space="preserve"/>
      </w:r>
    </w:p>
    <w:p>
      <w:pPr>
        <w:spacing w:after="100" w:before="240"/>
      </w:pPr>
      <w:r>
        <w:rPr>
          <w:rFonts w:ascii="Arial" w:cs="Arial" w:eastAsia="Arial" w:hAnsi="Arial"/>
          <w:b/>
          <w:bCs/>
          <w:color w:val="374151"/>
          <w:sz w:val="22"/>
          <w:szCs w:val="22"/>
        </w:rPr>
        <w:t xml:space="preserve">Setup 1 — El rebote limpio</w:t>
      </w:r>
    </w:p>
    <w:p>
      <w:pPr>
        <w:spacing w:after="80" w:before="80"/>
      </w:pPr>
      <w:r>
        <w:rPr>
          <w:rFonts w:ascii="Arial" w:cs="Arial" w:eastAsia="Arial" w:hAnsi="Arial"/>
          <w:color w:val="374151"/>
          <w:sz w:val="22"/>
          <w:szCs w:val="22"/>
        </w:rPr>
        <w:t xml:space="preserve">El precio llega a la zona de soporte, forma una vela martillo con mecha inferior que penetra el límite inferior de la zona pero cierra por encima. El RSI está por debajo del percentil 30 de sus últimas 20 lecturas. El volumen de la mecha (intracandle) es claramente superior al volumen del cuerpo de esa misma vela. Este es el setup más fiable porque muestra rechazo activo del nivel — los compradores están ahí y rechazaron activamente el precio más bajo. Versión inversa para resistencia: vela estrella fugaz con mecha superior, RSI por encima del percentil 70.</w:t>
      </w:r>
    </w:p>
    <w:p>
      <w:pPr>
        <w:spacing w:after="60" w:before="60"/>
      </w:pPr>
      <w:r>
        <w:t xml:space="preserve"/>
      </w:r>
    </w:p>
    <w:p>
      <w:pPr>
        <w:spacing w:after="100" w:before="240"/>
      </w:pPr>
      <w:r>
        <w:rPr>
          <w:rFonts w:ascii="Arial" w:cs="Arial" w:eastAsia="Arial" w:hAnsi="Arial"/>
          <w:b/>
          <w:bCs/>
          <w:color w:val="374151"/>
          <w:sz w:val="22"/>
          <w:szCs w:val="22"/>
        </w:rPr>
        <w:t xml:space="preserve">Setup 2 — El falso breakout</w:t>
      </w:r>
    </w:p>
    <w:p>
      <w:pPr>
        <w:spacing w:after="80" w:before="80"/>
      </w:pPr>
      <w:r>
        <w:rPr>
          <w:rFonts w:ascii="Arial" w:cs="Arial" w:eastAsia="Arial" w:hAnsi="Arial"/>
          <w:color w:val="374151"/>
          <w:sz w:val="22"/>
          <w:szCs w:val="22"/>
        </w:rPr>
        <w:t xml:space="preserve">El precio rompe brevemente el soporte o la resistencia intracandle pero el cierre de la vela 4H es dentro del rango. Si además el RSI en ese mínimo intracandle mostró una lectura por debajo del percentil 20 de sus últimas 20 valores y rebota al cierre, la probabilidad de continuación dentro del rango es muy alta. Los falsos breakouts limpian los stop losses de posiciones débiles acumulados justo debajo del soporte y después el precio regresa al rango con fuerza porque ya no quedan vendedores forzados.</w:t>
      </w:r>
    </w:p>
    <w:p>
      <w:pPr>
        <w:spacing w:after="60" w:before="60"/>
      </w:pPr>
      <w:r>
        <w:t xml:space="preserve"/>
      </w:r>
    </w:p>
    <w:p>
      <w:pPr>
        <w:spacing w:after="100" w:before="240"/>
      </w:pPr>
      <w:r>
        <w:rPr>
          <w:rFonts w:ascii="Arial" w:cs="Arial" w:eastAsia="Arial" w:hAnsi="Arial"/>
          <w:b/>
          <w:bCs/>
          <w:color w:val="374151"/>
          <w:sz w:val="22"/>
          <w:szCs w:val="22"/>
        </w:rPr>
        <w:t xml:space="preserve">Setup 3 — La tercera vez</w:t>
      </w:r>
    </w:p>
    <w:p>
      <w:pPr>
        <w:spacing w:after="80" w:before="80"/>
      </w:pPr>
      <w:r>
        <w:rPr>
          <w:rFonts w:ascii="Arial" w:cs="Arial" w:eastAsia="Arial" w:hAnsi="Arial"/>
          <w:color w:val="374151"/>
          <w:sz w:val="22"/>
          <w:szCs w:val="22"/>
        </w:rPr>
        <w:t xml:space="preserve">Cuando el precio toca el soporte o resistencia por tercera vez dentro del rango establecido, hay dos escenarios estadísticos: o rebota con fuerza porque hay órdenes acumulados en ese nivel, o lo rompe porque el nivel se ha debilitado. El diferenciador clave es el volumen ajustado por franja horaria comparado con los dos toques anteriores. Si el volumen de este tercer toque es inferior al promedio de los dos anteriores, favorece el rebote y el agente entra. Si el volumen es igual o superior al promedio de los dos anteriores, favorece la ruptura — en ese caso el agente no entra en el rango sino que prepara una entrada de breakout en esa dirección.</w:t>
      </w:r>
    </w:p>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Lo que el agente debe considerar adicionalmente</w:t>
      </w:r>
    </w:p>
    <w:p>
      <w:pPr>
        <w:spacing w:after="80" w:before="80"/>
      </w:pPr>
      <w:r>
        <w:rPr>
          <w:rFonts w:ascii="Arial" w:cs="Arial" w:eastAsia="Arial" w:hAnsi="Arial"/>
          <w:color w:val="374151"/>
          <w:sz w:val="22"/>
          <w:szCs w:val="22"/>
        </w:rPr>
        <w:t xml:space="preserve">La antigüedad del rango importa para la gestión de la operación, no para el tamaño. Un rango que lleva 3 días tiene sus niveles menos validados estadísticamente que uno de 7 días — se requiere más precisión en la zona de entrada y la presencia de vela de indecisión es obligatoria (no opcional). En rangos de más de 7 días, la doble validación histórica reduce la exigencia sobre la vela de indecisión a una recomendación.</w:t>
      </w:r>
    </w:p>
    <w:p>
      <w:pPr>
        <w:spacing w:after="60" w:before="60"/>
      </w:pPr>
      <w:r>
        <w:t xml:space="preserve"/>
      </w:r>
    </w:p>
    <w:p>
      <w:pPr>
        <w:spacing w:after="80" w:before="80"/>
      </w:pPr>
      <w:r>
        <w:rPr>
          <w:rFonts w:ascii="Arial" w:cs="Arial" w:eastAsia="Arial" w:hAnsi="Arial"/>
          <w:color w:val="374151"/>
          <w:sz w:val="22"/>
          <w:szCs w:val="22"/>
        </w:rPr>
        <w:t xml:space="preserve">La posición relativa de BTC dentro de su propio rango siempre es relevante. Si BTC está en la parte alta de su rango y el altcoin en cuestión está en la parte baja del suyo, hay correlación directa que puede hacer que el altcoin rompa a la baja cuando BTC resuelva su rango hacia abajo. Cuando BTC y el altcoin están en extremos opuestos de sus respectivos rangos, reducir el tamaño de posición al 50% y subir la exigencia sobre la confirmación de la vela de indecisión.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F6E4" w:sz="4"/>
              <w:left w:val="single" w:color="99F6E4" w:sz="4"/>
              <w:bottom w:val="single" w:color="99F6E4" w:sz="4"/>
              <w:right w:val="single" w:color="99F6E4" w:sz="4"/>
            </w:tcBorders>
            <w:shd w:fill="F0FDFA"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Nota sobre volumen ajustado por franja horaria: </w:t>
            </w:r>
            <w:r>
              <w:rPr>
                <w:rFonts w:ascii="Arial" w:cs="Arial" w:eastAsia="Arial" w:hAnsi="Arial"/>
                <w:color w:val="374151"/>
                <w:sz w:val="21"/>
                <w:szCs w:val="21"/>
              </w:rPr>
              <w:t xml:space="preserve">Al igual que en la Estrategia Alpha, el volumen en crypto tiene un sesgo circadiano fuerte. Las velas 4H en horario asiático (00-08 UTC) generan estructuralmente menos volumen que las mismas velas en horario europeo-americano (12-20 UTC). Comparar el volumen de cualquier vela contra una media plana genera falsas señales. La media de referencia es siempre la media del grupo horario de los últimos 30 días para ese par y esa franja específica.</w:t>
            </w:r>
          </w:p>
        </w:tc>
      </w:tr>
    </w:tbl>
    <w:p>
      <w:pPr>
        <w:spacing w:after="60" w:before="60"/>
      </w:pPr>
      <w:r>
        <w:t xml:space="preserve"/>
      </w:r>
    </w:p>
    <w:p>
      <w:pPr>
        <w:spacing w:after="60" w:before="60"/>
      </w:pPr>
      <w:r>
        <w:t xml:space="preserve"/>
      </w:r>
    </w:p>
    <w:p>
      <w:pPr>
        <w:pStyle w:val="Heading1"/>
        <w:pBdr>
          <w:bottom w:val="single" w:color="0F766E" w:sz="6" w:space="4"/>
        </w:pBdr>
        <w:spacing w:after="200" w:before="400"/>
      </w:pPr>
      <w:r>
        <w:rPr>
          <w:rFonts w:ascii="Arial" w:cs="Arial" w:eastAsia="Arial" w:hAnsi="Arial"/>
          <w:b/>
          <w:bCs/>
          <w:color w:val="111827"/>
          <w:sz w:val="32"/>
          <w:szCs w:val="32"/>
        </w:rPr>
        <w:t xml:space="preserve">Resumen de cambios respecto a la versión inicial</w:t>
      </w:r>
    </w:p>
    <w:p>
      <w:pPr>
        <w:spacing w:after="80" w:before="80"/>
      </w:pPr>
      <w:r>
        <w:rPr>
          <w:rFonts w:ascii="Arial" w:cs="Arial" w:eastAsia="Arial" w:hAnsi="Arial"/>
          <w:color w:val="374151"/>
          <w:sz w:val="22"/>
          <w:szCs w:val="22"/>
        </w:rPr>
        <w:t xml:space="preserve">Esta sección documenta las diferencias entre la especificación original de la estrategia y la versión actual.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F6E4" w:sz="4"/>
              <w:left w:val="single" w:color="99F6E4" w:sz="4"/>
              <w:bottom w:val="single" w:color="99F6E4" w:sz="4"/>
              <w:right w:val="single" w:color="99F6E4" w:sz="4"/>
            </w:tcBorders>
            <w:shd w:fill="0F766E" w:val="clear"/>
            <w:tcMar>
              <w:top w:type="dxa" w:w="120"/>
              <w:left w:type="dxa" w:w="160"/>
              <w:bottom w:type="dxa" w:w="120"/>
              <w:right w:type="dxa" w:w="160"/>
            </w:tcMar>
          </w:tcPr>
          <w:p>
            <w:r>
              <w:rPr>
                <w:rFonts w:ascii="Arial" w:cs="Arial" w:eastAsia="Arial" w:hAnsi="Arial"/>
                <w:b/>
                <w:bCs/>
                <w:color w:val="FFFFFF"/>
                <w:sz w:val="21"/>
                <w:szCs w:val="21"/>
              </w:rPr>
              <w:t xml:space="preserve">Especificación original</w:t>
            </w:r>
          </w:p>
        </w:tc>
        <w:tc>
          <w:tcPr>
            <w:tcW w:type="dxa" w:w="4680"/>
            <w:tcBorders>
              <w:top w:val="single" w:color="99F6E4" w:sz="4"/>
              <w:left w:val="single" w:color="99F6E4" w:sz="4"/>
              <w:bottom w:val="single" w:color="99F6E4" w:sz="4"/>
              <w:right w:val="single" w:color="99F6E4" w:sz="4"/>
            </w:tcBorders>
            <w:shd w:fill="0F766E" w:val="clear"/>
            <w:tcMar>
              <w:top w:type="dxa" w:w="120"/>
              <w:left w:type="dxa" w:w="160"/>
              <w:bottom w:type="dxa" w:w="120"/>
              <w:right w:type="dxa" w:w="160"/>
            </w:tcMar>
          </w:tcPr>
          <w:p>
            <w:r>
              <w:rPr>
                <w:rFonts w:ascii="Arial" w:cs="Arial" w:eastAsia="Arial" w:hAnsi="Arial"/>
                <w:b/>
                <w:bCs/>
                <w:color w:val="FFFFFF"/>
                <w:sz w:val="21"/>
                <w:szCs w:val="21"/>
              </w:rPr>
              <w:t xml:space="preserve">Especificación actualizada</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RSI umbral fijo (38 / 62)</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Reemplazado por percentil 30/70 de las últimas 20 lecturas del RSI en ese par. Adaptativo al comportamiento real del oscilador en cada rango.</w:t>
            </w:r>
          </w:p>
        </w:tc>
      </w:tr>
      <w:tr>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b/>
                <w:bCs/>
                <w:color w:val="134E4A"/>
                <w:sz w:val="21"/>
                <w:szCs w:val="21"/>
              </w:rPr>
              <w:t xml:space="preserve">Volumen vs media plana 20 velas</w:t>
            </w:r>
          </w:p>
        </w:tc>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Reemplazado por volumen vs media ajustada por franja horaria (30d). Elimina el sesgo circadiano de crypto 24/7.</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Stop loss 1% fijo</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Reemplazado por 1.2 x ATR_14p desde el límite de la zona. Se adapta a la volatilidad real del par.</w:t>
            </w:r>
          </w:p>
        </w:tc>
      </w:tr>
      <w:tr>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b/>
                <w:bCs/>
                <w:color w:val="134E4A"/>
                <w:sz w:val="21"/>
                <w:szCs w:val="21"/>
              </w:rPr>
              <w:t xml:space="preserve">Zona soporte/resistencia ±0.5% fijo</w:t>
            </w:r>
          </w:p>
        </w:tc>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Reemplazado por ±(0.3 x ATR_14p). Adaptativo a la volatilidad de cada par.</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Espera 12H fija tras breakout</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Eliminado. El agente espera a que se confirme un nuevo rango válido con doble toque, sin ventana de tiempo.</w:t>
            </w:r>
          </w:p>
        </w:tc>
      </w:tr>
      <w:tr>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b/>
                <w:bCs/>
                <w:color w:val="134E4A"/>
                <w:sz w:val="21"/>
                <w:szCs w:val="21"/>
              </w:rPr>
              <w:t xml:space="preserve">Reducir tamaño en rangos &gt;15 días</w:t>
            </w:r>
          </w:p>
        </w:tc>
        <w:tc>
          <w:tcPr>
            <w:tcW w:type="dxa" w:w="4680"/>
            <w:tcBorders>
              <w:top w:val="single" w:color="99F6E4" w:sz="4"/>
              <w:left w:val="single" w:color="99F6E4" w:sz="4"/>
              <w:bottom w:val="single" w:color="99F6E4" w:sz="4"/>
              <w:right w:val="single" w:color="99F6E4"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Reemplazado por modo breakout adicional activo: mantiene entradas en extremos del rango y añade órdenes de captura de ruptura.</w:t>
            </w:r>
          </w:p>
        </w:tc>
      </w:tr>
      <w:tr>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b/>
                <w:bCs/>
                <w:color w:val="134E4A"/>
                <w:sz w:val="21"/>
                <w:szCs w:val="21"/>
              </w:rPr>
              <w:t xml:space="preserve">Sin referencia a otras estrategias</w:t>
            </w:r>
          </w:p>
        </w:tc>
        <w:tc>
          <w:tcPr>
            <w:tcW w:type="dxa" w:w="4680"/>
            <w:tcBorders>
              <w:top w:val="single" w:color="99F6E4" w:sz="4"/>
              <w:left w:val="single" w:color="99F6E4" w:sz="4"/>
              <w:bottom w:val="single" w:color="99F6E4" w:sz="4"/>
              <w:right w:val="single" w:color="99F6E4" w:sz="4"/>
            </w:tcBorders>
            <w:shd w:fill="F0FDFA" w:val="clear"/>
            <w:tcMar>
              <w:top w:type="dxa" w:w="100"/>
              <w:left w:type="dxa" w:w="160"/>
              <w:bottom w:type="dxa" w:w="100"/>
              <w:right w:type="dxa" w:w="160"/>
            </w:tcMar>
          </w:tcPr>
          <w:p>
            <w:r>
              <w:rPr>
                <w:rFonts w:ascii="Arial" w:cs="Arial" w:eastAsia="Arial" w:hAnsi="Arial"/>
                <w:color w:val="374151"/>
                <w:sz w:val="21"/>
                <w:szCs w:val="21"/>
              </w:rPr>
              <w:t xml:space="preserve">Añadida sección de posición dentro del sistema de tres estrategias y complementariedad explícita con la Alpha.</w:t>
            </w:r>
          </w:p>
        </w:tc>
      </w:tr>
    </w:tbl>
    <w:p>
      <w:pPr>
        <w:spacing w:after="60" w:before="60"/>
      </w:pPr>
      <w:r>
        <w:t xml:space="preserve"/>
      </w:r>
    </w:p>
    <w:p>
      <w:pPr>
        <w:spacing w:after="60" w:before="60"/>
      </w:pPr>
      <w:r>
        <w:t xml:space="preserve"/>
      </w:r>
    </w:p>
    <w:p>
      <w:pPr>
        <w:pBdr>
          <w:top w:val="single" w:color="D1D5DB" w:sz="4" w:space="4"/>
        </w:pBdr>
        <w:spacing w:after="80" w:before="400"/>
      </w:pPr>
      <w:r>
        <w:rPr>
          <w:rFonts w:ascii="Arial" w:cs="Arial" w:eastAsia="Arial" w:hAnsi="Arial"/>
          <w:color w:val="9CA3AF"/>
          <w:sz w:val="18"/>
          <w:szCs w:val="18"/>
        </w:rPr>
        <w:t xml:space="preserve">Estrategia Beta — Range Scalper  ·  v2.0  ·  Sistema Autotrader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2026-03-25T01:17:49.437Z</dcterms:created>
  <dcterms:modified xsi:type="dcterms:W3CDTF">2026-03-25T01:17:49.437Z</dcterms:modified>
</cp:coreProperties>
</file>

<file path=docProps/custom.xml><?xml version="1.0" encoding="utf-8"?>
<Properties xmlns="http://schemas.openxmlformats.org/officeDocument/2006/custom-properties" xmlns:vt="http://schemas.openxmlformats.org/officeDocument/2006/docPropsVTypes"/>
</file>