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A56A0"/>
          <w:sz w:val="48"/>
          <w:szCs w:val="48"/>
        </w:rPr>
        <w:t xml:space="preserve">ESTRATEGIA GAMMA — BREAKOUT HUNTER</w:t>
      </w:r>
    </w:p>
    <w:p>
      <w:pPr>
        <w:spacing w:before="0" w:after="60"/>
        <w:jc w:val="center"/>
      </w:pPr>
      <w:r>
        <w:rPr>
          <w:rFonts w:ascii="Arial" w:cs="Arial" w:eastAsia="Arial" w:hAnsi="Arial"/>
          <w:i/>
          <w:iCs/>
          <w:color w:val="666666"/>
          <w:sz w:val="26"/>
          <w:szCs w:val="26"/>
        </w:rPr>
        <w:t xml:space="preserve">Análisis Crítico, Fallos Detectados y Versión Mejorada</w:t>
      </w:r>
    </w:p>
    <w:p>
      <w:pPr>
        <w:spacing w:before="0" w:after="600"/>
        <w:jc w:val="center"/>
      </w:pPr>
      <w:r>
        <w:rPr>
          <w:rFonts w:ascii="Arial" w:cs="Arial" w:eastAsia="Arial" w:hAnsi="Arial"/>
          <w:color w:val="888888"/>
          <w:sz w:val="22"/>
          <w:szCs w:val="22"/>
        </w:rPr>
        <w:t xml:space="preserve">Agente IA Autotrader — Documento de Optimización</w:t>
      </w:r>
    </w:p>
    <w:p>
      <w:pPr>
        <w:pBdr>
          <w:bottom w:val="single" w:color="DDDDDD" w:sz="4" w:space="1"/>
        </w:pBdr>
        <w:spacing w:before="100" w:after="200"/>
      </w:pPr>
    </w:p>
    <w:p>
      <w:pPr>
        <w:pStyle w:val="Heading1"/>
        <w:spacing w:before="360" w:after="180"/>
      </w:pPr>
      <w:r>
        <w:rPr>
          <w:rFonts w:ascii="Arial" w:cs="Arial" w:eastAsia="Arial" w:hAnsi="Arial"/>
          <w:b/>
          <w:bCs/>
          <w:color w:val="1A56A0"/>
          <w:sz w:val="34"/>
          <w:szCs w:val="34"/>
        </w:rPr>
        <w:t xml:space="preserve">1. Análisis de Viabilidad General</w:t>
      </w:r>
    </w:p>
    <w:p>
      <w:pPr>
        <w:spacing w:before="80" w:after="100"/>
      </w:pPr>
      <w:r>
        <w:rPr>
          <w:rFonts w:ascii="Arial" w:cs="Arial" w:eastAsia="Arial" w:hAnsi="Arial"/>
          <w:sz w:val="22"/>
          <w:szCs w:val="22"/>
        </w:rPr>
        <w:t xml:space="preserve">La Estrategia Gamma persigue movimientos explosivos de precio tras períodos de compresión (consolidación), un fenómeno real y documentado en análisis técnico avanzado. La filosofía es sólida: comprimir + energía + ruptura = movimiento direccional fuerte. Sin embargo, el documento presenta varios problemas que van desde afirmaciones sin respaldo estadístico hasta lagunas peligrosas en la gestión del riesgo del agente.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2" w:val="clear"/>
            <w:tcMar>
              <w:top w:type="dxa" w:w="160"/>
              <w:left w:type="dxa" w:w="200"/>
              <w:bottom w:type="dxa" w:w="160"/>
              <w:right w:type="dxa" w:w="200"/>
            </w:tcMar>
          </w:tcPr>
          <w:p>
            <w:r>
              <w:rPr>
                <w:rFonts w:ascii="Arial" w:cs="Arial" w:eastAsia="Arial" w:hAnsi="Arial"/>
                <w:color w:val="D35400"/>
                <w:sz w:val="22"/>
                <w:szCs w:val="22"/>
              </w:rPr>
              <w:t xml:space="preserve">VEREDICTO: La estrategia tiene una base teórica válida pero su implementación como agente autónomo tiene fallos críticos que pueden resultar en pérdidas sostenidas antes de cualquier trade ganador.</w:t>
            </w:r>
          </w:p>
        </w:tc>
      </w:tr>
    </w:tbl>
    <w:p>
      <w:pPr>
        <w:spacing w:before="60" w:after="60"/>
      </w:pPr>
      <w:r>
        <w:t xml:space="preserve"/>
      </w:r>
    </w:p>
    <w:p>
      <w:pPr>
        <w:spacing w:before="60" w:after="60"/>
      </w:pPr>
      <w:r>
        <w:t xml:space="preserve"/>
      </w:r>
    </w:p>
    <w:p>
      <w:pPr>
        <w:pStyle w:val="Heading1"/>
        <w:spacing w:before="360" w:after="180"/>
      </w:pPr>
      <w:r>
        <w:rPr>
          <w:rFonts w:ascii="Arial" w:cs="Arial" w:eastAsia="Arial" w:hAnsi="Arial"/>
          <w:b/>
          <w:bCs/>
          <w:color w:val="1A56A0"/>
          <w:sz w:val="34"/>
          <w:szCs w:val="34"/>
        </w:rPr>
        <w:t xml:space="preserve">2. Fallos Críticos Detectados</w:t>
      </w:r>
    </w:p>
    <w:p>
      <w:pPr>
        <w:pStyle w:val="Heading2"/>
        <w:spacing w:before="280" w:after="140"/>
      </w:pPr>
      <w:r>
        <w:rPr>
          <w:rFonts w:ascii="Arial" w:cs="Arial" w:eastAsia="Arial" w:hAnsi="Arial"/>
          <w:b/>
          <w:bCs/>
          <w:color w:val="333333"/>
          <w:sz w:val="26"/>
          <w:szCs w:val="26"/>
        </w:rPr>
        <w:t xml:space="preserve">2.1 Problemas de Definición y Medición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60"/>
        <w:gridCol w:w="4000"/>
      </w:tblGrid>
      <w:tr>
        <w:trPr>
          <w:tblHeader/>
        </w:trPr>
        <w:tc>
          <w:tcPr>
            <w:tcW w:type="dxa" w:w="40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Fallo Detectado</w:t>
            </w:r>
          </w:p>
        </w:tc>
        <w:tc>
          <w:tcPr>
            <w:tcW w:type="dxa" w:w="13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Severidad</w:t>
            </w:r>
          </w:p>
        </w:tc>
        <w:tc>
          <w:tcPr>
            <w:tcW w:type="dxa" w:w="40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Corrección Propuesta</w:t>
            </w:r>
          </w:p>
        </w:tc>
      </w:tr>
      <w:tr>
        <w:tc>
          <w:tcPr>
            <w:tcW w:type="dxa" w:w="40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sz w:val="20"/>
                <w:szCs w:val="20"/>
              </w:rPr>
              <w:t xml:space="preserve">ATR comparativo usa ventanas fijas (15 vs 40 velas) sin justificación estadística para timeframe 4H</w:t>
            </w:r>
          </w:p>
        </w:tc>
        <w:tc>
          <w:tcPr>
            <w:tcW w:type="dxa" w:w="13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4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Usar ratio adaptativo: ATR(10) / ATR(50) &lt; 0.55 para mayor sensibilidad a compresiones reales</w:t>
            </w:r>
          </w:p>
        </w:tc>
      </w:tr>
      <w:tr>
        <w:tc>
          <w:tcPr>
            <w:tcW w:type="dxa" w:w="40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sz w:val="20"/>
                <w:szCs w:val="20"/>
              </w:rPr>
              <w:t xml:space="preserve">Volumen x2 como umbral universal ignora la estacionalidad y volatilidad del par específico</w:t>
            </w:r>
          </w:p>
        </w:tc>
        <w:tc>
          <w:tcPr>
            <w:tcW w:type="dxa" w:w="13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4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Threshold dinámico: volumen breakout &gt; media(20) + 1.5*desviación_estándar(20)</w:t>
            </w:r>
          </w:p>
        </w:tc>
      </w:tr>
      <w:tr>
        <w:tc>
          <w:tcPr>
            <w:tcW w:type="dxa" w:w="40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r>
              <w:rPr>
                <w:rFonts w:ascii="Arial" w:cs="Arial" w:eastAsia="Arial" w:hAnsi="Arial"/>
                <w:sz w:val="20"/>
                <w:szCs w:val="20"/>
              </w:rPr>
              <w:t xml:space="preserve">RSI 55-78: banda superior arbitraria. En tendencias fuertes, breakouts válidos ocurren con RSI &gt; 78</w:t>
            </w:r>
          </w:p>
        </w:tc>
        <w:tc>
          <w:tcPr>
            <w:tcW w:type="dxa" w:w="1360"/>
            <w:tcBorders>
              <w:top w:val="single" w:color="DDDDDD" w:sz="1"/>
              <w:left w:val="single" w:color="DDDDDD" w:sz="1"/>
              <w:bottom w:val="single" w:color="DDDDDD" w:sz="1"/>
              <w:right w:val="single" w:color="DDDDDD" w:sz="1"/>
            </w:tcBorders>
            <w:shd w:fill="D35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w:t>
            </w:r>
          </w:p>
        </w:tc>
        <w:tc>
          <w:tcPr>
            <w:tcW w:type="dxa" w:w="4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RSI &gt; 52 Y RSI no en divergencia bajista. Eliminar techo fijo; añadir análisis de momentum relativo</w:t>
            </w:r>
          </w:p>
        </w:tc>
      </w:tr>
      <w:tr>
        <w:tc>
          <w:tcPr>
            <w:tcW w:type="dxa" w:w="40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r>
              <w:rPr>
                <w:rFonts w:ascii="Arial" w:cs="Arial" w:eastAsia="Arial" w:hAnsi="Arial"/>
                <w:sz w:val="20"/>
                <w:szCs w:val="20"/>
              </w:rPr>
              <w:t xml:space="preserve">Cuerpo del 60% del rango: no se define si es vela alcista o bajista — una vela bajista podría cumplir</w:t>
            </w:r>
          </w:p>
        </w:tc>
        <w:tc>
          <w:tcPr>
            <w:tcW w:type="dxa" w:w="1360"/>
            <w:tcBorders>
              <w:top w:val="single" w:color="DDDDDD" w:sz="1"/>
              <w:left w:val="single" w:color="DDDDDD" w:sz="1"/>
              <w:bottom w:val="single" w:color="DDDDDD" w:sz="1"/>
              <w:right w:val="single" w:color="DDDDDD" w:sz="1"/>
            </w:tcBorders>
            <w:shd w:fill="D35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w:t>
            </w:r>
          </w:p>
        </w:tc>
        <w:tc>
          <w:tcPr>
            <w:tcW w:type="dxa" w:w="4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Añadir condición explícita: cierre &gt; apertura Y cuerpo alcista &gt;= 60% del rango. Solo velas verdes.</w:t>
            </w:r>
          </w:p>
        </w:tc>
      </w:tr>
      <w:tr>
        <w:tc>
          <w:tcPr>
            <w:tcW w:type="dxa" w:w="40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sz w:val="20"/>
                <w:szCs w:val="20"/>
              </w:rPr>
              <w:t xml:space="preserve">Entrada a -1.5% del cierre del breakout: no especifica si se usa precio de mercado o limit order</w:t>
            </w:r>
          </w:p>
        </w:tc>
        <w:tc>
          <w:tcPr>
            <w:tcW w:type="dxa" w:w="13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4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Especificar: limit order en precio_breakout * 0.998 con cancelación automática si no ejecuta en 30 min</w:t>
            </w:r>
          </w:p>
        </w:tc>
      </w:tr>
      <w:tr>
        <w:tc>
          <w:tcPr>
            <w:tcW w:type="dxa" w:w="40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sz w:val="20"/>
                <w:szCs w:val="20"/>
              </w:rPr>
              <w:t xml:space="preserve">Stop loss 'cierre bajo el nivel': una sola vela 4H de cierre puede ser ruido, no reversión</w:t>
            </w:r>
          </w:p>
        </w:tc>
        <w:tc>
          <w:tcPr>
            <w:tcW w:type="dxa" w:w="13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4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Stop hard fijado en entrada - 1.5 * ATR(14), más revisión de cierre bajo nivel como alerta de escala</w:t>
            </w:r>
          </w:p>
        </w:tc>
      </w:tr>
      <w:tr>
        <w:tc>
          <w:tcPr>
            <w:tcW w:type="dxa" w:w="400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r>
              <w:rPr>
                <w:rFonts w:ascii="Arial" w:cs="Arial" w:eastAsia="Arial" w:hAnsi="Arial"/>
                <w:sz w:val="20"/>
                <w:szCs w:val="20"/>
              </w:rPr>
              <w:t xml:space="preserve">Trailing stop de 2 ATR desde el máximo: el ATR puede cambiar drásticamente durante el movimiento</w:t>
            </w:r>
          </w:p>
        </w:tc>
        <w:tc>
          <w:tcPr>
            <w:tcW w:type="dxa" w:w="1360"/>
            <w:tcBorders>
              <w:top w:val="single" w:color="DDDDDD" w:sz="1"/>
              <w:left w:val="single" w:color="DDDDDD" w:sz="1"/>
              <w:bottom w:val="single" w:color="DDDDDD" w:sz="1"/>
              <w:right w:val="single" w:color="DDDDDD" w:sz="1"/>
            </w:tcBorders>
            <w:shd w:fill="D35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MEDIA</w:t>
            </w:r>
          </w:p>
        </w:tc>
        <w:tc>
          <w:tcPr>
            <w:tcW w:type="dxa" w:w="4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Usar ATR calculado en el momento del breakout (ATR fijo de entrada), no recalculado dinámicamente</w:t>
            </w:r>
          </w:p>
        </w:tc>
      </w:tr>
      <w:tr>
        <w:tc>
          <w:tcPr>
            <w:tcW w:type="dxa" w:w="40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sz w:val="20"/>
                <w:szCs w:val="20"/>
              </w:rPr>
              <w:t xml:space="preserve">No hay mecanismo de time-based exit: una posición puede quedar abierta semanas sin resolverse</w:t>
            </w:r>
          </w:p>
        </w:tc>
        <w:tc>
          <w:tcPr>
            <w:tcW w:type="dxa" w:w="136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ALTA</w:t>
            </w:r>
          </w:p>
        </w:tc>
        <w:tc>
          <w:tcPr>
            <w:tcW w:type="dxa" w:w="4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Añadir cierre forzado si la posición lleva más de 72h sin alcanzar TP1 ni stop. Exit neutral.</w:t>
            </w:r>
          </w:p>
        </w:tc>
      </w:tr>
    </w:tbl>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333333"/>
          <w:sz w:val="26"/>
          <w:szCs w:val="26"/>
        </w:rPr>
        <w:t xml:space="preserve">2.2 Lo Que el Documento Afirma Pero No Es Cierto (o Es Incompleto)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r>
              <w:rPr>
                <w:rFonts w:ascii="Arial" w:cs="Arial" w:eastAsia="Arial" w:hAnsi="Arial"/>
                <w:color w:val="333333"/>
                <w:sz w:val="22"/>
                <w:szCs w:val="22"/>
              </w:rPr>
              <w:t xml:space="preserve">AFIRMACION ORIGINAL: 'Los mayores movimientos vienen de compresiones seguidas de explosiones'</w:t>
            </w:r>
          </w:p>
        </w:tc>
      </w:tr>
    </w:tbl>
    <w:p>
      <w:pPr>
        <w:spacing w:before="60" w:after="60"/>
      </w:pPr>
      <w:r>
        <w:t xml:space="preserve"/>
      </w:r>
    </w:p>
    <w:p>
      <w:pPr>
        <w:spacing w:before="80" w:after="100"/>
      </w:pPr>
      <w:r>
        <w:rPr>
          <w:rFonts w:ascii="Arial" w:cs="Arial" w:eastAsia="Arial" w:hAnsi="Arial"/>
          <w:sz w:val="22"/>
          <w:szCs w:val="22"/>
        </w:rPr>
        <w:t xml:space="preserve">Parcialmente cierto. Estudios cuantitativos (Hull, Connors) muestran que los breakouts post-compresión tienen éxito estadístico del 35-45%, no superior al 50%. La rentabilidad viene del ratio riesgo/beneficio asimétrico, no de la tasa de acierto. El documento implica que los breakouts 'reales' son más frecuentes de lo que son.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r>
              <w:rPr>
                <w:rFonts w:ascii="Arial" w:cs="Arial" w:eastAsia="Arial" w:hAnsi="Arial"/>
                <w:color w:val="333333"/>
                <w:sz w:val="22"/>
                <w:szCs w:val="22"/>
              </w:rPr>
              <w:t xml:space="preserve">AFIRMACION ORIGINAL: 'El volumen x2 elimina los falsos breakouts'</w:t>
            </w:r>
          </w:p>
        </w:tc>
      </w:tr>
    </w:tbl>
    <w:p>
      <w:pPr>
        <w:spacing w:before="60" w:after="60"/>
      </w:pPr>
      <w:r>
        <w:t xml:space="preserve"/>
      </w:r>
    </w:p>
    <w:p>
      <w:pPr>
        <w:spacing w:before="80" w:after="100"/>
      </w:pPr>
      <w:r>
        <w:rPr>
          <w:rFonts w:ascii="Arial" w:cs="Arial" w:eastAsia="Arial" w:hAnsi="Arial"/>
          <w:sz w:val="22"/>
          <w:szCs w:val="22"/>
        </w:rPr>
        <w:t xml:space="preserve">Falso como afirmación absoluta. En mercados crypto, el volumen puede ser manipulado mediante wash trading, especialmente en altcoins con menor profundidad de libro. Un spike de volumen artificial puede pasar todos los filtros y seguir siendo una trampa. El volumen debe complementarse con análisis de spread bid/ask y depth del libro de órdenes.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r>
              <w:rPr>
                <w:rFonts w:ascii="Arial" w:cs="Arial" w:eastAsia="Arial" w:hAnsi="Arial"/>
                <w:color w:val="333333"/>
                <w:sz w:val="22"/>
                <w:szCs w:val="22"/>
              </w:rPr>
              <w:t xml:space="preserve">AFIRMACION ORIGINAL: 'Cap mínima de 500M protege contra pump and dump'</w:t>
            </w:r>
          </w:p>
        </w:tc>
      </w:tr>
    </w:tbl>
    <w:p>
      <w:pPr>
        <w:spacing w:before="60" w:after="60"/>
      </w:pPr>
      <w:r>
        <w:t xml:space="preserve"/>
      </w:r>
    </w:p>
    <w:p>
      <w:pPr>
        <w:spacing w:before="80" w:after="100"/>
      </w:pPr>
      <w:r>
        <w:rPr>
          <w:rFonts w:ascii="Arial" w:cs="Arial" w:eastAsia="Arial" w:hAnsi="Arial"/>
          <w:sz w:val="22"/>
          <w:szCs w:val="22"/>
        </w:rPr>
        <w:t xml:space="preserve">Insuficiente. En mercados crypto, activos con capitalización de 2.000-5.000M han sufrido manipulaciones documentadas. El umbral correcto depende también del volumen diario promedio (liquidez real). Un activo con 800M de cap pero solo 10M de volumen diario es altamente manipulable. La métrica correcta es: market_cap / avg_daily_volume &gt; 20 como ratio mínimo de 'seguridad'.</w:t>
      </w:r>
    </w:p>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333333"/>
          <w:sz w:val="26"/>
          <w:szCs w:val="26"/>
        </w:rPr>
        <w:t xml:space="preserve">2.3 Lagunas Críticas No Cubiertas</w:t>
      </w:r>
    </w:p>
    <w:p>
      <w:pPr>
        <w:pStyle w:val="ListParagraph"/>
        <w:numPr>
          <w:ilvl w:val="0"/>
          <w:numId w:val="2"/>
        </w:numPr>
        <w:spacing w:before="40" w:after="40"/>
      </w:pPr>
      <w:r>
        <w:rPr>
          <w:rFonts w:ascii="Arial" w:cs="Arial" w:eastAsia="Arial" w:hAnsi="Arial"/>
          <w:b w:val="false"/>
          <w:bCs w:val="false"/>
          <w:sz w:val="22"/>
          <w:szCs w:val="22"/>
        </w:rPr>
        <w:t xml:space="preserve">Sin manejo de gaps de precio: si el activo abre con gap ya muy por encima del nivel de breakout (&gt;3%), la entrada puede ejecutarse en zona de sobreextensión. Sin regla para este caso.</w:t>
      </w:r>
    </w:p>
    <w:p>
      <w:pPr>
        <w:pStyle w:val="ListParagraph"/>
        <w:numPr>
          <w:ilvl w:val="0"/>
          <w:numId w:val="2"/>
        </w:numPr>
        <w:spacing w:before="40" w:after="40"/>
      </w:pPr>
      <w:r>
        <w:rPr>
          <w:rFonts w:ascii="Arial" w:cs="Arial" w:eastAsia="Arial" w:hAnsi="Arial"/>
          <w:b w:val="false"/>
          <w:bCs w:val="false"/>
          <w:sz w:val="22"/>
          <w:szCs w:val="22"/>
        </w:rPr>
        <w:t xml:space="preserve">Sin correlación entre posiciones: si el agente tiene la estrategia Alpha o Beta activa simultáneamente en el mismo activo, Gamma puede crear una exposición neta inesperada.</w:t>
      </w:r>
    </w:p>
    <w:p>
      <w:pPr>
        <w:pStyle w:val="ListParagraph"/>
        <w:numPr>
          <w:ilvl w:val="0"/>
          <w:numId w:val="2"/>
        </w:numPr>
        <w:spacing w:before="40" w:after="40"/>
      </w:pPr>
      <w:r>
        <w:rPr>
          <w:rFonts w:ascii="Arial" w:cs="Arial" w:eastAsia="Arial" w:hAnsi="Arial"/>
          <w:b w:val="false"/>
          <w:bCs w:val="false"/>
          <w:sz w:val="22"/>
          <w:szCs w:val="22"/>
        </w:rPr>
        <w:t xml:space="preserve">Sin filtro de spread: en momentos de alta volatilidad, el spread bid/ask se amplía y el slippage puede consumir el margen de error del stop loss.</w:t>
      </w:r>
    </w:p>
    <w:p>
      <w:pPr>
        <w:pStyle w:val="ListParagraph"/>
        <w:numPr>
          <w:ilvl w:val="0"/>
          <w:numId w:val="2"/>
        </w:numPr>
        <w:spacing w:before="40" w:after="40"/>
      </w:pPr>
      <w:r>
        <w:rPr>
          <w:rFonts w:ascii="Arial" w:cs="Arial" w:eastAsia="Arial" w:hAnsi="Arial"/>
          <w:b w:val="false"/>
          <w:bCs w:val="false"/>
          <w:sz w:val="22"/>
          <w:szCs w:val="22"/>
        </w:rPr>
        <w:t xml:space="preserve">Sin definición de 'máximo histórico' o 'máximo de varios meses': ¿cuántos meses? ¿Cómo maneja el agente activos que han estado en tendencia bajista larga sin máximos claros?</w:t>
      </w:r>
    </w:p>
    <w:p>
      <w:pPr>
        <w:pStyle w:val="ListParagraph"/>
        <w:numPr>
          <w:ilvl w:val="0"/>
          <w:numId w:val="2"/>
        </w:numPr>
        <w:spacing w:before="40" w:after="40"/>
      </w:pPr>
      <w:r>
        <w:rPr>
          <w:rFonts w:ascii="Arial" w:cs="Arial" w:eastAsia="Arial" w:hAnsi="Arial"/>
          <w:b w:val="false"/>
          <w:bCs w:val="false"/>
          <w:sz w:val="22"/>
          <w:szCs w:val="22"/>
        </w:rPr>
        <w:t xml:space="preserve">Sin backtest mínimo requerido: el documento no establece que el agente deba verificar si el setup específico tiene track record positivo en ese par antes de operar.</w:t>
      </w:r>
    </w:p>
    <w:p>
      <w:pPr>
        <w:spacing w:before="60" w:after="60"/>
      </w:pPr>
      <w:r>
        <w:t xml:space="preserve"/>
      </w:r>
    </w:p>
    <w:p>
      <w:pPr>
        <w:spacing w:before="60" w:after="60"/>
      </w:pPr>
      <w:r>
        <w:t xml:space="preserve"/>
      </w:r>
    </w:p>
    <w:p>
      <w:pPr>
        <w:pStyle w:val="Heading1"/>
        <w:spacing w:before="360" w:after="180"/>
      </w:pPr>
      <w:r>
        <w:rPr>
          <w:rFonts w:ascii="Arial" w:cs="Arial" w:eastAsia="Arial" w:hAnsi="Arial"/>
          <w:b/>
          <w:bCs/>
          <w:color w:val="1A56A0"/>
          <w:sz w:val="34"/>
          <w:szCs w:val="34"/>
        </w:rPr>
        <w:t xml:space="preserve">3. Estrategia Gamma Mejorada — Versión 2.0</w:t>
      </w:r>
    </w:p>
    <w:p>
      <w:pPr>
        <w:pBdr>
          <w:bottom w:val="single" w:color="DDDDDD" w:sz="4" w:space="1"/>
        </w:pBdr>
        <w:spacing w:before="100" w:after="200"/>
      </w:pPr>
    </w:p>
    <w:p>
      <w:pPr>
        <w:pStyle w:val="Heading2"/>
        <w:spacing w:before="280" w:after="140"/>
      </w:pPr>
      <w:r>
        <w:rPr>
          <w:rFonts w:ascii="Arial" w:cs="Arial" w:eastAsia="Arial" w:hAnsi="Arial"/>
          <w:b/>
          <w:bCs/>
          <w:color w:val="333333"/>
          <w:sz w:val="26"/>
          <w:szCs w:val="26"/>
        </w:rPr>
        <w:t xml:space="preserve">3.1 Filosofía Revisada</w:t>
      </w:r>
    </w:p>
    <w:p>
      <w:pPr>
        <w:spacing w:before="80" w:after="100"/>
      </w:pPr>
      <w:r>
        <w:rPr>
          <w:rFonts w:ascii="Arial" w:cs="Arial" w:eastAsia="Arial" w:hAnsi="Arial"/>
          <w:sz w:val="22"/>
          <w:szCs w:val="22"/>
        </w:rPr>
        <w:t xml:space="preserve">Los mercados crypto alternan entre fases de acumulación (compresión) y distribución/impulso (expansión). La Estrategia Gamma busca identificar el momento exacto en que una compresión de alta calidad se convierte en impulso sostenido, filtrando el ruido con cuatro capas de confirmación y gestionando el riesgo con precisión mecánica.</w:t>
      </w:r>
    </w:p>
    <w:p>
      <w:pPr>
        <w:spacing w:before="80" w:after="100"/>
      </w:pPr>
      <w:r>
        <w:rPr>
          <w:rFonts w:ascii="Arial" w:cs="Arial" w:eastAsia="Arial" w:hAnsi="Arial"/>
          <w:sz w:val="22"/>
          <w:szCs w:val="22"/>
        </w:rPr>
        <w:t xml:space="preserve">La tasa de acierto esperada es 35-42%. El sistema es rentable porque cada operación ganadora tiene un R/R mínimo de 2.5:1 y las perdedoras se cierran mecánicamente antes de que se conviertan en pérdidas grandes.</w:t>
      </w:r>
    </w:p>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333333"/>
          <w:sz w:val="26"/>
          <w:szCs w:val="26"/>
        </w:rPr>
        <w:t xml:space="preserve">3.2 Condiciones de Mercado Mejoradas</w:t>
      </w:r>
    </w:p>
    <w:p>
      <w:pPr>
        <w:spacing w:before="200" w:after="100"/>
      </w:pPr>
      <w:r>
        <w:rPr>
          <w:rFonts w:ascii="Arial" w:cs="Arial" w:eastAsia="Arial" w:hAnsi="Arial"/>
          <w:b/>
          <w:bCs/>
          <w:color w:val="333333"/>
          <w:sz w:val="24"/>
          <w:szCs w:val="24"/>
        </w:rPr>
        <w:t xml:space="preserve">Detección de Compresión (Mejorada)</w:t>
      </w:r>
    </w:p>
    <w:p>
      <w:pPr>
        <w:spacing w:before="80" w:after="100"/>
      </w:pPr>
      <w:r>
        <w:rPr>
          <w:rFonts w:ascii="Arial" w:cs="Arial" w:eastAsia="Arial" w:hAnsi="Arial"/>
          <w:sz w:val="22"/>
          <w:szCs w:val="22"/>
        </w:rPr>
        <w:t xml:space="preserve">Usar el ratio ATR adaptativo en lugar de ventanas fijas:</w:t>
      </w:r>
    </w:p>
    <w:p>
      <w:pPr>
        <w:pStyle w:val="ListParagraph"/>
        <w:numPr>
          <w:ilvl w:val="0"/>
          <w:numId w:val="2"/>
        </w:numPr>
        <w:spacing w:before="40" w:after="40"/>
      </w:pPr>
      <w:r>
        <w:rPr>
          <w:rFonts w:ascii="Arial" w:cs="Arial" w:eastAsia="Arial" w:hAnsi="Arial"/>
          <w:b w:val="false"/>
          <w:bCs w:val="false"/>
          <w:sz w:val="22"/>
          <w:szCs w:val="22"/>
        </w:rPr>
        <w:t xml:space="preserve">ATR_corto = ATR(10) sobre velas 4H</w:t>
      </w:r>
    </w:p>
    <w:p>
      <w:pPr>
        <w:pStyle w:val="ListParagraph"/>
        <w:numPr>
          <w:ilvl w:val="0"/>
          <w:numId w:val="2"/>
        </w:numPr>
        <w:spacing w:before="40" w:after="40"/>
      </w:pPr>
      <w:r>
        <w:rPr>
          <w:rFonts w:ascii="Arial" w:cs="Arial" w:eastAsia="Arial" w:hAnsi="Arial"/>
          <w:b w:val="false"/>
          <w:bCs w:val="false"/>
          <w:sz w:val="22"/>
          <w:szCs w:val="22"/>
        </w:rPr>
        <w:t xml:space="preserve">ATR_largo = ATR(50) sobre velas 4H</w:t>
      </w:r>
    </w:p>
    <w:p>
      <w:pPr>
        <w:pStyle w:val="ListParagraph"/>
        <w:numPr>
          <w:ilvl w:val="0"/>
          <w:numId w:val="2"/>
        </w:numPr>
        <w:spacing w:before="40" w:after="40"/>
      </w:pPr>
      <w:r>
        <w:rPr>
          <w:rFonts w:ascii="Arial" w:cs="Arial" w:eastAsia="Arial" w:hAnsi="Arial"/>
          <w:b w:val="false"/>
          <w:bCs w:val="false"/>
          <w:sz w:val="22"/>
          <w:szCs w:val="22"/>
        </w:rPr>
        <w:t xml:space="preserve">Ratio de compresión: ATR_corto / ATR_largo &lt; 0.55</w:t>
      </w:r>
    </w:p>
    <w:p>
      <w:pPr>
        <w:pStyle w:val="ListParagraph"/>
        <w:numPr>
          <w:ilvl w:val="0"/>
          <w:numId w:val="2"/>
        </w:numPr>
        <w:spacing w:before="40" w:after="40"/>
      </w:pPr>
      <w:r>
        <w:rPr>
          <w:rFonts w:ascii="Arial" w:cs="Arial" w:eastAsia="Arial" w:hAnsi="Arial"/>
          <w:b w:val="false"/>
          <w:bCs w:val="false"/>
          <w:sz w:val="22"/>
          <w:szCs w:val="22"/>
        </w:rPr>
        <w:t xml:space="preserve">Tiempo en compresión: el ratio debe ser &lt; 0.55 durante al menos 8 velas consecutivas (32h mínimo)</w:t>
      </w:r>
    </w:p>
    <w:p>
      <w:pPr>
        <w:pStyle w:val="ListParagraph"/>
        <w:numPr>
          <w:ilvl w:val="0"/>
          <w:numId w:val="2"/>
        </w:numPr>
        <w:spacing w:before="40" w:after="40"/>
      </w:pPr>
      <w:r>
        <w:rPr>
          <w:rFonts w:ascii="Arial" w:cs="Arial" w:eastAsia="Arial" w:hAnsi="Arial"/>
          <w:b w:val="false"/>
          <w:bCs w:val="false"/>
          <w:sz w:val="22"/>
          <w:szCs w:val="22"/>
        </w:rPr>
        <w:t xml:space="preserve">Compresión de alta calidad: ratio &lt; 0.45 durante 12+ velas — priorizar estos setups</w:t>
      </w:r>
    </w:p>
    <w:p>
      <w:pPr>
        <w:spacing w:before="60" w:after="60"/>
      </w:pPr>
      <w:r>
        <w:t xml:space="preserve"/>
      </w:r>
    </w:p>
    <w:p>
      <w:pPr>
        <w:spacing w:before="80" w:after="100"/>
      </w:pPr>
      <w:r>
        <w:rPr>
          <w:rFonts w:ascii="Arial" w:cs="Arial" w:eastAsia="Arial" w:hAnsi="Arial"/>
          <w:sz w:val="22"/>
          <w:szCs w:val="22"/>
        </w:rPr>
        <w:t xml:space="preserve">Añadir Bollinger Band Width como confirmador:</w:t>
      </w:r>
    </w:p>
    <w:p>
      <w:pPr>
        <w:pStyle w:val="ListParagraph"/>
        <w:numPr>
          <w:ilvl w:val="0"/>
          <w:numId w:val="2"/>
        </w:numPr>
        <w:spacing w:before="40" w:after="40"/>
      </w:pPr>
      <w:r>
        <w:rPr>
          <w:rFonts w:ascii="Arial" w:cs="Arial" w:eastAsia="Arial" w:hAnsi="Arial"/>
          <w:b w:val="false"/>
          <w:bCs w:val="false"/>
          <w:sz w:val="22"/>
          <w:szCs w:val="22"/>
        </w:rPr>
        <w:t xml:space="preserve">BBW(20,2) debe estar en el percentil 20 o inferior de los últimos 100 períodos — indica compresión extrema</w:t>
      </w:r>
    </w:p>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333333"/>
          <w:sz w:val="26"/>
          <w:szCs w:val="26"/>
        </w:rPr>
        <w:t xml:space="preserve">3.3 Condiciones del Breakout Válido (5 Criterios)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rPr>
          <w:tblHeader/>
        </w:trPr>
        <w:tc>
          <w:tcPr>
            <w:tcW w:type="dxa" w:w="72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564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Especificación Técnica</w:t>
            </w:r>
          </w:p>
        </w:tc>
      </w:tr>
      <w:tr>
        <w:tc>
          <w:tcPr>
            <w:tcW w:type="dxa" w:w="72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pPr>
              <w:jc w:val="center"/>
            </w:pPr>
            <w:r>
              <w:rPr>
                <w:rFonts w:ascii="Arial" w:cs="Arial" w:eastAsia="Arial" w:hAnsi="Arial"/>
                <w:b/>
                <w:bCs/>
                <w:color w:val="1A56A0"/>
                <w:sz w:val="20"/>
                <w:szCs w:val="20"/>
              </w:rPr>
              <w:t xml:space="preserve">1</w:t>
            </w:r>
          </w:p>
        </w:tc>
        <w:tc>
          <w:tcPr>
            <w:tcW w:type="dxa" w:w="3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b/>
                <w:bCs/>
                <w:sz w:val="20"/>
                <w:szCs w:val="20"/>
              </w:rPr>
              <w:t xml:space="preserve">Cierre sobre resistencia</w:t>
            </w:r>
          </w:p>
        </w:tc>
        <w:tc>
          <w:tcPr>
            <w:tcW w:type="dxa" w:w="564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Cierre 4H &gt; max(high, 20 velas previas) + 0.1%. El margen evita falsos cierres en el píxel exacto.</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56A0"/>
                <w:sz w:val="20"/>
                <w:szCs w:val="20"/>
              </w:rPr>
              <w:t xml:space="preserve">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Volumen dinámico</w:t>
            </w:r>
          </w:p>
        </w:tc>
        <w:tc>
          <w:tcPr>
            <w:tcW w:type="dxa" w:w="5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Volumen vela breakout &gt; media_vol(20) + 1.5 * stdev_vol(20). Threshold adaptativo al par.</w:t>
            </w:r>
          </w:p>
        </w:tc>
      </w:tr>
      <w:tr>
        <w:tc>
          <w:tcPr>
            <w:tcW w:type="dxa" w:w="72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pPr>
              <w:jc w:val="center"/>
            </w:pPr>
            <w:r>
              <w:rPr>
                <w:rFonts w:ascii="Arial" w:cs="Arial" w:eastAsia="Arial" w:hAnsi="Arial"/>
                <w:b/>
                <w:bCs/>
                <w:color w:val="1A56A0"/>
                <w:sz w:val="20"/>
                <w:szCs w:val="20"/>
              </w:rPr>
              <w:t xml:space="preserve">3</w:t>
            </w:r>
          </w:p>
        </w:tc>
        <w:tc>
          <w:tcPr>
            <w:tcW w:type="dxa" w:w="3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b/>
                <w:bCs/>
                <w:sz w:val="20"/>
                <w:szCs w:val="20"/>
              </w:rPr>
              <w:t xml:space="preserve">Momentum RSI</w:t>
            </w:r>
          </w:p>
        </w:tc>
        <w:tc>
          <w:tcPr>
            <w:tcW w:type="dxa" w:w="564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RSI(14) entre 52 y 80 sin divergencia bajista en las últimas 3 velas (máximos de precio subiendo, RSI no subiendo = divergencia = RECHAZAR).</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56A0"/>
                <w:sz w:val="20"/>
                <w:szCs w:val="20"/>
              </w:rPr>
              <w:t xml:space="preserve">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Calidad de vela</w:t>
            </w:r>
          </w:p>
        </w:tc>
        <w:tc>
          <w:tcPr>
            <w:tcW w:type="dxa" w:w="5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Cuerpo alcista &gt;= 55% del rango. Mecha superior &lt;= 20% del rango total. Cierre en el tercio superior de la vela.</w:t>
            </w:r>
          </w:p>
        </w:tc>
      </w:tr>
      <w:tr>
        <w:tc>
          <w:tcPr>
            <w:tcW w:type="dxa" w:w="72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pPr>
              <w:jc w:val="center"/>
            </w:pPr>
            <w:r>
              <w:rPr>
                <w:rFonts w:ascii="Arial" w:cs="Arial" w:eastAsia="Arial" w:hAnsi="Arial"/>
                <w:b/>
                <w:bCs/>
                <w:color w:val="1A56A0"/>
                <w:sz w:val="20"/>
                <w:szCs w:val="20"/>
              </w:rPr>
              <w:t xml:space="preserve">5</w:t>
            </w:r>
          </w:p>
        </w:tc>
        <w:tc>
          <w:tcPr>
            <w:tcW w:type="dxa" w:w="3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b/>
                <w:bCs/>
                <w:sz w:val="20"/>
                <w:szCs w:val="20"/>
              </w:rPr>
              <w:t xml:space="preserve">Espacio libre (NUEVO)</w:t>
            </w:r>
          </w:p>
        </w:tc>
        <w:tc>
          <w:tcPr>
            <w:tcW w:type="dxa" w:w="564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Distancia al siguiente nivel de resistencia &gt;= 8%. Calcular automáticamente desde niveles de Fibonacci y máximos anteriores.</w:t>
            </w:r>
          </w:p>
        </w:tc>
      </w:tr>
    </w:tbl>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333333"/>
          <w:sz w:val="26"/>
          <w:szCs w:val="26"/>
        </w:rPr>
        <w:t xml:space="preserve">3.4 Sistema de Entrada Mejorado</w:t>
      </w:r>
    </w:p>
    <w:p>
      <w:pPr>
        <w:spacing w:before="200" w:after="100"/>
      </w:pPr>
      <w:r>
        <w:rPr>
          <w:rFonts w:ascii="Arial" w:cs="Arial" w:eastAsia="Arial" w:hAnsi="Arial"/>
          <w:b/>
          <w:bCs/>
          <w:color w:val="333333"/>
          <w:sz w:val="24"/>
          <w:szCs w:val="24"/>
        </w:rPr>
        <w:t xml:space="preserve">Entrada Principal (preferida)</w:t>
      </w:r>
    </w:p>
    <w:p>
      <w:pPr>
        <w:pStyle w:val="ListParagraph"/>
        <w:numPr>
          <w:ilvl w:val="0"/>
          <w:numId w:val="2"/>
        </w:numPr>
        <w:spacing w:before="40" w:after="40"/>
      </w:pPr>
      <w:r>
        <w:rPr>
          <w:rFonts w:ascii="Arial" w:cs="Arial" w:eastAsia="Arial" w:hAnsi="Arial"/>
          <w:b w:val="false"/>
          <w:bCs w:val="false"/>
          <w:sz w:val="22"/>
          <w:szCs w:val="22"/>
        </w:rPr>
        <w:t xml:space="preserve">Tras confirmar los 5 criterios en el cierre de la vela breakout, colocar limit order en: precio_breakout * 0.998</w:t>
      </w:r>
    </w:p>
    <w:p>
      <w:pPr>
        <w:pStyle w:val="ListParagraph"/>
        <w:numPr>
          <w:ilvl w:val="0"/>
          <w:numId w:val="2"/>
        </w:numPr>
        <w:spacing w:before="40" w:after="40"/>
      </w:pPr>
      <w:r>
        <w:rPr>
          <w:rFonts w:ascii="Arial" w:cs="Arial" w:eastAsia="Arial" w:hAnsi="Arial"/>
          <w:b w:val="false"/>
          <w:bCs w:val="false"/>
          <w:sz w:val="22"/>
          <w:szCs w:val="22"/>
        </w:rPr>
        <w:t xml:space="preserve">Timeout: si no ejecuta en los primeros 45 minutos de la siguiente vela 4H, cancelar y monitorear el próximo setup</w:t>
      </w:r>
    </w:p>
    <w:p>
      <w:pPr>
        <w:pStyle w:val="ListParagraph"/>
        <w:numPr>
          <w:ilvl w:val="0"/>
          <w:numId w:val="2"/>
        </w:numPr>
        <w:spacing w:before="40" w:after="40"/>
      </w:pPr>
      <w:r>
        <w:rPr>
          <w:rFonts w:ascii="Arial" w:cs="Arial" w:eastAsia="Arial" w:hAnsi="Arial"/>
          <w:b w:val="false"/>
          <w:bCs w:val="false"/>
          <w:sz w:val="22"/>
          <w:szCs w:val="22"/>
        </w:rPr>
        <w:t xml:space="preserve">Condición adicional: BTC no debe haber caído más del 1.5% en las últimas 4h respecto al momento del breakout</w:t>
      </w:r>
    </w:p>
    <w:p>
      <w:pPr>
        <w:spacing w:before="60" w:after="60"/>
      </w:pPr>
      <w:r>
        <w:t xml:space="preserve"/>
      </w:r>
    </w:p>
    <w:p>
      <w:pPr>
        <w:spacing w:before="200" w:after="100"/>
      </w:pPr>
      <w:r>
        <w:rPr>
          <w:rFonts w:ascii="Arial" w:cs="Arial" w:eastAsia="Arial" w:hAnsi="Arial"/>
          <w:b/>
          <w:bCs/>
          <w:color w:val="333333"/>
          <w:sz w:val="24"/>
          <w:szCs w:val="24"/>
        </w:rPr>
        <w:t xml:space="preserve">Entrada Secundaria — Retesteo (Setup 2 mejorado)</w:t>
      </w:r>
    </w:p>
    <w:p>
      <w:pPr>
        <w:pStyle w:val="ListParagraph"/>
        <w:numPr>
          <w:ilvl w:val="0"/>
          <w:numId w:val="2"/>
        </w:numPr>
        <w:spacing w:before="40" w:after="40"/>
      </w:pPr>
      <w:r>
        <w:rPr>
          <w:rFonts w:ascii="Arial" w:cs="Arial" w:eastAsia="Arial" w:hAnsi="Arial"/>
          <w:b w:val="false"/>
          <w:bCs w:val="false"/>
          <w:sz w:val="22"/>
          <w:szCs w:val="22"/>
        </w:rPr>
        <w:t xml:space="preserve">Si la entrada principal no ejecutó, el precio puede retestar el nivel roto</w:t>
      </w:r>
    </w:p>
    <w:p>
      <w:pPr>
        <w:pStyle w:val="ListParagraph"/>
        <w:numPr>
          <w:ilvl w:val="0"/>
          <w:numId w:val="2"/>
        </w:numPr>
        <w:spacing w:before="40" w:after="40"/>
      </w:pPr>
      <w:r>
        <w:rPr>
          <w:rFonts w:ascii="Arial" w:cs="Arial" w:eastAsia="Arial" w:hAnsi="Arial"/>
          <w:b w:val="false"/>
          <w:bCs w:val="false"/>
          <w:sz w:val="22"/>
          <w:szCs w:val="22"/>
        </w:rPr>
        <w:t xml:space="preserve">Retesteo válido: precio toca nivel roto +/- 0.5%, RSI baja a zona 46-56, y rebota sin cerrar por debajo del nivel</w:t>
      </w:r>
    </w:p>
    <w:p>
      <w:pPr>
        <w:pStyle w:val="ListParagraph"/>
        <w:numPr>
          <w:ilvl w:val="0"/>
          <w:numId w:val="2"/>
        </w:numPr>
        <w:spacing w:before="40" w:after="40"/>
      </w:pPr>
      <w:r>
        <w:rPr>
          <w:rFonts w:ascii="Arial" w:cs="Arial" w:eastAsia="Arial" w:hAnsi="Arial"/>
          <w:b w:val="false"/>
          <w:bCs w:val="false"/>
          <w:sz w:val="22"/>
          <w:szCs w:val="22"/>
        </w:rPr>
        <w:t xml:space="preserve">Volumen en retesteo debe ser MENOR que en el breakout original (confirma que no hay presión vendedora)</w:t>
      </w:r>
    </w:p>
    <w:p>
      <w:pPr>
        <w:pStyle w:val="ListParagraph"/>
        <w:numPr>
          <w:ilvl w:val="0"/>
          <w:numId w:val="2"/>
        </w:numPr>
        <w:spacing w:before="40" w:after="40"/>
      </w:pPr>
      <w:r>
        <w:rPr>
          <w:rFonts w:ascii="Arial" w:cs="Arial" w:eastAsia="Arial" w:hAnsi="Arial"/>
          <w:b w:val="false"/>
          <w:bCs w:val="false"/>
          <w:sz w:val="22"/>
          <w:szCs w:val="22"/>
        </w:rPr>
        <w:t xml:space="preserve">Entrada en limit al cierre de la primera vela 4H que cierre por encima del nivel tras el retesteo</w:t>
      </w:r>
    </w:p>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333333"/>
          <w:sz w:val="26"/>
          <w:szCs w:val="26"/>
        </w:rPr>
        <w:t xml:space="preserve">3.5 Gestión de la Posición (Revisada)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30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288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Versión Original</w:t>
            </w:r>
          </w:p>
        </w:tc>
        <w:tc>
          <w:tcPr>
            <w:tcW w:type="dxa" w:w="348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Versión Mejorada</w:t>
            </w:r>
          </w:p>
        </w:tc>
      </w:tr>
      <w:tr>
        <w:tc>
          <w:tcPr>
            <w:tcW w:type="dxa" w:w="3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Tamaño posición</w:t>
            </w:r>
          </w:p>
        </w:tc>
        <w:tc>
          <w:tcPr>
            <w:tcW w:type="dxa" w:w="28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5% capital fijo</w:t>
            </w:r>
          </w:p>
        </w:tc>
        <w:tc>
          <w:tcPr>
            <w:tcW w:type="dxa" w:w="34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3-5% capital variable: 3% si ATR_ratio &lt; 0.45 (setup de alta calidad), 5% si ATR_ratio 0.45-0.55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Stop loss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Nivel breakout - 1% o cierre bajo rango</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Entrada - 1.5 * ATR(14) al momento de entrada. Hard stop, no basado en cierre de vela.</w:t>
            </w:r>
          </w:p>
        </w:tc>
      </w:tr>
      <w:tr>
        <w:tc>
          <w:tcPr>
            <w:tcW w:type="dxa" w:w="3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Take Profit 1 (50%)</w:t>
            </w:r>
          </w:p>
        </w:tc>
        <w:tc>
          <w:tcPr>
            <w:tcW w:type="dxa" w:w="28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Entrada + 2x ATR</w:t>
            </w:r>
          </w:p>
        </w:tc>
        <w:tc>
          <w:tcPr>
            <w:tcW w:type="dxa" w:w="34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Entrada + 2.2 * ATR(14). Ejecutar como limit order, no market.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Take Profit 2 (50%)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Trailing 2 ATR dinámico</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Trailing de 1.8 * ATR_entrada (fijo al momento de apertura). El ATR no se recalcula.</w:t>
            </w:r>
          </w:p>
        </w:tc>
      </w:tr>
      <w:tr>
        <w:tc>
          <w:tcPr>
            <w:tcW w:type="dxa" w:w="3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Time exit (NUEVO)</w:t>
            </w:r>
          </w:p>
        </w:tc>
        <w:tc>
          <w:tcPr>
            <w:tcW w:type="dxa" w:w="28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No existe</w:t>
            </w:r>
          </w:p>
        </w:tc>
        <w:tc>
          <w:tcPr>
            <w:tcW w:type="dxa" w:w="34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Si en 72h no se alcanza TP1 ni se activa stop: cerrar el 50% de la posición a mercado. Dejar el 50% correr.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Gap exit (NUEVO)</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 existe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Si el precio abre con gap &gt; 3% por encima del nivel de entrada calculado: NO entrar. Setup invalidado.</w:t>
            </w:r>
          </w:p>
        </w:tc>
      </w:tr>
    </w:tbl>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333333"/>
          <w:sz w:val="26"/>
          <w:szCs w:val="26"/>
        </w:rPr>
        <w:t xml:space="preserve">3.6 Filtros de Contexto Ampliados</w:t>
      </w:r>
    </w:p>
    <w:p>
      <w:pPr>
        <w:spacing w:before="200" w:after="100"/>
      </w:pPr>
      <w:r>
        <w:rPr>
          <w:rFonts w:ascii="Arial" w:cs="Arial" w:eastAsia="Arial" w:hAnsi="Arial"/>
          <w:b/>
          <w:bCs/>
          <w:color w:val="333333"/>
          <w:sz w:val="24"/>
          <w:szCs w:val="24"/>
        </w:rPr>
        <w:t xml:space="preserve">Filtro BTC (Mejorado)</w:t>
      </w:r>
    </w:p>
    <w:p>
      <w:pPr>
        <w:pStyle w:val="ListParagraph"/>
        <w:numPr>
          <w:ilvl w:val="0"/>
          <w:numId w:val="2"/>
        </w:numPr>
        <w:spacing w:before="40" w:after="40"/>
      </w:pPr>
      <w:r>
        <w:rPr>
          <w:rFonts w:ascii="Arial" w:cs="Arial" w:eastAsia="Arial" w:hAnsi="Arial"/>
          <w:b w:val="false"/>
          <w:bCs w:val="false"/>
          <w:sz w:val="22"/>
          <w:szCs w:val="22"/>
        </w:rPr>
        <w:t xml:space="preserve">BTC_tendencia = EMA(20) &gt; EMA(50) en 4H = tendencia alcista. Requerido para operar con tamaño completo.</w:t>
      </w:r>
    </w:p>
    <w:p>
      <w:pPr>
        <w:pStyle w:val="ListParagraph"/>
        <w:numPr>
          <w:ilvl w:val="0"/>
          <w:numId w:val="2"/>
        </w:numPr>
        <w:spacing w:before="40" w:after="40"/>
      </w:pPr>
      <w:r>
        <w:rPr>
          <w:rFonts w:ascii="Arial" w:cs="Arial" w:eastAsia="Arial" w:hAnsi="Arial"/>
          <w:b w:val="false"/>
          <w:bCs w:val="false"/>
          <w:sz w:val="22"/>
          <w:szCs w:val="22"/>
        </w:rPr>
        <w:t xml:space="preserve">BTC neutral: EMA(20) entre EMA(50) y EMA(50) * 0.97 — operar con 50% del tamaño normal.</w:t>
      </w:r>
    </w:p>
    <w:p>
      <w:pPr>
        <w:pStyle w:val="ListParagraph"/>
        <w:numPr>
          <w:ilvl w:val="0"/>
          <w:numId w:val="2"/>
        </w:numPr>
        <w:spacing w:before="40" w:after="40"/>
      </w:pPr>
      <w:r>
        <w:rPr>
          <w:rFonts w:ascii="Arial" w:cs="Arial" w:eastAsia="Arial" w:hAnsi="Arial"/>
          <w:b w:val="false"/>
          <w:bCs w:val="false"/>
          <w:sz w:val="22"/>
          <w:szCs w:val="22"/>
        </w:rPr>
        <w:t xml:space="preserve">BTC bajista: EMA(20) &lt; EMA(50) * 0.97 — NO operar Gamma. Sin excepciones.</w:t>
      </w:r>
    </w:p>
    <w:p>
      <w:pPr>
        <w:spacing w:before="60" w:after="60"/>
      </w:pPr>
      <w:r>
        <w:t xml:space="preserve"/>
      </w:r>
    </w:p>
    <w:p>
      <w:pPr>
        <w:spacing w:before="200" w:after="100"/>
      </w:pPr>
      <w:r>
        <w:rPr>
          <w:rFonts w:ascii="Arial" w:cs="Arial" w:eastAsia="Arial" w:hAnsi="Arial"/>
          <w:b/>
          <w:bCs/>
          <w:color w:val="333333"/>
          <w:sz w:val="24"/>
          <w:szCs w:val="24"/>
        </w:rPr>
        <w:t xml:space="preserve">Filtro de Liquidez Real (Nuevo — reemplaza umbral cap 500M)</w:t>
      </w:r>
    </w:p>
    <w:p>
      <w:pPr>
        <w:pStyle w:val="ListParagraph"/>
        <w:numPr>
          <w:ilvl w:val="0"/>
          <w:numId w:val="2"/>
        </w:numPr>
        <w:spacing w:before="40" w:after="40"/>
      </w:pPr>
      <w:r>
        <w:rPr>
          <w:rFonts w:ascii="Arial" w:cs="Arial" w:eastAsia="Arial" w:hAnsi="Arial"/>
          <w:b w:val="false"/>
          <w:bCs w:val="false"/>
          <w:sz w:val="22"/>
          <w:szCs w:val="22"/>
        </w:rPr>
        <w:t xml:space="preserve">Condición: avg_volume_24h (media 7 dias) &gt; 15.000.000 USD</w:t>
      </w:r>
    </w:p>
    <w:p>
      <w:pPr>
        <w:pStyle w:val="ListParagraph"/>
        <w:numPr>
          <w:ilvl w:val="0"/>
          <w:numId w:val="2"/>
        </w:numPr>
        <w:spacing w:before="40" w:after="40"/>
      </w:pPr>
      <w:r>
        <w:rPr>
          <w:rFonts w:ascii="Arial" w:cs="Arial" w:eastAsia="Arial" w:hAnsi="Arial"/>
          <w:b w:val="false"/>
          <w:bCs w:val="false"/>
          <w:sz w:val="22"/>
          <w:szCs w:val="22"/>
        </w:rPr>
        <w:t xml:space="preserve">Condicion adicional: market_cap / avg_volume_24h entre 5 y 50. Ratio &lt; 5 = posible manipulacion. Ratio &gt; 50 = iliquidez.</w:t>
      </w:r>
    </w:p>
    <w:p>
      <w:pPr>
        <w:pStyle w:val="ListParagraph"/>
        <w:numPr>
          <w:ilvl w:val="0"/>
          <w:numId w:val="2"/>
        </w:numPr>
        <w:spacing w:before="40" w:after="40"/>
      </w:pPr>
      <w:r>
        <w:rPr>
          <w:rFonts w:ascii="Arial" w:cs="Arial" w:eastAsia="Arial" w:hAnsi="Arial"/>
          <w:b w:val="false"/>
          <w:bCs w:val="false"/>
          <w:sz w:val="22"/>
          <w:szCs w:val="22"/>
        </w:rPr>
        <w:t xml:space="preserve">Spread bid/ask en el momento de la entrada &lt; 0.15%. Si es mayor, escalar el stop loss en consecuencia o no entrar.</w:t>
      </w:r>
    </w:p>
    <w:p>
      <w:pPr>
        <w:spacing w:before="60" w:after="60"/>
      </w:pPr>
      <w:r>
        <w:t xml:space="preserve"/>
      </w:r>
    </w:p>
    <w:p>
      <w:pPr>
        <w:spacing w:before="200" w:after="100"/>
      </w:pPr>
      <w:r>
        <w:rPr>
          <w:rFonts w:ascii="Arial" w:cs="Arial" w:eastAsia="Arial" w:hAnsi="Arial"/>
          <w:b/>
          <w:bCs/>
          <w:color w:val="333333"/>
          <w:sz w:val="24"/>
          <w:szCs w:val="24"/>
        </w:rPr>
        <w:t xml:space="preserve">Filtro de Historial del Par (Nuevo)</w:t>
      </w:r>
    </w:p>
    <w:p>
      <w:pPr>
        <w:pStyle w:val="ListParagraph"/>
        <w:numPr>
          <w:ilvl w:val="0"/>
          <w:numId w:val="2"/>
        </w:numPr>
        <w:spacing w:before="40" w:after="40"/>
      </w:pPr>
      <w:r>
        <w:rPr>
          <w:rFonts w:ascii="Arial" w:cs="Arial" w:eastAsia="Arial" w:hAnsi="Arial"/>
          <w:b w:val="false"/>
          <w:bCs w:val="false"/>
          <w:sz w:val="22"/>
          <w:szCs w:val="22"/>
        </w:rPr>
        <w:t xml:space="preserve">El agente debe mantener un registro de los ultimos 20 trades en ese par. Si el win rate es &lt; 25% en ese par especifico, reducir tamaño de posicion a 2% hasta que mejore o pausar 2 semanas.</w:t>
      </w:r>
    </w:p>
    <w:p>
      <w:pPr>
        <w:pStyle w:val="ListParagraph"/>
        <w:numPr>
          <w:ilvl w:val="0"/>
          <w:numId w:val="2"/>
        </w:numPr>
        <w:spacing w:before="40" w:after="40"/>
      </w:pPr>
      <w:r>
        <w:rPr>
          <w:rFonts w:ascii="Arial" w:cs="Arial" w:eastAsia="Arial" w:hAnsi="Arial"/>
          <w:b w:val="false"/>
          <w:bCs w:val="false"/>
          <w:sz w:val="22"/>
          <w:szCs w:val="22"/>
        </w:rPr>
        <w:t xml:space="preserve">Si hay 3 falsos breakouts consecutivos en el mismo nivel de resistencia: marcar ese nivel como 'resistencia fuerte', requerir volumen x3 para validar el breakout siguiente.</w:t>
      </w:r>
    </w:p>
    <w:p>
      <w:pPr>
        <w:spacing w:before="60" w:after="60"/>
      </w:pPr>
      <w:r>
        <w:t xml:space="preserve"/>
      </w:r>
    </w:p>
    <w:p>
      <w:pPr>
        <w:spacing w:before="60" w:after="60"/>
      </w:pPr>
      <w:r>
        <w:t xml:space="preserve"/>
      </w:r>
    </w:p>
    <w:p>
      <w:pPr>
        <w:pStyle w:val="Heading2"/>
        <w:spacing w:before="280" w:after="140"/>
      </w:pPr>
      <w:r>
        <w:rPr>
          <w:rFonts w:ascii="Arial" w:cs="Arial" w:eastAsia="Arial" w:hAnsi="Arial"/>
          <w:b/>
          <w:bCs/>
          <w:color w:val="333333"/>
          <w:sz w:val="26"/>
          <w:szCs w:val="26"/>
        </w:rPr>
        <w:t xml:space="preserve">3.7 Setups de Alta Convicción (Actualizados)</w:t>
      </w:r>
    </w:p>
    <w:p>
      <w:pPr>
        <w:spacing w:before="200" w:after="100"/>
      </w:pPr>
      <w:r>
        <w:rPr>
          <w:rFonts w:ascii="Arial" w:cs="Arial" w:eastAsia="Arial" w:hAnsi="Arial"/>
          <w:b/>
          <w:bCs/>
          <w:color w:val="333333"/>
          <w:sz w:val="24"/>
          <w:szCs w:val="24"/>
        </w:rPr>
        <w:t xml:space="preserve">Setup 1 — Triangulo Ascendente (Mejorado)</w:t>
      </w:r>
    </w:p>
    <w:p>
      <w:pPr>
        <w:spacing w:before="80" w:after="100"/>
      </w:pPr>
      <w:r>
        <w:rPr>
          <w:rFonts w:ascii="Arial" w:cs="Arial" w:eastAsia="Arial" w:hAnsi="Arial"/>
          <w:sz w:val="22"/>
          <w:szCs w:val="22"/>
        </w:rPr>
        <w:t xml:space="preserve">Requisito adicional: la convergencia del triangulo debe completarse en un maximo de 60 velas 4H (10 dias). Triangulos que tardan mas en resolver tienen menor momentum acumulado y breakouts menos explosivos estadisticamente.</w:t>
      </w:r>
    </w:p>
    <w:p>
      <w:pPr>
        <w:spacing w:before="60" w:after="60"/>
      </w:pPr>
      <w:r>
        <w:t xml:space="preserve"/>
      </w:r>
    </w:p>
    <w:p>
      <w:pPr>
        <w:spacing w:before="200" w:after="100"/>
      </w:pPr>
      <w:r>
        <w:rPr>
          <w:rFonts w:ascii="Arial" w:cs="Arial" w:eastAsia="Arial" w:hAnsi="Arial"/>
          <w:b/>
          <w:bCs/>
          <w:color w:val="333333"/>
          <w:sz w:val="24"/>
          <w:szCs w:val="24"/>
        </w:rPr>
        <w:t xml:space="preserve">Setup 2 — Retesteo Post-Breakout (Mejorado)</w:t>
      </w:r>
    </w:p>
    <w:p>
      <w:pPr>
        <w:spacing w:before="80" w:after="100"/>
      </w:pPr>
      <w:r>
        <w:rPr>
          <w:rFonts w:ascii="Arial" w:cs="Arial" w:eastAsia="Arial" w:hAnsi="Arial"/>
          <w:sz w:val="22"/>
          <w:szCs w:val="22"/>
        </w:rPr>
        <w:t xml:space="preserve">Anadir condicion de profundidad del retesteo: el precio no debe bajar mas del 38.2% de Fibonacci del movimiento de breakout. Si baja mas del 38.2% Fib, el setup esta debilitado. Si baja mas del 50% Fib: setup invalidado.</w:t>
      </w:r>
    </w:p>
    <w:p>
      <w:pPr>
        <w:spacing w:before="60" w:after="60"/>
      </w:pPr>
      <w:r>
        <w:t xml:space="preserve"/>
      </w:r>
    </w:p>
    <w:p>
      <w:pPr>
        <w:spacing w:before="200" w:after="100"/>
      </w:pPr>
      <w:r>
        <w:rPr>
          <w:rFonts w:ascii="Arial" w:cs="Arial" w:eastAsia="Arial" w:hAnsi="Arial"/>
          <w:b/>
          <w:bCs/>
          <w:color w:val="333333"/>
          <w:sz w:val="24"/>
          <w:szCs w:val="24"/>
        </w:rPr>
        <w:t xml:space="preserve">Setup 3 — Acumulacion Silenciosa (Mejorado)</w:t>
      </w:r>
    </w:p>
    <w:p>
      <w:pPr>
        <w:spacing w:before="80" w:after="100"/>
      </w:pPr>
      <w:r>
        <w:rPr>
          <w:rFonts w:ascii="Arial" w:cs="Arial" w:eastAsia="Arial" w:hAnsi="Arial"/>
          <w:sz w:val="22"/>
          <w:szCs w:val="22"/>
        </w:rPr>
        <w:t xml:space="preserve">El spike de volumen debe ser x3 sobre la media Y el precio debe cerrar en el 25% superior de la vela. Ademas: verificar que el spike no coincide con un anuncio de exchange (listing, delistin, cambio de comisiones) — estos spikes son tecnicamente validos pero tienen seguimiento menos predecible.</w:t>
      </w:r>
    </w:p>
    <w:p>
      <w:pPr>
        <w:spacing w:before="60" w:after="60"/>
      </w:pPr>
      <w:r>
        <w:t xml:space="preserve"/>
      </w:r>
    </w:p>
    <w:p>
      <w:pPr>
        <w:spacing w:before="200" w:after="100"/>
      </w:pPr>
      <w:r>
        <w:rPr>
          <w:rFonts w:ascii="Arial" w:cs="Arial" w:eastAsia="Arial" w:hAnsi="Arial"/>
          <w:b/>
          <w:bCs/>
          <w:color w:val="333333"/>
          <w:sz w:val="24"/>
          <w:szCs w:val="24"/>
        </w:rPr>
        <w:t xml:space="preserve">Setup 4 — Rango con Acumulacion en Maximo del Rango (NUEVO)</w:t>
      </w:r>
    </w:p>
    <w:p>
      <w:pPr>
        <w:spacing w:before="80" w:after="100"/>
      </w:pPr>
      <w:r>
        <w:rPr>
          <w:rFonts w:ascii="Arial" w:cs="Arial" w:eastAsia="Arial" w:hAnsi="Arial"/>
          <w:sz w:val="22"/>
          <w:szCs w:val="22"/>
        </w:rPr>
        <w:t xml:space="preserve">Si el precio ha estado en rango durante 15+ velas 4H y las ultimas 5 velas cierran consistentemente en el 30% superior del rango (presion compradora sin romper todavia), este es un setup de pre-breakout de alta probabilidad. Preparar entrada inmediatamente cuando se den los 5 criterios.</w:t>
      </w:r>
    </w:p>
    <w:p>
      <w:pPr>
        <w:spacing w:before="60" w:after="60"/>
      </w:pPr>
      <w:r>
        <w:t xml:space="preserve"/>
      </w:r>
    </w:p>
    <w:p>
      <w:pPr>
        <w:spacing w:before="60" w:after="60"/>
      </w:pPr>
      <w:r>
        <w:t xml:space="preserve"/>
      </w:r>
    </w:p>
    <w:p>
      <w:pPr>
        <w:pStyle w:val="Heading1"/>
        <w:spacing w:before="360" w:after="180"/>
      </w:pPr>
      <w:r>
        <w:rPr>
          <w:rFonts w:ascii="Arial" w:cs="Arial" w:eastAsia="Arial" w:hAnsi="Arial"/>
          <w:b/>
          <w:bCs/>
          <w:color w:val="1A56A0"/>
          <w:sz w:val="34"/>
          <w:szCs w:val="34"/>
        </w:rPr>
        <w:t xml:space="preserve">4. Tabla de Condiciones de NO-OPERACION (Mejorada)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Condicion</w:t>
            </w:r>
          </w:p>
        </w:tc>
        <w:tc>
          <w:tcPr>
            <w:tcW w:type="dxa" w:w="24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Version Original</w:t>
            </w:r>
          </w:p>
        </w:tc>
        <w:tc>
          <w:tcPr>
            <w:tcW w:type="dxa" w:w="39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Version Mejorada</w:t>
            </w:r>
          </w:p>
        </w:tc>
      </w:tr>
      <w:tr>
        <w:tc>
          <w:tcPr>
            <w:tcW w:type="dxa" w:w="3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Sin compresion previa</w:t>
            </w:r>
          </w:p>
        </w:tc>
        <w:tc>
          <w:tcPr>
            <w:tcW w:type="dxa" w:w="24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ATR 15 &lt; 60% ATR 40</w:t>
            </w:r>
          </w:p>
        </w:tc>
        <w:tc>
          <w:tcPr>
            <w:tcW w:type="dxa" w:w="396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ATR(10)/ATR(50) &lt; 0.55 por 8+ velas consecutivas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Volumen insuficiente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 2x media</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 media + 1.5*stdev (umbral dinamico)</w:t>
            </w:r>
          </w:p>
        </w:tc>
      </w:tr>
      <w:tr>
        <w:tc>
          <w:tcPr>
            <w:tcW w:type="dxa" w:w="3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Evento macro</w:t>
            </w:r>
          </w:p>
        </w:tc>
        <w:tc>
          <w:tcPr>
            <w:tcW w:type="dxa" w:w="24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8h antes</w:t>
            </w:r>
          </w:p>
        </w:tc>
        <w:tc>
          <w:tcPr>
            <w:tcW w:type="dxa" w:w="396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12h antes. Anadir: earnings de empresa relacionada con el sector del activo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Posicion abierta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Una posicion por par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Una posicion por par Y verificar exposicion total cross-activos &lt; 15% del capital</w:t>
            </w:r>
          </w:p>
        </w:tc>
      </w:tr>
      <w:tr>
        <w:tc>
          <w:tcPr>
            <w:tcW w:type="dxa" w:w="3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Cap baja</w:t>
            </w:r>
          </w:p>
        </w:tc>
        <w:tc>
          <w:tcPr>
            <w:tcW w:type="dxa" w:w="24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&lt; 500M USD</w:t>
            </w:r>
          </w:p>
        </w:tc>
        <w:tc>
          <w:tcPr>
            <w:tcW w:type="dxa" w:w="396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Vol_24h &lt; 15M USD O market_cap/vol_24h fuera de rango 5-50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Baja liquidez temporal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Domingos 00-08 UTC</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Domingos 00-10 UTC + cualquier dia festivo mayor USA/Asia + primeras 2h tras reset semanal de funding</w:t>
            </w:r>
          </w:p>
        </w:tc>
      </w:tr>
      <w:tr>
        <w:tc>
          <w:tcPr>
            <w:tcW w:type="dxa" w:w="3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BTC bajista (NUEVO)</w:t>
            </w:r>
          </w:p>
        </w:tc>
        <w:tc>
          <w:tcPr>
            <w:tcW w:type="dxa" w:w="24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No contemplado</w:t>
            </w:r>
          </w:p>
        </w:tc>
        <w:tc>
          <w:tcPr>
            <w:tcW w:type="dxa" w:w="396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BTC con EMA20 &lt; EMA50 * 0.97 en 4H — estrategia pausada completamente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Consecutivos fallidos (NUEVO)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 contemplado</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operaciones perdedoras seguidas — pausa de 48h obligatoria para revision</w:t>
            </w:r>
          </w:p>
        </w:tc>
      </w:tr>
    </w:tbl>
    <w:p>
      <w:pPr>
        <w:spacing w:before="60" w:after="60"/>
      </w:pPr>
      <w:r>
        <w:t xml:space="preserve"/>
      </w:r>
    </w:p>
    <w:p>
      <w:pPr>
        <w:spacing w:before="60" w:after="60"/>
      </w:pPr>
      <w:r>
        <w:t xml:space="preserve"/>
      </w:r>
    </w:p>
    <w:p>
      <w:pPr>
        <w:pStyle w:val="Heading1"/>
        <w:spacing w:before="360" w:after="180"/>
      </w:pPr>
      <w:r>
        <w:rPr>
          <w:rFonts w:ascii="Arial" w:cs="Arial" w:eastAsia="Arial" w:hAnsi="Arial"/>
          <w:b/>
          <w:bCs/>
          <w:color w:val="1A56A0"/>
          <w:sz w:val="34"/>
          <w:szCs w:val="34"/>
        </w:rPr>
        <w:t xml:space="preserve">5. Sistema de Scoring para Priorizar Setups</w:t>
      </w:r>
    </w:p>
    <w:p>
      <w:pPr>
        <w:spacing w:before="80" w:after="100"/>
      </w:pPr>
      <w:r>
        <w:rPr>
          <w:rFonts w:ascii="Arial" w:cs="Arial" w:eastAsia="Arial" w:hAnsi="Arial"/>
          <w:sz w:val="22"/>
          <w:szCs w:val="22"/>
        </w:rPr>
        <w:t xml:space="preserve">Cuando hay multiples activos con setup Gamma simultaneo, el agente debe priorizar usando este sistema de puntuacion: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680"/>
        <w:gridCol w:w="2680"/>
      </w:tblGrid>
      <w:tr>
        <w:trPr>
          <w:tblHeader/>
        </w:trPr>
        <w:tc>
          <w:tcPr>
            <w:tcW w:type="dxa" w:w="50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Factor de Scoring</w:t>
            </w:r>
          </w:p>
        </w:tc>
        <w:tc>
          <w:tcPr>
            <w:tcW w:type="dxa" w:w="168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Puntos</w:t>
            </w:r>
          </w:p>
        </w:tc>
        <w:tc>
          <w:tcPr>
            <w:tcW w:type="dxa" w:w="268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Condicion</w:t>
            </w:r>
          </w:p>
        </w:tc>
      </w:tr>
      <w:tr>
        <w:tc>
          <w:tcPr>
            <w:tcW w:type="dxa" w:w="5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Ratio de compresion &lt; 0.45</w:t>
            </w:r>
          </w:p>
        </w:tc>
        <w:tc>
          <w:tcPr>
            <w:tcW w:type="dxa" w:w="16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pPr>
              <w:jc w:val="center"/>
            </w:pPr>
            <w:r>
              <w:rPr>
                <w:rFonts w:ascii="Arial" w:cs="Arial" w:eastAsia="Arial" w:hAnsi="Arial"/>
                <w:b/>
                <w:bCs/>
                <w:color w:val="1A7A3C"/>
                <w:sz w:val="20"/>
                <w:szCs w:val="20"/>
              </w:rPr>
              <w:t xml:space="preserve">+2</w:t>
            </w:r>
          </w:p>
        </w:tc>
        <w:tc>
          <w:tcPr>
            <w:tcW w:type="dxa" w:w="26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Compresion extrema</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Compresion &gt; 15 velas consecutivas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3C"/>
                <w:sz w:val="20"/>
                <w:szCs w:val="20"/>
              </w:rPr>
              <w:t xml:space="preserve">+2</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Mayor energia acumulada</w:t>
            </w:r>
          </w:p>
        </w:tc>
      </w:tr>
      <w:tr>
        <w:tc>
          <w:tcPr>
            <w:tcW w:type="dxa" w:w="5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Volumen breakout &gt; media + 2.5*stdev</w:t>
            </w:r>
          </w:p>
        </w:tc>
        <w:tc>
          <w:tcPr>
            <w:tcW w:type="dxa" w:w="16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pPr>
              <w:jc w:val="center"/>
            </w:pPr>
            <w:r>
              <w:rPr>
                <w:rFonts w:ascii="Arial" w:cs="Arial" w:eastAsia="Arial" w:hAnsi="Arial"/>
                <w:b/>
                <w:bCs/>
                <w:color w:val="1A7A3C"/>
                <w:sz w:val="20"/>
                <w:szCs w:val="20"/>
              </w:rPr>
              <w:t xml:space="preserve">+2</w:t>
            </w:r>
          </w:p>
        </w:tc>
        <w:tc>
          <w:tcPr>
            <w:tcW w:type="dxa" w:w="26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Conviccion institucional</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BTC en tendencia alcista fuerte (EMA20 &gt; EMA50 * 1.02)</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3C"/>
                <w:sz w:val="20"/>
                <w:szCs w:val="20"/>
              </w:rPr>
              <w:t xml:space="preserve">+2</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Viento de cola</w:t>
            </w:r>
          </w:p>
        </w:tc>
      </w:tr>
      <w:tr>
        <w:tc>
          <w:tcPr>
            <w:tcW w:type="dxa" w:w="5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Espacio libre hasta proxima resistencia &gt; 12%</w:t>
            </w:r>
          </w:p>
        </w:tc>
        <w:tc>
          <w:tcPr>
            <w:tcW w:type="dxa" w:w="16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pPr>
              <w:jc w:val="center"/>
            </w:pPr>
            <w:r>
              <w:rPr>
                <w:rFonts w:ascii="Arial" w:cs="Arial" w:eastAsia="Arial" w:hAnsi="Arial"/>
                <w:b/>
                <w:bCs/>
                <w:color w:val="1A7A3C"/>
                <w:sz w:val="20"/>
                <w:szCs w:val="20"/>
              </w:rPr>
              <w:t xml:space="preserve">+2</w:t>
            </w:r>
          </w:p>
        </w:tc>
        <w:tc>
          <w:tcPr>
            <w:tcW w:type="dxa" w:w="26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Mas recorrido potencial</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RSI entre 58 y 68 (zona optima de momentum)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3C"/>
                <w:sz w:val="20"/>
                <w:szCs w:val="20"/>
              </w:rPr>
              <w:t xml:space="preserve">+1</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Momentum saludable</w:t>
            </w:r>
          </w:p>
        </w:tc>
      </w:tr>
      <w:tr>
        <w:tc>
          <w:tcPr>
            <w:tcW w:type="dxa" w:w="5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Retesteo exitoso confirmado</w:t>
            </w:r>
          </w:p>
        </w:tc>
        <w:tc>
          <w:tcPr>
            <w:tcW w:type="dxa" w:w="16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pPr>
              <w:jc w:val="center"/>
            </w:pPr>
            <w:r>
              <w:rPr>
                <w:rFonts w:ascii="Arial" w:cs="Arial" w:eastAsia="Arial" w:hAnsi="Arial"/>
                <w:b/>
                <w:bCs/>
                <w:color w:val="1A7A3C"/>
                <w:sz w:val="20"/>
                <w:szCs w:val="20"/>
              </w:rPr>
              <w:t xml:space="preserve">+1</w:t>
            </w:r>
          </w:p>
        </w:tc>
        <w:tc>
          <w:tcPr>
            <w:tcW w:type="dxa" w:w="26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Doble confirmacion</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Win rate historico en ese par &gt; 40%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3C"/>
                <w:sz w:val="20"/>
                <w:szCs w:val="20"/>
              </w:rPr>
              <w:t xml:space="preserve">+1</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Track record positivo</w:t>
            </w:r>
          </w:p>
        </w:tc>
      </w:tr>
      <w:tr>
        <w:tc>
          <w:tcPr>
            <w:tcW w:type="dxa" w:w="5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Triangulo ascendente &lt; 40 velas</w:t>
            </w:r>
          </w:p>
        </w:tc>
        <w:tc>
          <w:tcPr>
            <w:tcW w:type="dxa" w:w="16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pPr>
              <w:jc w:val="center"/>
            </w:pPr>
            <w:r>
              <w:rPr>
                <w:rFonts w:ascii="Arial" w:cs="Arial" w:eastAsia="Arial" w:hAnsi="Arial"/>
                <w:b/>
                <w:bCs/>
                <w:color w:val="1A7A3C"/>
                <w:sz w:val="20"/>
                <w:szCs w:val="20"/>
              </w:rPr>
              <w:t xml:space="preserve">+1</w:t>
            </w:r>
          </w:p>
        </w:tc>
        <w:tc>
          <w:tcPr>
            <w:tcW w:type="dxa" w:w="268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Patron clasico eficiente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C" w:val="clear"/>
            <w:tcMar>
              <w:top w:type="dxa" w:w="160"/>
              <w:left w:type="dxa" w:w="200"/>
              <w:bottom w:type="dxa" w:w="160"/>
              <w:right w:type="dxa" w:w="200"/>
            </w:tcMar>
          </w:tcPr>
          <w:p>
            <w:r>
              <w:rPr>
                <w:rFonts w:ascii="Arial" w:cs="Arial" w:eastAsia="Arial" w:hAnsi="Arial"/>
                <w:color w:val="1A7A3C"/>
                <w:sz w:val="22"/>
                <w:szCs w:val="22"/>
              </w:rPr>
              <w:t xml:space="preserve">Score &gt;= 8 puntos: operar con tamaño completo (5%). Score 5-7: operar con tamaño reducido (3%). Score &lt; 5: no operar aunque se cumplan los 5 criterios basicos.</w:t>
            </w:r>
          </w:p>
        </w:tc>
      </w:tr>
    </w:tbl>
    <w:p>
      <w:pPr>
        <w:spacing w:before="60" w:after="60"/>
      </w:pPr>
      <w:r>
        <w:t xml:space="preserve"/>
      </w:r>
    </w:p>
    <w:p>
      <w:pPr>
        <w:spacing w:before="60" w:after="60"/>
      </w:pPr>
      <w:r>
        <w:t xml:space="preserve"/>
      </w:r>
    </w:p>
    <w:p>
      <w:pPr>
        <w:pStyle w:val="Heading1"/>
        <w:spacing w:before="360" w:after="180"/>
      </w:pPr>
      <w:r>
        <w:rPr>
          <w:rFonts w:ascii="Arial" w:cs="Arial" w:eastAsia="Arial" w:hAnsi="Arial"/>
          <w:b/>
          <w:bCs/>
          <w:color w:val="1A56A0"/>
          <w:sz w:val="34"/>
          <w:szCs w:val="34"/>
        </w:rPr>
        <w:t xml:space="preserve">6. Metricas de Rendimiento que el Agente Debe Monitorear</w:t>
      </w:r>
    </w:p>
    <w:p>
      <w:pPr>
        <w:spacing w:before="80" w:after="100"/>
      </w:pPr>
      <w:r>
        <w:rPr>
          <w:rFonts w:ascii="Arial" w:cs="Arial" w:eastAsia="Arial" w:hAnsi="Arial"/>
          <w:sz w:val="22"/>
          <w:szCs w:val="22"/>
        </w:rPr>
        <w:t xml:space="preserve">Estas metricas deben calcularse de forma continua y el agente debe pausar la estrategia si algun umbral critico se supera: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W w:type="dxa" w:w="21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Umbral de Alerta</w:t>
            </w:r>
          </w:p>
        </w:tc>
        <w:tc>
          <w:tcPr>
            <w:tcW w:type="dxa" w:w="4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Accion del Agente</w:t>
            </w:r>
          </w:p>
        </w:tc>
      </w:tr>
      <w:tr>
        <w:tc>
          <w:tcPr>
            <w:tcW w:type="dxa" w:w="3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Win rate ultimos 20 trades</w:t>
            </w:r>
          </w:p>
        </w:tc>
        <w:tc>
          <w:tcPr>
            <w:tcW w:type="dxa" w:w="216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&lt; 30%</w:t>
            </w:r>
          </w:p>
        </w:tc>
        <w:tc>
          <w:tcPr>
            <w:tcW w:type="dxa" w:w="4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Reducir tamaño al 50% y revisar parametros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Max drawdown acumulado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8% del capital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Pausar estrategia 5 dias, revisar condiciones de mercado</w:t>
            </w:r>
          </w:p>
        </w:tc>
      </w:tr>
      <w:tr>
        <w:tc>
          <w:tcPr>
            <w:tcW w:type="dxa" w:w="3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Ratio beneficio/perdida media</w:t>
            </w:r>
          </w:p>
        </w:tc>
        <w:tc>
          <w:tcPr>
            <w:tcW w:type="dxa" w:w="216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&lt; 1.8:1</w:t>
            </w:r>
          </w:p>
        </w:tc>
        <w:tc>
          <w:tcPr>
            <w:tcW w:type="dxa" w:w="4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Revisar criterios de entrada (puede haber slippage sistematico)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Trades por semana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8 por semana</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Posiblemente los filtros de compresion son demasiado laxos</w:t>
            </w:r>
          </w:p>
        </w:tc>
      </w:tr>
      <w:tr>
        <w:tc>
          <w:tcPr>
            <w:tcW w:type="dxa" w:w="30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Perdidas consecutivas</w:t>
            </w:r>
          </w:p>
        </w:tc>
        <w:tc>
          <w:tcPr>
            <w:tcW w:type="dxa" w:w="216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&gt; 4 seguidas</w:t>
            </w:r>
          </w:p>
        </w:tc>
        <w:tc>
          <w:tcPr>
            <w:tcW w:type="dxa" w:w="4200"/>
            <w:tcBorders>
              <w:top w:val="single" w:color="DDDDDD" w:sz="1"/>
              <w:left w:val="single" w:color="DDDDDD" w:sz="1"/>
              <w:bottom w:val="single" w:color="DDDDDD" w:sz="1"/>
              <w:right w:val="single" w:color="DDDDDD" w:sz="1"/>
            </w:tcBorders>
            <w:shd w:fill="D6E4F7" w:val="clear"/>
            <w:tcMar>
              <w:top w:type="dxa" w:w="80"/>
              <w:left w:type="dxa" w:w="120"/>
              <w:bottom w:type="dxa" w:w="80"/>
              <w:right w:type="dxa" w:w="120"/>
            </w:tcMar>
          </w:tcPr>
          <w:p>
            <w:r>
              <w:rPr>
                <w:rFonts w:ascii="Arial" w:cs="Arial" w:eastAsia="Arial" w:hAnsi="Arial"/>
                <w:sz w:val="20"/>
                <w:szCs w:val="20"/>
              </w:rPr>
              <w:t xml:space="preserve">Pausa obligatoria 48h + revision manual de los setups fallidos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Slippage promedio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0.3%</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Revisar horarios de entrada y reducir tamaño de posicion</w:t>
            </w:r>
          </w:p>
        </w:tc>
      </w:tr>
    </w:tbl>
    <w:p>
      <w:pPr>
        <w:spacing w:before="60" w:after="60"/>
      </w:pPr>
      <w:r>
        <w:t xml:space="preserve"/>
      </w:r>
    </w:p>
    <w:p>
      <w:pPr>
        <w:spacing w:before="60" w:after="60"/>
      </w:pPr>
      <w:r>
        <w:t xml:space="preserve"/>
      </w:r>
    </w:p>
    <w:p>
      <w:pPr>
        <w:pStyle w:val="Heading1"/>
        <w:spacing w:before="360" w:after="180"/>
      </w:pPr>
      <w:r>
        <w:rPr>
          <w:rFonts w:ascii="Arial" w:cs="Arial" w:eastAsia="Arial" w:hAnsi="Arial"/>
          <w:b/>
          <w:bCs/>
          <w:color w:val="1A56A0"/>
          <w:sz w:val="34"/>
          <w:szCs w:val="34"/>
        </w:rPr>
        <w:t xml:space="preserve">7. Resumen de Cambios Clave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r>
              <w:rPr>
                <w:rFonts w:ascii="Arial" w:cs="Arial" w:eastAsia="Arial" w:hAnsi="Arial"/>
                <w:color w:val="1A56A0"/>
                <w:sz w:val="22"/>
                <w:szCs w:val="22"/>
              </w:rPr>
              <w:t xml:space="preserve">La version mejorada mantiene la filosofia central de la estrategia (breakouts post-compresion) pero corrige los fallos de implementacion mas peligrosos para un agente autonomo.</w:t>
            </w:r>
          </w:p>
        </w:tc>
      </w:tr>
    </w:tbl>
    <w:p>
      <w:pPr>
        <w:spacing w:before="60" w:after="60"/>
      </w:pPr>
      <w:r>
        <w:t xml:space="preserve"/>
      </w:r>
    </w:p>
    <w:p>
      <w:pPr>
        <w:spacing w:before="200" w:after="100"/>
      </w:pPr>
      <w:r>
        <w:rPr>
          <w:rFonts w:ascii="Arial" w:cs="Arial" w:eastAsia="Arial" w:hAnsi="Arial"/>
          <w:b/>
          <w:bCs/>
          <w:color w:val="333333"/>
          <w:sz w:val="24"/>
          <w:szCs w:val="24"/>
        </w:rPr>
        <w:t xml:space="preserve">Cambios que mas impactan el rendimiento:</w:t>
      </w:r>
    </w:p>
    <w:p>
      <w:pPr>
        <w:pStyle w:val="ListParagraph"/>
        <w:numPr>
          <w:ilvl w:val="0"/>
          <w:numId w:val="2"/>
        </w:numPr>
        <w:spacing w:before="40" w:after="40"/>
      </w:pPr>
      <w:r>
        <w:rPr>
          <w:rFonts w:ascii="Arial" w:cs="Arial" w:eastAsia="Arial" w:hAnsi="Arial"/>
          <w:b/>
          <w:bCs/>
          <w:sz w:val="22"/>
          <w:szCs w:val="22"/>
        </w:rPr>
        <w:t xml:space="preserve">Threshold de volumen dinamico en lugar de fijo: reduce entradas en falsos breakouts en mercados con volumen estacional bajo</w:t>
      </w:r>
    </w:p>
    <w:p>
      <w:pPr>
        <w:pStyle w:val="ListParagraph"/>
        <w:numPr>
          <w:ilvl w:val="0"/>
          <w:numId w:val="2"/>
        </w:numPr>
        <w:spacing w:before="40" w:after="40"/>
      </w:pPr>
      <w:r>
        <w:rPr>
          <w:rFonts w:ascii="Arial" w:cs="Arial" w:eastAsia="Arial" w:hAnsi="Arial"/>
          <w:b/>
          <w:bCs/>
          <w:sz w:val="22"/>
          <w:szCs w:val="22"/>
        </w:rPr>
        <w:t xml:space="preserve">Stop loss basado en ATR hard stop: evita la ambiguedad de 'cierre bajo el nivel' que puede retrasar la salida</w:t>
      </w:r>
    </w:p>
    <w:p>
      <w:pPr>
        <w:pStyle w:val="ListParagraph"/>
        <w:numPr>
          <w:ilvl w:val="0"/>
          <w:numId w:val="2"/>
        </w:numPr>
        <w:spacing w:before="40" w:after="40"/>
      </w:pPr>
      <w:r>
        <w:rPr>
          <w:rFonts w:ascii="Arial" w:cs="Arial" w:eastAsia="Arial" w:hAnsi="Arial"/>
          <w:b/>
          <w:bCs/>
          <w:sz w:val="22"/>
          <w:szCs w:val="22"/>
        </w:rPr>
        <w:t xml:space="preserve">ATR fijo de entrada para el trailing: evita que el trailing se ensanche durante movimientos volatiles, protegiendo mas beneficio</w:t>
      </w:r>
    </w:p>
    <w:p>
      <w:pPr>
        <w:pStyle w:val="ListParagraph"/>
        <w:numPr>
          <w:ilvl w:val="0"/>
          <w:numId w:val="2"/>
        </w:numPr>
        <w:spacing w:before="40" w:after="40"/>
      </w:pPr>
      <w:r>
        <w:rPr>
          <w:rFonts w:ascii="Arial" w:cs="Arial" w:eastAsia="Arial" w:hAnsi="Arial"/>
          <w:b/>
          <w:bCs/>
          <w:sz w:val="22"/>
          <w:szCs w:val="22"/>
        </w:rPr>
        <w:t xml:space="preserve">Time-based exit a 72h: elimina posiciones zombi que inmovilizan capital sin cumplir su objetivo</w:t>
      </w:r>
    </w:p>
    <w:p>
      <w:pPr>
        <w:pStyle w:val="ListParagraph"/>
        <w:numPr>
          <w:ilvl w:val="0"/>
          <w:numId w:val="2"/>
        </w:numPr>
        <w:spacing w:before="40" w:after="40"/>
      </w:pPr>
      <w:r>
        <w:rPr>
          <w:rFonts w:ascii="Arial" w:cs="Arial" w:eastAsia="Arial" w:hAnsi="Arial"/>
          <w:b/>
          <w:bCs/>
          <w:sz w:val="22"/>
          <w:szCs w:val="22"/>
        </w:rPr>
        <w:t xml:space="preserve">Filtro BTC EMA obligatorio: la mayor fuente de breakouts fallidos en altcoins es operar contra la macro de BTC</w:t>
      </w:r>
    </w:p>
    <w:p>
      <w:pPr>
        <w:pStyle w:val="ListParagraph"/>
        <w:numPr>
          <w:ilvl w:val="0"/>
          <w:numId w:val="2"/>
        </w:numPr>
        <w:spacing w:before="40" w:after="40"/>
      </w:pPr>
      <w:r>
        <w:rPr>
          <w:rFonts w:ascii="Arial" w:cs="Arial" w:eastAsia="Arial" w:hAnsi="Arial"/>
          <w:b/>
          <w:bCs/>
          <w:sz w:val="22"/>
          <w:szCs w:val="22"/>
        </w:rPr>
        <w:t xml:space="preserve">Sistema de scoring: permite al agente priorizar entre setups simultaneos y ajustar el tamaño por conviccion</w:t>
      </w:r>
    </w:p>
    <w:p>
      <w:pPr>
        <w:spacing w:before="60" w:after="60"/>
      </w:pPr>
      <w:r>
        <w:t xml:space="preserve"/>
      </w:r>
    </w:p>
    <w:p>
      <w:pPr>
        <w:spacing w:before="60" w:after="60"/>
      </w:pPr>
      <w:r>
        <w:t xml:space="preserve"/>
      </w:r>
    </w:p>
    <w:p>
      <w:pPr>
        <w:pBdr>
          <w:bottom w:val="single" w:color="DDDDDD" w:sz="4" w:space="1"/>
        </w:pBdr>
        <w:spacing w:before="100" w:after="200"/>
      </w:pPr>
    </w:p>
    <w:p>
      <w:pPr>
        <w:spacing w:before="200" w:after="60"/>
        <w:jc w:val="center"/>
      </w:pPr>
      <w:r>
        <w:rPr>
          <w:rFonts w:ascii="Arial" w:cs="Arial" w:eastAsia="Arial" w:hAnsi="Arial"/>
          <w:i/>
          <w:iCs/>
          <w:color w:val="888888"/>
          <w:sz w:val="18"/>
          <w:szCs w:val="18"/>
        </w:rPr>
        <w:t xml:space="preserve">Documento generado para optimizacion de Agente IA Autotrader — Estrategia Gamma v2.0</w:t>
      </w:r>
    </w:p>
    <w:p>
      <w:pPr>
        <w:spacing w:before="0" w:after="0"/>
        <w:jc w:val="center"/>
      </w:pPr>
      <w:r>
        <w:rPr>
          <w:rFonts w:ascii="Arial" w:cs="Arial" w:eastAsia="Arial" w:hAnsi="Arial"/>
          <w:i/>
          <w:iCs/>
          <w:color w:val="AAAAAA"/>
          <w:sz w:val="16"/>
          <w:szCs w:val="16"/>
        </w:rPr>
        <w:t xml:space="preserve">Este analisis es de caracter tecnico/educativo. El trading de criptomonedas conlleva riesgo de perdida total del capital.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6A0"/>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2026-03-25T01:25:27.125Z</dcterms:created>
  <dcterms:modified xsi:type="dcterms:W3CDTF">2026-03-25T01:25:27.126Z</dcterms:modified>
</cp:coreProperties>
</file>

<file path=docProps/custom.xml><?xml version="1.0" encoding="utf-8"?>
<Properties xmlns="http://schemas.openxmlformats.org/officeDocument/2006/custom-properties" xmlns:vt="http://schemas.openxmlformats.org/officeDocument/2006/docPropsVTypes"/>
</file>