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  <w:widowControl/>
      </w:pPr>
      <w:r>
        <w:rPr>
          <w:b/>
          <w:color w:val="1D6F9F"/>
          <w:sz w:val="30"/>
        </w:rPr>
        <w:t>PROYECTO FIN DE CICLO</w:t>
      </w:r>
    </w:p>
    <w:p>
      <w:pPr>
        <w:spacing w:before="360" w:after="200"/>
        <w:jc w:val="center"/>
        <w:widowControl/>
      </w:pPr>
      <w:r>
        <w:rPr>
          <w:b/>
          <w:color w:val="17324D"/>
          <w:sz w:val="54"/>
        </w:rPr>
        <w:t>Suite de herramientas web para el sector eléctrico y logístico</w:t>
      </w:r>
    </w:p>
    <w:p>
      <w:pPr>
        <w:jc w:val="center"/>
        <w:widowControl/>
      </w:pPr>
      <w:r>
        <w:rPr>
          <w:i/>
          <w:color w:val="586976"/>
          <w:sz w:val="30"/>
        </w:rPr>
        <w:t>Desarrollo, validación y documentación asistidos por IA generativa</w:t>
      </w:r>
    </w:p>
    <w:p>
      <w:pPr>
        <w:spacing w:after="800"/>
        <w:widowControl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8"/>
        <w:gridCol w:w="4858"/>
      </w:tblGrid>
      <w:tr>
        <w:trPr>
          <w:tblHeader w:val="true"/>
          <w:cantSplit/>
        </w:trPr>
        <w:tc>
          <w:tcPr>
            <w:tcW w:type="dxa" w:w="2268"/>
            <w:shd w:fill="EAF4FB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Campo</w:t>
            </w:r>
          </w:p>
        </w:tc>
        <w:tc>
          <w:tcPr>
            <w:tcW w:type="dxa" w:w="6520"/>
            <w:shd w:fill="EAF4FB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Autor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Iago Durán Romera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Ciclo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Automatización y Robótica Industrial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Centro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CIFP Universidade Laboral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Curso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2025-2026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Snapshot de entrega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main @ 69401ee9d85f31ccff745ab9e487d3a4ecf9613c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Fecha de cierre técnico</w:t>
            </w:r>
          </w:p>
        </w:tc>
        <w:tc>
          <w:tcPr>
            <w:tcW w:type="dxa" w:w="6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20 de agosto de 2026</w:t>
            </w:r>
          </w:p>
        </w:tc>
      </w:tr>
    </w:tbl>
    <w:p>
      <w:pPr>
        <w:spacing w:after="40"/>
        <w:widowControl/>
      </w:pPr>
    </w:p>
    <w:p>
      <w:pPr>
        <w:spacing w:after="300"/>
        <w:widowControl/>
      </w:pPr>
    </w:p>
    <w:p>
      <w:pPr>
        <w:keepLines/>
        <w:spacing w:before="80" w:after="100"/>
        <w:shd w:fill="F4F7F9"/>
        <w:widowControl/>
      </w:pPr>
      <w:r>
        <w:rPr>
          <w:b/>
          <w:color w:val="17324D"/>
          <w:sz w:val="20"/>
        </w:rPr>
        <w:t>Nota de trazabilidad</w:t>
        <w:br/>
      </w:r>
      <w:r>
        <w:rPr>
          <w:sz w:val="18"/>
        </w:rPr>
        <w:t>Esta memoria es un artefacto derivado de los capítulos canónicos 01-10 del repositorio. Cuando una métrica depende de una ejecución o de un servicio externo, se identifica como snapshot fechado y no como garantía permanente.</w:t>
      </w: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Resumen</w:t>
      </w:r>
    </w:p>
    <w:p>
      <w:pPr>
        <w:widowControl/>
      </w:pPr>
      <w:r>
        <w:t>Este Proyecto Fin de Ciclo desarrolla una suite web académica orientada a necesidades del sector eléctrico y logístico. La solución integra siete herramientas funcionales bajo una misma aplicación React y un Dashboard Global de acceso. Los módulos cubren consulta de catálogo, entrenamiento logístico, registro de incidencias, indicadores KPI, presupuestos, formación interna y asistencia técnica mediante SONEX.</w:t>
      </w:r>
    </w:p>
    <w:p>
      <w:pPr>
        <w:widowControl/>
      </w:pPr>
      <w:r>
        <w:t>El proyecto no se limita al resultado funcional. Una parte central del trabajo consiste en estudiar un proceso de desarrollo asistido por inteligencia artificial en el que los modelos y agentes se utilizan para acelerar análisis, implementación, diagnóstico y documentación, pero la responsabilidad sobre el alcance, el código, las pruebas, la seguridad y la defensa del resultado permanece en el autor.</w:t>
      </w:r>
    </w:p>
    <w:p>
      <w:pPr>
        <w:widowControl/>
      </w:pPr>
      <w:r>
        <w:t>La arquitectura actual utiliza React y Vite en el frontend, Supabase para autenticación y datos, Vercel Functions como backend ligero y un gateway de IA compatible con varios modelos y proveedores. La estabilización final incorporó quality gates permanentes con lint sin warnings, typecheck, auditoría de dependencias de producción, Vitest, build y Playwright E2E. El candidato pre-merge fue validado con 314 tests unitarios y 159 E2E, y posteriormente se integró en main mediante la PR #8.</w:t>
      </w:r>
    </w:p>
    <w:p>
      <w:pPr>
        <w:widowControl/>
      </w:pPr>
      <w:r>
        <w:t>La memoria separa de forma explícita estado actual, evolución histórica, resultados medidos y limitaciones. Esta separación corrige problemas de versiones anteriores de la documentación, en las que se mezclaban cifras de catálogo, números de tests, herramientas o arquitecturas pertenecientes a momentos distintos del proyecto.</w:t>
      </w:r>
    </w:p>
    <w:p>
      <w:pPr>
        <w:widowControl/>
      </w:pPr>
      <w:r>
        <w:rPr>
          <w:b/>
        </w:rPr>
        <w:t xml:space="preserve">Palabras clave: </w:t>
      </w:r>
      <w:r>
        <w:t>React, Supabase, Vercel, IA generativa, agentes, Playwright, logística, material eléctrico, trazabilidad, PFC.</w:t>
      </w:r>
    </w:p>
    <w:p>
      <w:pPr>
        <w:pStyle w:val="Heading1"/>
        <w:keepNext/>
        <w:widowControl/>
      </w:pPr>
      <w:r>
        <w:t>Abstract</w:t>
      </w:r>
    </w:p>
    <w:p>
      <w:pPr>
        <w:widowControl/>
      </w:pPr>
      <w:r>
        <w:t>This Final Cycle Project develops an academic web suite for electrical-sector and logistics use cases. The current solution combines seven functional tools under a single React application plus a Global Dashboard. The modules cover product catalogue lookup, warehouse-process training, incident tracking, KPI calculation, budgeting, internal training and technical assistance through SONEX.</w:t>
      </w:r>
    </w:p>
    <w:p>
      <w:pPr>
        <w:widowControl/>
      </w:pPr>
      <w:r>
        <w:t>The project also evaluates an AI-assisted development workflow. Language models and coding agents accelerate analysis, implementation and documentation, but requirements, review, testing, evidence and accountability remain under human control. The final architecture uses React/Vite, Supabase, Vercel Functions and a multi-provider AI gateway, with permanent CI gates for linting, type checking, dependency security, unit tests, production build and browser E2E testing.</w:t>
      </w:r>
    </w:p>
    <w:p>
      <w:pPr>
        <w:pStyle w:val="Heading1"/>
        <w:keepNext/>
        <w:widowControl/>
      </w:pPr>
      <w:r>
        <w:t>Índice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1. Introducción y alcance</w:t>
      </w:r>
      <w:r>
        <w:rPr>
          <w:sz w:val="21"/>
        </w:rPr>
        <w:tab/>
        <w:t>4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2. Contexto de la IA y marco de trabajo</w:t>
      </w:r>
      <w:r>
        <w:rPr>
          <w:sz w:val="21"/>
        </w:rPr>
        <w:tab/>
        <w:t>6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3. Análisis y requisitos</w:t>
      </w:r>
      <w:r>
        <w:rPr>
          <w:sz w:val="21"/>
        </w:rPr>
        <w:tab/>
        <w:t>7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4. Diseño técnico y arquitectura</w:t>
      </w:r>
      <w:r>
        <w:rPr>
          <w:sz w:val="21"/>
        </w:rPr>
        <w:tab/>
        <w:t>9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5. Herramientas funcionales</w:t>
      </w:r>
      <w:r>
        <w:rPr>
          <w:sz w:val="21"/>
        </w:rPr>
        <w:tab/>
        <w:t>12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6. Proceso de desarrollo asistido por IA</w:t>
      </w:r>
      <w:r>
        <w:rPr>
          <w:sz w:val="21"/>
        </w:rPr>
        <w:tab/>
        <w:t>14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7. Calidad, testing y estabilización final</w:t>
      </w:r>
      <w:r>
        <w:rPr>
          <w:sz w:val="21"/>
        </w:rPr>
        <w:tab/>
        <w:t>15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8. Resultados y evaluación</w:t>
      </w:r>
      <w:r>
        <w:rPr>
          <w:sz w:val="21"/>
        </w:rPr>
        <w:tab/>
        <w:t>17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9. Transferencia docente</w:t>
      </w:r>
      <w:r>
        <w:rPr>
          <w:sz w:val="21"/>
        </w:rPr>
        <w:tab/>
        <w:t>19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10. Conclusiones y líneas futuras</w:t>
      </w:r>
      <w:r>
        <w:rPr>
          <w:sz w:val="21"/>
        </w:rPr>
        <w:tab/>
        <w:t>20</w:t>
      </w:r>
    </w:p>
    <w:p>
      <w:pPr>
        <w:tabs>
          <w:tab w:pos="9071" w:val="right"/>
        </w:tabs>
        <w:spacing w:after="40"/>
        <w:widowControl/>
      </w:pPr>
      <w:r>
        <w:rPr>
          <w:color w:val="17324D"/>
          <w:sz w:val="21"/>
        </w:rPr>
        <w:t>11. Anexos técnicos</w:t>
      </w:r>
      <w:r>
        <w:rPr>
          <w:sz w:val="21"/>
        </w:rPr>
        <w:tab/>
        <w:t>21</w:t>
      </w:r>
    </w:p>
    <w:p>
      <w:pPr>
        <w:widowControl/>
      </w:pPr>
      <w:r>
        <w:br w:type="page"/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01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INTRODUCCIÓN Y ALCANCE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Problema, propuesta y criterio de éxito</w:t>
      </w:r>
    </w:p>
    <w:p>
      <w:pPr>
        <w:pStyle w:val="Heading1"/>
        <w:keepNext/>
        <w:widowControl/>
      </w:pPr>
      <w:r>
        <w:t>1. Introducción y alcance</w:t>
      </w:r>
    </w:p>
    <w:p>
      <w:pPr>
        <w:pStyle w:val="Heading2"/>
        <w:keepNext/>
        <w:widowControl/>
      </w:pPr>
      <w:r>
        <w:t>1.1 Contexto del proyecto</w:t>
      </w:r>
    </w:p>
    <w:p>
      <w:pPr>
        <w:widowControl/>
      </w:pPr>
      <w:r>
        <w:t>El proyecto nace del interés por aplicar desarrollo web e inteligencia artificial a tareas cercanas al ámbito eléctrico y logístico observado durante el periodo formativo. En lugar de reproducir sistemas empresariales reales, se construye una suite académica que representa procesos concretos y permite experimentar con ellos sin afirmar integración oficial con ERP, SAP u otras plataformas corporativas.</w:t>
      </w:r>
    </w:p>
    <w:p>
      <w:pPr>
        <w:widowControl/>
      </w:pPr>
      <w:r>
        <w:t>La necesidad principal no era crear una única aplicación monolítica para una tarea específica, sino estudiar cómo distintos problemas pueden convivir bajo una experiencia común: búsqueda técnica de productos, entrenamiento de un ciclo logístico, seguimiento de incidencias, cálculo de indicadores, generación de presupuestos, gestión de formación y asistencia conversacional. El resultado se organiza en siete herramientas funcionales y un Dashboard Global.</w:t>
      </w:r>
    </w:p>
    <w:p>
      <w:pPr>
        <w:pStyle w:val="Heading2"/>
        <w:keepNext/>
        <w:widowControl/>
      </w:pPr>
      <w:r>
        <w:t>1.2 Problemas abordados y respuesta funcional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2948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Problema</w:t>
            </w:r>
          </w:p>
        </w:tc>
        <w:tc>
          <w:tcPr>
            <w:tcW w:type="dxa" w:w="1984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Herramienta</w:t>
            </w:r>
          </w:p>
        </w:tc>
        <w:tc>
          <w:tcPr>
            <w:tcW w:type="dxa" w:w="3969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Respuesta del PFC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Localizar información de producto con menor fricción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Fichas Técnicas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Navegación, filtros, búsqueda y detalle de catálogo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Practicar un ciclo de almacén sin operar sobre un almacén real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Simulador de Almacén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Cinco etapas, incidencias, tiempos, puntuación y modos de entrenamiento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Registrar y seguir fallos o incidencias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Dashboard de Incidencias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Alta, filtros, estados, observaciones, diagnóstico IA y PDF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Interpretar datos de turno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KPI Logístico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Seis KPIs, semáforo, histórico, gráficos y comentario IA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Construir presupuestos desde un catálogo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Presupuestos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Selección de productos, edición, IVA, persistencia y PDF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Seguir la formación de personal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Formación Interna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Empleados, módulos, progreso, alertas y plan asistido por IA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Consultar catálogo y cuestiones técnicas en lenguaje natural</w:t>
            </w:r>
          </w:p>
        </w:tc>
        <w:tc>
          <w:tcPr>
            <w:tcW w:type="dxa" w:w="19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SONEX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Sesiones, cuatro modos, contexto de catálogo y navegación contextual</w:t>
            </w:r>
          </w:p>
        </w:tc>
      </w:tr>
    </w:tbl>
    <w:p>
      <w:pPr>
        <w:spacing w:after="40"/>
        <w:widowControl/>
      </w:pPr>
    </w:p>
    <w:p>
      <w:pPr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035040" cy="3550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pa_fun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5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widowControl/>
      </w:pPr>
      <w:r>
        <w:rPr>
          <w:i/>
          <w:color w:val="505050"/>
          <w:sz w:val="17"/>
        </w:rPr>
        <w:t>Figura 1. Mapa funcional consolidado de la aplicación.</w:t>
      </w:r>
    </w:p>
    <w:p>
      <w:pPr>
        <w:pStyle w:val="Heading2"/>
        <w:keepNext/>
        <w:widowControl/>
      </w:pPr>
      <w:r>
        <w:t>1.3 Objetivo general</w:t>
      </w:r>
    </w:p>
    <w:p>
      <w:pPr>
        <w:widowControl/>
      </w:pPr>
      <w:r>
        <w:t>Diseñar, desarrollar y documentar una suite web académica que explore cómo la IA generativa puede apoyar el desarrollo de software aplicado al sector eléctrico y logístico, manteniendo trazabilidad sobre decisiones, limitaciones y validaciones.</w:t>
      </w:r>
    </w:p>
    <w:p>
      <w:pPr>
        <w:pStyle w:val="Heading2"/>
        <w:keepNext/>
        <w:widowControl/>
      </w:pPr>
      <w:r>
        <w:t>1.4 Objetivos técnicos y metodológicos</w:t>
      </w:r>
    </w:p>
    <w:p>
      <w:pPr>
        <w:pStyle w:val="ListBullet"/>
        <w:widowControl/>
      </w:pPr>
      <w:r>
        <w:t>Construir una SPA con React y routing protegido para el área privada.</w:t>
      </w:r>
    </w:p>
    <w:p>
      <w:pPr>
        <w:pStyle w:val="ListBullet"/>
        <w:widowControl/>
      </w:pPr>
      <w:r>
        <w:t>Integrar autenticación y persistencia con Supabase y conservar degradación controlada en determinados flujos.</w:t>
      </w:r>
    </w:p>
    <w:p>
      <w:pPr>
        <w:pStyle w:val="ListBullet"/>
        <w:widowControl/>
      </w:pPr>
      <w:r>
        <w:t>Centralizar las llamadas de IA detrás de un gateway serverless para evitar exponer secretos en el cliente.</w:t>
      </w:r>
    </w:p>
    <w:p>
      <w:pPr>
        <w:pStyle w:val="ListBullet"/>
        <w:widowControl/>
      </w:pPr>
      <w:r>
        <w:t>Aplicar diseño responsive, tema claro/oscuro y componentes reutilizables.</w:t>
      </w:r>
    </w:p>
    <w:p>
      <w:pPr>
        <w:pStyle w:val="ListBullet"/>
        <w:widowControl/>
      </w:pPr>
      <w:r>
        <w:t>Incorporar lint, typecheck, tests unitarios, E2E y build como criterios verificables.</w:t>
      </w:r>
    </w:p>
    <w:p>
      <w:pPr>
        <w:pStyle w:val="ListBullet"/>
        <w:widowControl/>
      </w:pPr>
      <w:r>
        <w:t>Comparar chat, asistentes de editor y agentes de repositorio sin depender de una herramienta concreta como metodología permanente.</w:t>
      </w:r>
    </w:p>
    <w:p>
      <w:pPr>
        <w:pStyle w:val="ListBullet"/>
        <w:widowControl/>
      </w:pPr>
      <w:r>
        <w:t>Distinguir siempre lo implementado, lo verificado por ejecución, lo histórico, lo estimado y lo pendiente.</w:t>
      </w:r>
    </w:p>
    <w:p>
      <w:pPr>
        <w:widowControl/>
      </w:pPr>
      <w:r>
        <w:t>Criterio de éxito: un objetivo se considera alcanzado cuando existe una implementación o una evidencia observable en el repositorio. Las métricas variables solo son válidas con fecha, entorno y método de medición.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02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CONTEXTO DE LA IA Y MARCO DE TRABAJO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De asistente conversacional a agente con herramientas</w:t>
      </w:r>
    </w:p>
    <w:p>
      <w:pPr>
        <w:pStyle w:val="Heading1"/>
        <w:keepNext/>
        <w:widowControl/>
      </w:pPr>
      <w:r>
        <w:t>2. Contexto de la IA y marco de trabajo</w:t>
      </w:r>
    </w:p>
    <w:p>
      <w:pPr>
        <w:pStyle w:val="Heading2"/>
        <w:keepNext/>
        <w:widowControl/>
      </w:pPr>
      <w:r>
        <w:t>2.1 Evolución del papel de la IA</w:t>
      </w:r>
    </w:p>
    <w:p>
      <w:pPr>
        <w:widowControl/>
      </w:pPr>
      <w:r>
        <w:t>El desarrollo del PFC coincide con una etapa en la que los modelos de lenguaje dejan de limitarse a responder preguntas y pasan a integrarse en IDE, terminales y plataformas capaces de leer repositorios, proponer cambios y ejecutar herramientas. Esa evolución cambia el tipo de trabajo que puede delegarse, pero no elimina la necesidad de revisar resultados.</w:t>
      </w:r>
    </w:p>
    <w:p>
      <w:pPr>
        <w:widowControl/>
      </w:pPr>
      <w:r>
        <w:t>La diferencia clave no está únicamente en la calidad del modelo, sino en el acceso que se le concede al contexto y a las herramientas. Un chat web propone; un asistente de editor conoce archivos abiertos; un agente de repositorio puede inspeccionar decenas de archivos, ejecutar tests y preparar commits. Cuanto mayor es la capacidad, mayor es también la necesidad de límites, permisos, revisión y condiciones de parada.</w:t>
      </w:r>
    </w:p>
    <w:p>
      <w:pPr>
        <w:pStyle w:val="Heading2"/>
        <w:keepNext/>
        <w:widowControl/>
      </w:pPr>
      <w:r>
        <w:t>2.2 Modelo de responsabilidad</w:t>
      </w:r>
    </w:p>
    <w:p>
      <w:pPr>
        <w:spacing w:after="40"/>
        <w:ind w:left="369" w:hanging="255"/>
        <w:widowControl/>
      </w:pPr>
      <w:r>
        <w:t>1.  Definir un objetivo observable y un alcance explícito.</w:t>
      </w:r>
    </w:p>
    <w:p>
      <w:pPr>
        <w:spacing w:after="40"/>
        <w:ind w:left="369" w:hanging="255"/>
        <w:widowControl/>
      </w:pPr>
      <w:r>
        <w:t>2.  Inspeccionar el estado real antes de modificar.</w:t>
      </w:r>
    </w:p>
    <w:p>
      <w:pPr>
        <w:spacing w:after="40"/>
        <w:ind w:left="369" w:hanging="255"/>
        <w:widowControl/>
      </w:pPr>
      <w:r>
        <w:t>3.  Usar IA para acelerar análisis o implementación, no para reemplazar la comprobación.</w:t>
      </w:r>
    </w:p>
    <w:p>
      <w:pPr>
        <w:spacing w:after="40"/>
        <w:ind w:left="369" w:hanging="255"/>
        <w:widowControl/>
      </w:pPr>
      <w:r>
        <w:t>4.  Revisar el diff y el comportamiento, no solo el informe del agente.</w:t>
      </w:r>
    </w:p>
    <w:p>
      <w:pPr>
        <w:spacing w:after="40"/>
        <w:ind w:left="369" w:hanging="255"/>
        <w:widowControl/>
      </w:pPr>
      <w:r>
        <w:t>5.  Ejecutar validaciones relevantes y conservar su evidencia.</w:t>
      </w:r>
    </w:p>
    <w:p>
      <w:pPr>
        <w:spacing w:after="40"/>
        <w:ind w:left="369" w:hanging="255"/>
        <w:widowControl/>
      </w:pPr>
      <w:r>
        <w:t>6.  Documentar limitaciones y decisiones que no se hayan podido verificar.</w:t>
      </w:r>
    </w:p>
    <w:p>
      <w:pPr>
        <w:pStyle w:val="Heading2"/>
        <w:keepNext/>
        <w:widowControl/>
      </w:pPr>
      <w:r>
        <w:t>2.3 Riesgos identificados</w:t>
      </w:r>
    </w:p>
    <w:p>
      <w:pPr>
        <w:pStyle w:val="ListBullet"/>
        <w:widowControl/>
      </w:pPr>
      <w:r>
        <w:t>Código plausible que no cumple el contrato real.</w:t>
      </w:r>
    </w:p>
    <w:p>
      <w:pPr>
        <w:pStyle w:val="ListBullet"/>
        <w:widowControl/>
      </w:pPr>
      <w:r>
        <w:t>APIs, URLs, normas o especificaciones inventadas.</w:t>
      </w:r>
    </w:p>
    <w:p>
      <w:pPr>
        <w:pStyle w:val="ListBullet"/>
        <w:widowControl/>
      </w:pPr>
      <w:r>
        <w:t>Ampliación de alcance no solicitada.</w:t>
      </w:r>
    </w:p>
    <w:p>
      <w:pPr>
        <w:pStyle w:val="ListBullet"/>
        <w:widowControl/>
      </w:pPr>
      <w:r>
        <w:t>Confusión entre un test verde y la corrección del producto.</w:t>
      </w:r>
    </w:p>
    <w:p>
      <w:pPr>
        <w:pStyle w:val="ListBullet"/>
        <w:widowControl/>
      </w:pPr>
      <w:r>
        <w:t>Reutilización de evidencia perteneciente a otro commit.</w:t>
      </w:r>
    </w:p>
    <w:p>
      <w:pPr>
        <w:pStyle w:val="ListBullet"/>
        <w:widowControl/>
      </w:pPr>
      <w:r>
        <w:t>Exposición de secretos al trasladar integraciones al frontend.</w:t>
      </w:r>
    </w:p>
    <w:p>
      <w:pPr>
        <w:pStyle w:val="ListBullet"/>
        <w:widowControl/>
      </w:pPr>
      <w:r>
        <w:t>Obsolescencia rápida de precios, cuotas y modelos de proveedores externos.</w:t>
      </w:r>
    </w:p>
    <w:p>
      <w:pPr>
        <w:widowControl/>
      </w:pPr>
      <w:r>
        <w:t>Regla de seguridad técnica: una respuesta de IA sobre normativa, instalación, compatibilidad, seguridad eléctrica o especificaciones de producto no se considera fuente técnica. Debe contrastarse con fabricante, normativa aplicable o criterio profesional.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03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ANÁLISIS Y REQUISITOS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Del problema observado a contratos verificables</w:t>
      </w:r>
    </w:p>
    <w:p>
      <w:pPr>
        <w:pStyle w:val="Heading1"/>
        <w:keepNext/>
        <w:widowControl/>
      </w:pPr>
      <w:r>
        <w:t>3. Análisis y requisitos</w:t>
      </w:r>
    </w:p>
    <w:p>
      <w:pPr>
        <w:pStyle w:val="Heading2"/>
        <w:keepNext/>
        <w:widowControl/>
      </w:pPr>
      <w:r>
        <w:t>3.1 Alcance del análisis</w:t>
      </w:r>
    </w:p>
    <w:p>
      <w:pPr>
        <w:widowControl/>
      </w:pPr>
      <w:r>
        <w:t>El análisis toma como referencia necesidades plausibles del entorno eléctrico y logístico y la experiencia formativa del autor. Se trata de un análisis académico: la presencia de perfiles de empresa o usuarios potenciales en la reflexión no equivale a una auditoría oficial de procesos internos ni a una validación masiva del producto.</w:t>
      </w:r>
    </w:p>
    <w:p>
      <w:pPr>
        <w:widowControl/>
      </w:pPr>
      <w:r>
        <w:t>La validación con usuarios reales fue limitada. Por ello la memoria diferencia la identificación de una necesidad, la implementación de una función y la validación del producto como tres niveles distintos de evidencia.</w:t>
      </w:r>
    </w:p>
    <w:p>
      <w:pPr>
        <w:pStyle w:val="Heading2"/>
        <w:keepNext/>
        <w:widowControl/>
      </w:pPr>
      <w:r>
        <w:t>3.2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9"/>
        <w:gridCol w:w="2429"/>
        <w:gridCol w:w="2429"/>
        <w:gridCol w:w="2429"/>
      </w:tblGrid>
      <w:tr>
        <w:trPr>
          <w:tblHeader w:val="true"/>
          <w:cantSplit/>
        </w:trPr>
        <w:tc>
          <w:tcPr>
            <w:tcW w:type="dxa" w:w="1134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Grupo</w:t>
            </w:r>
          </w:p>
        </w:tc>
        <w:tc>
          <w:tcPr>
            <w:tcW w:type="dxa" w:w="187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Área</w:t>
            </w:r>
          </w:p>
        </w:tc>
        <w:tc>
          <w:tcPr>
            <w:tcW w:type="dxa" w:w="1247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Prioridad</w:t>
            </w:r>
          </w:p>
        </w:tc>
        <w:tc>
          <w:tcPr>
            <w:tcW w:type="dxa" w:w="4649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Capacidades principales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RF-01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Autenticación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Sesión Supabase, logout y protección de /app/*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RF-02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Fichas Técnicas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Catálogo, filtros, búsqueda, detalle y enriquecimiento IA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RF-03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Simulador Almacén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Cinco etapas, tiempos, incidencias, puntuación e historial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RF-04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Incidencias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Registro, filtros, estados, diagnóstico IA, alerta y PDF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RF-05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KPI Logístico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Seis KPIs, semáforo, histórico, IA y PDF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RF-06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Presupuestos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Catálogo, líneas, IVA, persistencia y PDF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RF-07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Formación Interna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Baja/Media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Empleados, módulos, progreso, alertas y plan IA</w:t>
            </w:r>
          </w:p>
        </w:tc>
      </w:tr>
      <w:tr>
        <w:trPr>
          <w:cantSplit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RF-08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SONEX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Sesiones, cuatro modos, contexto de catálogo y navegación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3.3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170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Área</w:t>
            </w:r>
          </w:p>
        </w:tc>
        <w:tc>
          <w:tcPr>
            <w:tcW w:type="dxa" w:w="5272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Contrato defendible</w:t>
            </w:r>
          </w:p>
        </w:tc>
        <w:tc>
          <w:tcPr>
            <w:tcW w:type="dxa" w:w="187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Rendimiento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Evitar bloqueos, lazy loading y consultas acotadas; métricas solo con medición fechada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Implementado / medición variable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Usabilidad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Responsive, navegación común, tema y teclado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Implementado en gran parte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Seguridad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Auth, secretos backend, CORS, rate limit, allowlist, CSP, sanitización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Controles implementados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Datos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Supabase + respaldo local en flujos de usuario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Implementado con límites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Escalabilidad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No se declara capacidad o SLA sin carga/telemetría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No demostrada como garantía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Mantenibilidad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Componentes, hooks, servicios, Git y CI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Coste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Preferencia por bajo coste; no se promete coste cero permanente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Variable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Testing</w:t>
            </w:r>
          </w:p>
        </w:tc>
        <w:tc>
          <w:tcPr>
            <w:tcW w:type="dxa" w:w="52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Lint, typecheck, unit, build y E2E en CI permanente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Implementado y validado en snapshot final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3.4 Criterios de aceptación</w:t>
      </w:r>
    </w:p>
    <w:p>
      <w:pPr>
        <w:widowControl/>
      </w:pPr>
      <w:r>
        <w:t>Los criterios de aceptación se expresan en términos observables: rutas protegidas, navegación por catálogo, etapas del simulador, estados de una incidencia, cálculos de KPI o creación de un presupuesto. Este enfoque reduce la ambigüedad de prompts y facilita que una prueba automatizada verifique el mismo contrato que la documentación describe.</w:t>
      </w:r>
    </w:p>
    <w:p>
      <w:pPr>
        <w:widowControl/>
      </w:pPr>
      <w:r>
        <w:t>Cuando un criterio depende de un servicio externo, el resultado debe distinguir entre el comportamiento de la aplicación y la disponibilidad del servicio. Esta distinción fue especialmente relevante en SONEX, donde un entorno E2E heredó credenciales de un Supabase pausado y provocó fallos de test sin que el algoritmo de búsqueda fuese el responsable.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04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DISEÑO TÉCNICO Y ARQUITECTURA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Frontend, datos, backend serverless e IA</w:t>
      </w:r>
    </w:p>
    <w:p>
      <w:pPr>
        <w:pStyle w:val="Heading1"/>
        <w:keepNext/>
        <w:widowControl/>
      </w:pPr>
      <w:r>
        <w:t>4. Diseño técnico y arquitectura</w:t>
      </w:r>
    </w:p>
    <w:p>
      <w:pPr>
        <w:pStyle w:val="Heading2"/>
        <w:keepNext/>
        <w:widowControl/>
      </w:pPr>
      <w:r>
        <w:t>4.1 Arquitectura general</w:t>
      </w:r>
    </w:p>
    <w:p>
      <w:pPr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126480" cy="3604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04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widowControl/>
      </w:pPr>
      <w:r>
        <w:rPr>
          <w:i/>
          <w:color w:val="505050"/>
          <w:sz w:val="17"/>
        </w:rPr>
        <w:t>Figura 2. Arquitectura actual del sistema.</w:t>
      </w:r>
    </w:p>
    <w:p>
      <w:pPr>
        <w:widowControl/>
      </w:pPr>
      <w:r>
        <w:t>La aplicación es una SPA React desplegada en Vercel. Las rutas públicas incluyen la landing y el login; el área /app se protege mediante ProtectedRoute y comparte AppShell. Las herramientas se cargan de forma diferida para reducir el coste inicial.</w:t>
      </w:r>
    </w:p>
    <w:p>
      <w:pPr>
        <w:widowControl/>
      </w:pPr>
      <w:r>
        <w:t>Supabase concentra autenticación y datos persistentes. El catálogo se consulta desde catalogService.ts y los datos de usuario de varios módulos utilizan useUserData, que combina persistencia remota con respaldo local. Firebase/Firestore queda documentado como una etapa histórica de la arquitectura.</w:t>
      </w:r>
    </w:p>
    <w:p>
      <w:pPr>
        <w:pStyle w:val="Heading2"/>
        <w:keepNext/>
        <w:widowControl/>
      </w:pPr>
      <w:r>
        <w:t>4.2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170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Capa</w:t>
            </w:r>
          </w:p>
        </w:tc>
        <w:tc>
          <w:tcPr>
            <w:tcW w:type="dxa" w:w="2835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Tecnologías</w:t>
            </w:r>
          </w:p>
        </w:tc>
        <w:tc>
          <w:tcPr>
            <w:tcW w:type="dxa" w:w="4309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Frontend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React 19 · Vite 7 · React Router 7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SPA, routing, carga diferida y UI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UI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CSS Modules · variables CSS · Framer Motion · Recharts · Lucide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Diseño, animación, gráficos e iconografía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Datos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Supabase/PostgreSQL · localStorage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Catálogo, auth, user_data y respaldo local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Backend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Vercel Functions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Gateway /api/ai y lógica serverless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IA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OpenRouter / Groq · modelos por módulo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Generación, streaming y fallbacks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PDF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jsPDF · html2canvas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Salidas documentales de varios módulos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Calidad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ESLint · TypeScript · Vitest · Playwright</w:t>
            </w:r>
          </w:p>
        </w:tc>
        <w:tc>
          <w:tcPr>
            <w:tcW w:type="dxa" w:w="43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Quality gates y regresión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4.3 Modelo de datos</w:t>
      </w:r>
    </w:p>
    <w:p>
      <w:pPr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5943600" cy="31108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widowControl/>
      </w:pPr>
      <w:r>
        <w:rPr>
          <w:i/>
          <w:color w:val="505050"/>
          <w:sz w:val="17"/>
        </w:rPr>
        <w:t>Figura 3. Flujo simplificado de datos y persistencia.</w:t>
      </w:r>
    </w:p>
    <w:p>
      <w:pPr>
        <w:widowControl/>
      </w:pPr>
      <w:r>
        <w:t>El catálogo se apoya en tablas y vistas Supabase. Entre los campos consultados se encuentran identificadores, referencias de fabricante, nombre, imagen, marca, familia, subfamilia, tipo, precio y datos comerciales como gama/subgama cuando existen. La navegación se adapta a la taxonomía disponible en lugar de forzar un único árbol rígido.</w:t>
      </w:r>
    </w:p>
    <w:p>
      <w:pPr>
        <w:widowControl/>
      </w:pPr>
      <w:r>
        <w:t>Los datos de usuario se abstraen mediante hooks de persistencia. La seguridad efectiva del backend depende también de las políticas RLS del proyecto Supabase; que el frontend utilice el SDK correctamente no constituye por sí solo una auditoría de RLS.</w:t>
      </w:r>
    </w:p>
    <w:p>
      <w:pPr>
        <w:pStyle w:val="Heading2"/>
        <w:keepNext/>
        <w:widowControl/>
      </w:pPr>
      <w:r>
        <w:t>4.4 Gateway de IA</w:t>
      </w:r>
    </w:p>
    <w:p>
      <w:pPr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035040" cy="3257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jo_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5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widowControl/>
      </w:pPr>
      <w:r>
        <w:rPr>
          <w:i/>
          <w:color w:val="505050"/>
          <w:sz w:val="17"/>
        </w:rPr>
        <w:t>Figura 4. Flujo de una petición de IA desde el módulo hasta el proveedor.</w:t>
      </w:r>
    </w:p>
    <w:p>
      <w:pPr>
        <w:widowControl/>
      </w:pPr>
      <w:r>
        <w:t>Las claves privadas de proveedores de IA no se distribuyen con el cliente. El frontend obtiene la sesión Supabase y llama al endpoint /api/ai con Bearer token. El gateway valida método, autenticación y entrada, aplica CORS y rate limiting, comprueba el modelo contra una allowlist y limita tamaño de mensajes y tokens antes de reenviar la solicitud.</w:t>
      </w:r>
    </w:p>
    <w:p>
      <w:pPr>
        <w:widowControl/>
      </w:pPr>
      <w:r>
        <w:t>Los módulos pueden utilizar modelos diferentes. Esta decisión evita que la documentación dependa de una etiqueta comercial concreta y permite aplicar fallbacks cuando un proveedor devuelve errores de crédito o limitación.</w:t>
      </w:r>
    </w:p>
    <w:p>
      <w:pPr>
        <w:pStyle w:val="Heading2"/>
        <w:keepNext/>
        <w:widowControl/>
      </w:pPr>
      <w:r>
        <w:t>4.5 Seguridad y límites</w:t>
      </w:r>
    </w:p>
    <w:p>
      <w:pPr>
        <w:pStyle w:val="ListBullet"/>
        <w:widowControl/>
      </w:pPr>
      <w:r>
        <w:t>Bearer token Supabase obligatorio para llamadas al gateway IA.</w:t>
      </w:r>
    </w:p>
    <w:p>
      <w:pPr>
        <w:pStyle w:val="ListBullet"/>
        <w:widowControl/>
      </w:pPr>
      <w:r>
        <w:t>Credenciales de proveedores únicamente en servidor.</w:t>
      </w:r>
    </w:p>
    <w:p>
      <w:pPr>
        <w:pStyle w:val="ListBullet"/>
        <w:widowControl/>
      </w:pPr>
      <w:r>
        <w:t>CORS, límites de entrada, allowlist de modelos y rate limiting.</w:t>
      </w:r>
    </w:p>
    <w:p>
      <w:pPr>
        <w:pStyle w:val="ListBullet"/>
        <w:widowControl/>
      </w:pPr>
      <w:r>
        <w:t>CSP y cabeceras de seguridad en la configuración de Vercel.</w:t>
      </w:r>
    </w:p>
    <w:p>
      <w:pPr>
        <w:pStyle w:val="ListBullet"/>
        <w:widowControl/>
      </w:pPr>
      <w:r>
        <w:t>Sanitización del Markdown antes de renderizar contenido generado.</w:t>
      </w:r>
    </w:p>
    <w:p>
      <w:pPr>
        <w:pStyle w:val="ListBullet"/>
        <w:widowControl/>
      </w:pPr>
      <w:r>
        <w:t>El rate limit serverless es una defensa por instancia; una cuota global durable requeriría almacenamiento compartido.</w:t>
      </w:r>
    </w:p>
    <w:p>
      <w:pPr>
        <w:pStyle w:val="ListBullet"/>
        <w:widowControl/>
      </w:pPr>
      <w:r>
        <w:t>RLS live y analítica centralizada permanecen fuera del cierre mientras el proyecto Supabase de producción está pausado.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05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HERRAMIENTAS FUNCIONALES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Qué problema resuelve cada módulo y cómo lo hace</w:t>
      </w:r>
    </w:p>
    <w:p>
      <w:pPr>
        <w:pStyle w:val="Heading1"/>
        <w:keepNext/>
        <w:widowControl/>
      </w:pPr>
      <w:r>
        <w:t>5. Herramientas funcionales</w:t>
      </w:r>
    </w:p>
    <w:p>
      <w:pPr>
        <w:pStyle w:val="Heading2"/>
        <w:keepNext/>
        <w:widowControl/>
      </w:pPr>
      <w:r>
        <w:t>5.1 Fichas Técnicas</w:t>
      </w:r>
    </w:p>
    <w:p>
      <w:pPr>
        <w:widowControl/>
      </w:pPr>
      <w:r>
        <w:t>El problema es localizar productos y características sin depender de una navegación rígida. La solución utiliza catalogService.ts para consultar familias, marcas, subfamilias/tipos y filtros comerciales disponibles, permite búsqueda directa por texto o referencia y abre el detalle de producto. El enriquecimiento IA es auxiliar: no reemplaza el catálogo ni la documentación del fabricante.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La navegación depende de la taxonomía real del catálogo. Las cifras de productos no se congelan en la memoria; se obtienen mediante getCatalogStats() o consulta equivalente cuando se necesita una medición.</w:t>
      </w:r>
    </w:p>
    <w:p>
      <w:pPr>
        <w:pStyle w:val="Heading2"/>
        <w:keepNext/>
        <w:widowControl/>
      </w:pPr>
      <w:r>
        <w:t>5.2 Simulador de Almacén</w:t>
      </w:r>
    </w:p>
    <w:p>
      <w:pPr>
        <w:widowControl/>
      </w:pPr>
      <w:r>
        <w:t>El módulo permite practicar un ciclo logístico sin intervenir sobre operaciones reales. La implementación actual contiene cinco etapas: Recepción, Ubicación, Picking, Verificación y Expedición. Añade incidencias, tiempos, puntuación, historial y modos de entrenamiento/evaluación, además del soporte multijugador cuando existe conectividad.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Los estándares y puntuaciones pertenecen a una simulación académica. No se presentan como procedimientos certificados de almacén.</w:t>
      </w:r>
    </w:p>
    <w:p>
      <w:pPr>
        <w:pStyle w:val="Heading2"/>
        <w:keepNext/>
        <w:widowControl/>
      </w:pPr>
      <w:r>
        <w:t>5.3 Dashboard de Incidencias</w:t>
      </w:r>
    </w:p>
    <w:p>
      <w:pPr>
        <w:widowControl/>
      </w:pPr>
      <w:r>
        <w:t>Resuelve el registro y seguimiento de incidencias. El usuario puede introducir equipo, zona, operario, síntoma y severidad, filtrar por estado, añadir observaciones y solicitar diagnóstico asistido por IA. El módulo destaca incidencias críticas abiertas más de dos horas y puede exportar un resumen PDF.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El diagnóstico IA orienta el análisis; no sustituye protocolos de mantenimiento, seguridad o bloqueo/etiquetado.</w:t>
      </w:r>
    </w:p>
    <w:p>
      <w:pPr>
        <w:pStyle w:val="Heading2"/>
        <w:keepNext/>
        <w:widowControl/>
      </w:pPr>
      <w:r>
        <w:t>5.4 KPI Logístico</w:t>
      </w:r>
    </w:p>
    <w:p>
      <w:pPr>
        <w:widowControl/>
      </w:pPr>
      <w:r>
        <w:t>Convierte datos de un turno en seis indicadores: pedidos/hora, error de picking, tiempo de ciclo, ocupación, devoluciones y productividad. Cada resultado se clasifica con un semáforo, se conserva histórico, se representa gráficamente y puede complementarse con comentario IA y PDF.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Los benchmarks son referencias del simulador. No deben confundirse con SLA corporativos o métricas contractuales.</w:t>
      </w:r>
    </w:p>
    <w:p>
      <w:pPr>
        <w:pStyle w:val="Heading2"/>
        <w:keepNext/>
        <w:widowControl/>
      </w:pPr>
      <w:r>
        <w:t>5.5 Presupuestos</w:t>
      </w:r>
    </w:p>
    <w:p>
      <w:pPr>
        <w:widowControl/>
      </w:pPr>
      <w:r>
        <w:t>Permite construir un presupuesto a partir del catálogo, editar líneas y cantidades, calcular subtotal, IVA y total, guardar/recuperar el trabajo según el flujo implementado y generar PDF.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El precio de catálogo puede depender del snapshot de datos y no representa necesariamente una oferta comercial vigente.</w:t>
      </w:r>
    </w:p>
    <w:p>
      <w:pPr>
        <w:pStyle w:val="Heading2"/>
        <w:keepNext/>
        <w:widowControl/>
      </w:pPr>
      <w:r>
        <w:t>5.6 Formación Interna</w:t>
      </w:r>
    </w:p>
    <w:p>
      <w:pPr>
        <w:widowControl/>
      </w:pPr>
      <w:r>
        <w:t>Modela empleados, módulos y progreso formativo. Gestiona estados pendiente/en curso/completado, calcula avance, alerta sobre formación obligatoria pendiente y genera un plan de desarrollo asistido por IA.</w:t>
      </w:r>
    </w:p>
    <w:p>
      <w:pPr>
        <w:keepLines/>
        <w:spacing w:before="80" w:after="100"/>
        <w:shd w:fill="F7F9FA"/>
        <w:widowControl/>
      </w:pPr>
      <w:r>
        <w:rPr>
          <w:b/>
          <w:color w:val="17324D"/>
          <w:sz w:val="20"/>
        </w:rPr>
        <w:t>Límite del módulo</w:t>
        <w:br/>
      </w:r>
      <w:r>
        <w:rPr>
          <w:sz w:val="18"/>
        </w:rPr>
        <w:t>Es una herramienta académica, no un LMS empresarial certificado ni un sistema corporativo de RRHH.</w:t>
      </w:r>
    </w:p>
    <w:p>
      <w:pPr>
        <w:pStyle w:val="Heading2"/>
        <w:keepNext/>
        <w:widowControl/>
      </w:pPr>
      <w:r>
        <w:t>5.7 SONEX</w:t>
      </w:r>
    </w:p>
    <w:p>
      <w:pPr>
        <w:widowControl/>
      </w:pPr>
      <w:r>
        <w:t>Ofrece asistencia conversacional con sesiones e historial. Los cuatro modos actuales son Búsqueda, Comparativa, Asistencia y Formación. Puede aportar contexto de catálogo, mostrar resultados verificables y enlazar referencias a Fichas o Presupuestos. La respuesta generada no es fuente normativa ni técnica: la aplicación debe diferenciar texto generado de datos reales del catálogo y verificar referencias antes de convertirlas en acciones.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06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PROCESO DE DESARROLLO ASISTIDO POR IA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Evolución, metodología y aprendizaje</w:t>
      </w:r>
    </w:p>
    <w:p>
      <w:pPr>
        <w:pStyle w:val="Heading1"/>
        <w:keepNext/>
        <w:widowControl/>
      </w:pPr>
      <w:r>
        <w:t>6. Proceso de desarrollo asistido por IA</w:t>
      </w:r>
    </w:p>
    <w:p>
      <w:pPr>
        <w:pStyle w:val="Heading2"/>
        <w:keepNext/>
        <w:widowControl/>
      </w:pPr>
      <w:r>
        <w:t>6.1 Evolución del proyecto</w:t>
      </w:r>
    </w:p>
    <w:p>
      <w:pPr>
        <w:spacing w:after="40"/>
        <w:ind w:left="369" w:hanging="255"/>
        <w:widowControl/>
      </w:pPr>
      <w:r>
        <w:t>1.  Prototipos independientes para validar ideas de herramientas.</w:t>
      </w:r>
    </w:p>
    <w:p>
      <w:pPr>
        <w:spacing w:after="40"/>
        <w:ind w:left="369" w:hanging="255"/>
        <w:widowControl/>
      </w:pPr>
      <w:r>
        <w:t>2.  Unificación en una SPA con layout, routing y sistema visual comunes.</w:t>
      </w:r>
    </w:p>
    <w:p>
      <w:pPr>
        <w:spacing w:after="40"/>
        <w:ind w:left="369" w:hanging="255"/>
        <w:widowControl/>
      </w:pPr>
      <w:r>
        <w:t>3.  Primer backend y experimentación con Firebase/Firestore.</w:t>
      </w:r>
    </w:p>
    <w:p>
      <w:pPr>
        <w:spacing w:after="40"/>
        <w:ind w:left="369" w:hanging="255"/>
        <w:widowControl/>
      </w:pPr>
      <w:r>
        <w:t>4.  Migración a Supabase para autenticación, catálogo y persistencia.</w:t>
      </w:r>
    </w:p>
    <w:p>
      <w:pPr>
        <w:spacing w:after="40"/>
        <w:ind w:left="369" w:hanging="255"/>
        <w:widowControl/>
      </w:pPr>
      <w:r>
        <w:t>5.  Consolidación funcional de los siete módulos.</w:t>
      </w:r>
    </w:p>
    <w:p>
      <w:pPr>
        <w:spacing w:after="40"/>
        <w:ind w:left="369" w:hanging="255"/>
        <w:widowControl/>
      </w:pPr>
      <w:r>
        <w:t>6.  Mejora de seguridad: claves serverless, CSP, sanitización y controles del gateway.</w:t>
      </w:r>
    </w:p>
    <w:p>
      <w:pPr>
        <w:spacing w:after="40"/>
        <w:ind w:left="369" w:hanging="255"/>
        <w:widowControl/>
      </w:pPr>
      <w:r>
        <w:t>7.  Construcción de suites unitarias y E2E y estabilización de quality gates.</w:t>
      </w:r>
    </w:p>
    <w:p>
      <w:pPr>
        <w:spacing w:after="40"/>
        <w:ind w:left="369" w:hanging="255"/>
        <w:widowControl/>
      </w:pPr>
      <w:r>
        <w:t>8.  Reconciliación de documentación, diagramas y material docente.</w:t>
      </w:r>
    </w:p>
    <w:p>
      <w:pPr>
        <w:pStyle w:val="Heading2"/>
        <w:keepNext/>
        <w:widowControl/>
      </w:pPr>
      <w:r>
        <w:t>6.2 Metodología de trabajo</w:t>
      </w:r>
    </w:p>
    <w:p>
      <w:pPr>
        <w:spacing w:after="40"/>
        <w:ind w:left="369" w:hanging="255"/>
        <w:widowControl/>
      </w:pPr>
      <w:r>
        <w:t>1.  Objetivo: definir el resultado observable.</w:t>
      </w:r>
    </w:p>
    <w:p>
      <w:pPr>
        <w:spacing w:after="40"/>
        <w:ind w:left="369" w:hanging="255"/>
        <w:widowControl/>
      </w:pPr>
      <w:r>
        <w:t>2.  Contexto: leer código, restricciones y contratos existentes.</w:t>
      </w:r>
    </w:p>
    <w:p>
      <w:pPr>
        <w:spacing w:after="40"/>
        <w:ind w:left="369" w:hanging="255"/>
        <w:widowControl/>
      </w:pPr>
      <w:r>
        <w:t>3.  Propuesta: utilizar IA para análisis o implementación acotada.</w:t>
      </w:r>
    </w:p>
    <w:p>
      <w:pPr>
        <w:spacing w:after="40"/>
        <w:ind w:left="369" w:hanging="255"/>
        <w:widowControl/>
      </w:pPr>
      <w:r>
        <w:t>4.  Inspección: revisar diff y comportamiento real.</w:t>
      </w:r>
    </w:p>
    <w:p>
      <w:pPr>
        <w:spacing w:after="40"/>
        <w:ind w:left="369" w:hanging="255"/>
        <w:widowControl/>
      </w:pPr>
      <w:r>
        <w:t>5.  Validación: ejecutar lint, tests, build u otras evidencias necesarias.</w:t>
      </w:r>
    </w:p>
    <w:p>
      <w:pPr>
        <w:spacing w:after="40"/>
        <w:ind w:left="369" w:hanging="255"/>
        <w:widowControl/>
      </w:pPr>
      <w:r>
        <w:t>6.  Corrección: arreglar la capa responsable del fallo, sin debilitar el contrato.</w:t>
      </w:r>
    </w:p>
    <w:p>
      <w:pPr>
        <w:spacing w:after="40"/>
        <w:ind w:left="369" w:hanging="255"/>
        <w:widowControl/>
      </w:pPr>
      <w:r>
        <w:t>7.  Documentación: registrar decisiones, estado Git y limitaciones.</w:t>
      </w:r>
    </w:p>
    <w:p>
      <w:pPr>
        <w:pStyle w:val="Heading2"/>
        <w:keepNext/>
        <w:widowControl/>
      </w:pPr>
      <w:r>
        <w:t>6.3 Lecciones aprendidas</w:t>
      </w:r>
    </w:p>
    <w:p>
      <w:pPr>
        <w:pStyle w:val="ListBullet"/>
        <w:widowControl/>
      </w:pPr>
      <w:r>
        <w:t>Los prototipos aceleran el aprendizaje, pero necesitan contratos claros para no encarecer la integración posterior.</w:t>
      </w:r>
    </w:p>
    <w:p>
      <w:pPr>
        <w:pStyle w:val="ListBullet"/>
        <w:widowControl/>
      </w:pPr>
      <w:r>
        <w:t>Las credenciales privadas no pertenecen al frontend.</w:t>
      </w:r>
    </w:p>
    <w:p>
      <w:pPr>
        <w:pStyle w:val="ListBullet"/>
        <w:widowControl/>
      </w:pPr>
      <w:r>
        <w:t>Un system prompt puede orientar el formato, pero no garantiza JSON válido ni verdad factual.</w:t>
      </w:r>
    </w:p>
    <w:p>
      <w:pPr>
        <w:pStyle w:val="ListBullet"/>
        <w:widowControl/>
      </w:pPr>
      <w:r>
        <w:t>La IA puede fabricar especificaciones, normas o URLs plausibles; los datos críticos necesitan fuente oficial.</w:t>
      </w:r>
    </w:p>
    <w:p>
      <w:pPr>
        <w:pStyle w:val="ListBullet"/>
        <w:widowControl/>
      </w:pPr>
      <w:r>
        <w:t>Los datos y taxonomías suelen exigir más trabajo que la interfaz.</w:t>
      </w:r>
    </w:p>
    <w:p>
      <w:pPr>
        <w:pStyle w:val="ListBullet"/>
        <w:widowControl/>
      </w:pPr>
      <w:r>
        <w:t>Las herramientas, precios y cuotas cambian; la metodología debe sobrevivir al proveedor.</w:t>
      </w:r>
    </w:p>
    <w:p>
      <w:pPr>
        <w:pStyle w:val="ListBullet"/>
        <w:widowControl/>
      </w:pPr>
      <w:r>
        <w:t>Un test verde es evidencia, no una licencia para ignorar un defecto visible.</w:t>
      </w:r>
    </w:p>
    <w:p>
      <w:pPr>
        <w:pStyle w:val="ListBullet"/>
        <w:widowControl/>
      </w:pPr>
      <w:r>
        <w:t>La documentación también necesita versionado y reconciliación con el código.</w:t>
      </w:r>
    </w:p>
    <w:p>
      <w:pPr>
        <w:pStyle w:val="Heading2"/>
        <w:keepNext/>
        <w:widowControl/>
      </w:pPr>
      <w:r>
        <w:t>6.4 Patrones de prompting útiles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187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Patrón</w:t>
            </w:r>
          </w:p>
        </w:tc>
        <w:tc>
          <w:tcPr>
            <w:tcW w:type="dxa" w:w="2948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Objetivo</w:t>
            </w:r>
          </w:p>
        </w:tc>
        <w:tc>
          <w:tcPr>
            <w:tcW w:type="dxa" w:w="3969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Elemento crítico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Análisis antes de modificar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Evitar cambios basados en hipótesis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Separar verificado / supuesto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Cambio acotado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Controlar alcance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Objetivo, archivos, exclusiones, validaciones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Auditoría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Encontrar fallos sin tocar código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Evidencia, impacto y clasificación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Documentación sincronizada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Eliminar drift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Contrastar con código actual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Salida estructurada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Facilitar parseo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Validar esquema después de generar</w:t>
            </w:r>
          </w:p>
        </w:tc>
      </w:tr>
    </w:tbl>
    <w:p>
      <w:pPr>
        <w:spacing w:after="40"/>
        <w:widowControl/>
      </w:pP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07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CALIDAD, TESTING Y ESTABILIZACIÓN FINAL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Evidencia reproducible sobre un único estado Git</w:t>
      </w:r>
    </w:p>
    <w:p>
      <w:pPr>
        <w:pStyle w:val="Heading1"/>
        <w:keepNext/>
        <w:widowControl/>
      </w:pPr>
      <w:r>
        <w:t>7. Calidad, testing y estabilización final</w:t>
      </w:r>
    </w:p>
    <w:p>
      <w:pPr>
        <w:pStyle w:val="Heading2"/>
        <w:keepNext/>
        <w:widowControl/>
      </w:pPr>
      <w:r>
        <w:t>7.1 Problema de calidad detectado</w:t>
      </w:r>
    </w:p>
    <w:p>
      <w:pPr>
        <w:widowControl/>
      </w:pPr>
      <w:r>
        <w:t>Durante la fase final se detectó que no bastaba con acumular tests o informes de agentes. Varias evidencias pertenecían a distintos commits y el entorno E2E podía heredar variables de un Supabase pausado, haciendo que los tests de SONEX intentasen acceder a un backend real en lugar del stub credentialless.</w:t>
      </w:r>
    </w:p>
    <w:p>
      <w:pPr>
        <w:widowControl/>
      </w:pPr>
      <w:r>
        <w:t>El objetivo del cierre fue convertir la calidad en un contrato permanente del repositorio: instalación reproducible, lint sin warnings, typecheck, auditoría de dependencias de producción, unit tests, build y E2E ejecutados en un flujo determinista.</w:t>
      </w:r>
    </w:p>
    <w:p>
      <w:pPr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126480" cy="30059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quality_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05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widowControl/>
      </w:pPr>
      <w:r>
        <w:rPr>
          <w:i/>
          <w:color w:val="505050"/>
          <w:sz w:val="17"/>
        </w:rPr>
        <w:t>Figura 5. Quality gate permanente y snapshot de cierre.</w:t>
      </w:r>
    </w:p>
    <w:p>
      <w:pPr>
        <w:pStyle w:val="Heading2"/>
        <w:keepNext/>
        <w:widowControl/>
      </w:pPr>
      <w:r>
        <w:t>7.2 Diagnóstico de SONEX</w:t>
      </w:r>
    </w:p>
    <w:p>
      <w:pPr>
        <w:widowControl/>
      </w:pPr>
      <w:r>
        <w:t>Los cuatro fallos E2E de SONEX no se resolvieron relajando búsquedas ni expectativas. El diagnóstico mostró contaminación del entorno de pruebas: las variables VITE_SUPABASE_* apuntaban a un proyecto pausado/no resoluble y desviaban la aplicación del stub local. La solución fue aislar el servidor Playwright de esas variables, fortalecer el fixture credentialless y mantener el algoritmo de búsqueda.</w:t>
      </w:r>
    </w:p>
    <w:p>
      <w:pPr>
        <w:widowControl/>
      </w:pPr>
      <w:r>
        <w:t>Esta corrección ilustra el criterio metodológico del PFC: arreglar la capa responsable. Modificar el producto o debilitar los tests habría ocultado la causa real.</w:t>
      </w:r>
    </w:p>
    <w:p>
      <w:pPr>
        <w:pStyle w:val="Heading2"/>
        <w:keepNext/>
        <w:widowControl/>
      </w:pPr>
      <w:r>
        <w:t>7.3 Snapshot de cierre técnico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238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Gate</w:t>
            </w:r>
          </w:p>
        </w:tc>
        <w:tc>
          <w:tcPr>
            <w:tcW w:type="dxa" w:w="3402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Resultado</w:t>
            </w:r>
          </w:p>
        </w:tc>
        <w:tc>
          <w:tcPr>
            <w:tcW w:type="dxa" w:w="306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Evidencia/alcance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Candidato validado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70171319388195520443ffa96bc9e7b456470b64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20/08/2026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Integración en main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69401ee9d85f31ccff745ab9e487d3a4ecf9613c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Merge PR #8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Node CI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24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workflow permanente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ESLint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PASS · 0 warnings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--max-warnings=0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TypeScript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PASS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tsc --noEmit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Audit producción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PASS · 0 vulnerabilidades high/critical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audit --omit=dev --audit-level=high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Vitest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22 archivos · 314 tests PASS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snapshot pre-merge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Build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PASS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Vite 7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Playwright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159 / 159 PASS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Chromium · 2 workers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Vercel Preview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READY</w:t>
            </w:r>
          </w:p>
        </w:tc>
        <w:tc>
          <w:tcPr>
            <w:tcW w:type="dxa" w:w="30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mismo candidato 7017131…</w:t>
            </w:r>
          </w:p>
        </w:tc>
      </w:tr>
    </w:tbl>
    <w:p>
      <w:pPr>
        <w:spacing w:after="40"/>
        <w:widowControl/>
      </w:pPr>
    </w:p>
    <w:p>
      <w:pPr>
        <w:keepLines/>
        <w:spacing w:before="80" w:after="100"/>
        <w:shd w:fill="EAF4FB"/>
        <w:widowControl/>
      </w:pPr>
      <w:r>
        <w:rPr>
          <w:b/>
          <w:color w:val="17324D"/>
          <w:sz w:val="20"/>
        </w:rPr>
        <w:t>Interpretación</w:t>
        <w:br/>
      </w:r>
      <w:r>
        <w:rPr>
          <w:sz w:val="18"/>
        </w:rPr>
        <w:t>Estas cifras describen la ejecución de cierre del 20/08/2026. No se presentan como valores eternos del proyecto: cualquier cambio posterior requiere una nueva ejecución.</w:t>
      </w:r>
    </w:p>
    <w:p>
      <w:pPr>
        <w:pStyle w:val="Heading2"/>
        <w:keepNext/>
        <w:widowControl/>
      </w:pPr>
      <w:r>
        <w:t>7.4 Deuda no bloqueante</w:t>
      </w:r>
    </w:p>
    <w:p>
      <w:pPr>
        <w:pStyle w:val="ListBullet"/>
        <w:widowControl/>
      </w:pPr>
      <w:r>
        <w:t>El bundle PDF genera un chunk aproximado de 589 kB minificado; es una oportunidad de code splitting, no un fallo funcional.</w:t>
      </w:r>
    </w:p>
    <w:p>
      <w:pPr>
        <w:pStyle w:val="ListBullet"/>
        <w:widowControl/>
      </w:pPr>
      <w:r>
        <w:t>El audit completo de desarrollo conserva dos findings high en la cadena camoufox-js → adm-zip; la superficie de producción auditada queda limpia y el arreglo disponible implica una migración major que no se forzó.</w:t>
      </w:r>
    </w:p>
    <w:p>
      <w:pPr>
        <w:pStyle w:val="ListBullet"/>
        <w:widowControl/>
      </w:pPr>
      <w:r>
        <w:t>Las políticas RLS live y la analítica central no se modificaron durante el cierre porque el proyecto Supabase de producción estaba pausado.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08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RESULTADOS Y EVALUACIÓN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Qué puede defenderse con evidencia y qué no</w:t>
      </w:r>
    </w:p>
    <w:p>
      <w:pPr>
        <w:pStyle w:val="Heading1"/>
        <w:keepNext/>
        <w:widowControl/>
      </w:pPr>
      <w:r>
        <w:t>8. Resultados y evaluación</w:t>
      </w:r>
    </w:p>
    <w:p>
      <w:pPr>
        <w:pStyle w:val="Heading2"/>
        <w:keepNext/>
        <w:widowControl/>
      </w:pPr>
      <w:r>
        <w:t>8.1 Resultados estructurales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8"/>
        <w:gridCol w:w="4858"/>
      </w:tblGrid>
      <w:tr>
        <w:trPr>
          <w:tblHeader w:val="true"/>
          <w:cantSplit/>
        </w:trPr>
        <w:tc>
          <w:tcPr>
            <w:tcW w:type="dxa" w:w="4252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Métrica estructural</w:t>
            </w:r>
          </w:p>
        </w:tc>
        <w:tc>
          <w:tcPr>
            <w:tcW w:type="dxa" w:w="4252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Herramientas funcionales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Dashboard Global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Etapas del Simulador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KPIs logísticos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Modos de SONEX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Testing unitario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Infraestructura y suites presentes</w:t>
            </w:r>
          </w:p>
        </w:tc>
      </w:tr>
      <w:tr>
        <w:trPr>
          <w:cantSplit/>
        </w:trPr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Testing E2E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Playwright integrado en CI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8.2 Resultados que no se congelan</w:t>
      </w:r>
    </w:p>
    <w:p>
      <w:pPr>
        <w:widowControl/>
      </w:pPr>
      <w:r>
        <w:t>El tamaño del catálogo, los usuarios, las puntuaciones Lighthouse, el consumo de tokens, el coste mensual o el uptime dependen del entorno y del momento. Versiones anteriores de la documentación mezclaron snapshots distintos, lo que producía cifras incompatibles. La versión final elimina esa falsa precisión.</w:t>
      </w:r>
    </w:p>
    <w:p>
      <w:pPr>
        <w:widowControl/>
      </w:pPr>
      <w:r>
        <w:t>Cuando se necesite una cifra de catálogo, debe obtenerse del backend con getCatalogStats() o una consulta equivalente y acompañarse de fecha. Cuando se publique una cifra de tests, debe conservarse el commit y el log de la ejecución.</w:t>
      </w:r>
    </w:p>
    <w:p>
      <w:pPr>
        <w:pStyle w:val="Heading2"/>
        <w:keepNext/>
        <w:widowControl/>
      </w:pPr>
      <w:r>
        <w:t>8.3 Coste</w:t>
      </w:r>
    </w:p>
    <w:p>
      <w:pPr>
        <w:widowControl/>
      </w:pPr>
      <w:r>
        <w:t>El proyecto priorizó herramientas open source, planes gratuitos y servicios de bajo coste, por lo que el desembolso directo observado fue reducido en distintas fases. Sin embargo, no se afirma coste cero permanente: los planes de Vercel, Supabase y proveedores de IA pueden cambiar, y algunos modelos utilizados no pertenecen necesariamente a una cuota gratuita.</w:t>
      </w:r>
    </w:p>
    <w:p>
      <w:pPr>
        <w:widowControl/>
      </w:pPr>
      <w:r>
        <w:t>Una estimación económica futura debe separar consumo de infraestructura, tokens, dominio, mantenimiento y tiempo humano. Del mismo modo, una valoración de desarrollo externo solo es defendible si explicita horas, tarifa y alcance.</w:t>
      </w:r>
    </w:p>
    <w:p>
      <w:pPr>
        <w:pStyle w:val="Heading2"/>
        <w:keepNext/>
        <w:widowControl/>
      </w:pPr>
      <w:r>
        <w:t>8.4 Valor académico</w:t>
      </w:r>
    </w:p>
    <w:p>
      <w:pPr>
        <w:widowControl/>
      </w:pPr>
      <w:r>
        <w:t>El resultado principal no es solo una colección de herramientas, sino una demostración reproducible de cómo integrar IA en un proceso de ingeniería de software: requisitos, control de alcance, Git, pruebas, evidencia y documentación. La fase de estabilización final refuerza este valor porque muestra que la calidad se obtiene corrigiendo causas, no acumulando prompts o aceptando informes de agentes.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09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TRANSFERENCIA DOCENTE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Uso del PFC como caso de estudio</w:t>
      </w:r>
    </w:p>
    <w:p>
      <w:pPr>
        <w:pStyle w:val="Heading1"/>
        <w:keepNext/>
        <w:widowControl/>
      </w:pPr>
      <w:r>
        <w:t>9. Transferencia docente</w:t>
      </w:r>
    </w:p>
    <w:p>
      <w:pPr>
        <w:pStyle w:val="Heading2"/>
        <w:keepNext/>
        <w:widowControl/>
      </w:pPr>
      <w:r>
        <w:t>9.1 Propósito</w:t>
      </w:r>
    </w:p>
    <w:p>
      <w:pPr>
        <w:widowControl/>
      </w:pPr>
      <w:r>
        <w:t>El material para profesorado transforma el proyecto en un caso práctico de desarrollo asistido por IA. El eje no es aprender una marca de modelo o una herramienta comercial concreta, sino aprender un proceso que siga siendo válido cuando cambien los proveedores.</w:t>
      </w:r>
    </w:p>
    <w:p>
      <w:pPr>
        <w:pStyle w:val="Heading2"/>
        <w:keepNext/>
        <w:widowControl/>
      </w:pPr>
      <w:r>
        <w:t>9.2 Itinerario recomendado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1247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Sesión</w:t>
            </w:r>
          </w:p>
        </w:tc>
        <w:tc>
          <w:tcPr>
            <w:tcW w:type="dxa" w:w="2835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Tema</w:t>
            </w:r>
          </w:p>
        </w:tc>
        <w:tc>
          <w:tcPr>
            <w:tcW w:type="dxa" w:w="4535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1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Del problema al prompt verificable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Requisitos, límites y criterios de aceptación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IA + Git + revisión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Cambio pequeño, diff y reversibilidad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3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Pruebas y evidencia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Interpretar lint/build/unit/E2E sin ocultar fallos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4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Mini proyecto y defensa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Justificar decisiones, evidencia y límites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9.3 Evaluación</w:t>
      </w:r>
    </w:p>
    <w:p>
      <w:pPr>
        <w:pStyle w:val="ListBullet"/>
        <w:widowControl/>
      </w:pPr>
      <w:r>
        <w:t>Definición del problema y control del alcance.</w:t>
      </w:r>
    </w:p>
    <w:p>
      <w:pPr>
        <w:pStyle w:val="ListBullet"/>
        <w:widowControl/>
      </w:pPr>
      <w:r>
        <w:t>Calidad técnica de la solución.</w:t>
      </w:r>
    </w:p>
    <w:p>
      <w:pPr>
        <w:pStyle w:val="ListBullet"/>
        <w:widowControl/>
      </w:pPr>
      <w:r>
        <w:t>Trazabilidad de decisiones y uso de Git.</w:t>
      </w:r>
    </w:p>
    <w:p>
      <w:pPr>
        <w:pStyle w:val="ListBullet"/>
        <w:widowControl/>
      </w:pPr>
      <w:r>
        <w:t>Validación mediante evidencia.</w:t>
      </w:r>
    </w:p>
    <w:p>
      <w:pPr>
        <w:pStyle w:val="ListBullet"/>
        <w:widowControl/>
      </w:pPr>
      <w:r>
        <w:t>Comprensión del código y capacidad de detectar propuestas incorrectas de la IA.</w:t>
      </w:r>
    </w:p>
    <w:p>
      <w:pPr>
        <w:pStyle w:val="ListBullet"/>
        <w:widowControl/>
      </w:pPr>
      <w:r>
        <w:t>Seguridad, privacidad y uso responsable de fuentes técnicas.</w:t>
      </w:r>
    </w:p>
    <w:p>
      <w:pPr>
        <w:pStyle w:val="ListBullet"/>
        <w:widowControl/>
      </w:pPr>
      <w:r>
        <w:t>Comunicación, documentación y límites reconocidos.</w:t>
      </w:r>
    </w:p>
    <w:p>
      <w:pPr>
        <w:keepLines/>
        <w:spacing w:before="80" w:after="100"/>
        <w:shd w:fill="EEF5FA"/>
        <w:widowControl/>
      </w:pPr>
      <w:r>
        <w:rPr>
          <w:b/>
          <w:color w:val="17324D"/>
          <w:sz w:val="20"/>
        </w:rPr>
        <w:t>Principio docente</w:t>
        <w:br/>
      </w:r>
      <w:r>
        <w:rPr>
          <w:sz w:val="18"/>
        </w:rPr>
        <w:t>La cantidad de herramientas de IA utilizadas no es un criterio de calidad. Un alumno que utiliza una sola herramienta con buen contexto, revisión y validación puede realizar un trabajo mejor que otro que utiliza varias de forma superficial.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10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CONCLUSIONES Y LÍNEAS FUTURAS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Cierre técnico, límites y continuidad</w:t>
      </w:r>
    </w:p>
    <w:p>
      <w:pPr>
        <w:pStyle w:val="Heading1"/>
        <w:keepNext/>
        <w:widowControl/>
      </w:pPr>
      <w:r>
        <w:t>10. Conclusiones y líneas futuras</w:t>
      </w:r>
    </w:p>
    <w:p>
      <w:pPr>
        <w:pStyle w:val="Heading2"/>
        <w:keepNext/>
        <w:widowControl/>
      </w:pPr>
      <w:r>
        <w:t>10.1 Cumplimiento del objetivo</w:t>
      </w:r>
    </w:p>
    <w:p>
      <w:pPr>
        <w:widowControl/>
      </w:pPr>
      <w:r>
        <w:t>El objetivo principal se considera alcanzado a nivel académico. Existe una SPA integrada con siete herramientas funcionales y Dashboard Global, autenticación y datos Supabase, backend serverless, persistencia, generación de PDF, funciones asistidas por IA y una cadena de quality gates permanente.</w:t>
      </w:r>
    </w:p>
    <w:p>
      <w:pPr>
        <w:widowControl/>
      </w:pPr>
      <w:r>
        <w:t>La estabilización final fue integrada en main mediante la PR #8 después de validar el candidato con CI completa y preview Vercel. Este cierre permite distinguir claramente el producto funcional de las mejoras que quedan como deuda no bloqueante.</w:t>
      </w:r>
    </w:p>
    <w:p>
      <w:pPr>
        <w:pStyle w:val="Heading2"/>
        <w:keepNext/>
        <w:widowControl/>
      </w:pPr>
      <w:r>
        <w:t>10.2 Límites reconocidos</w:t>
      </w:r>
    </w:p>
    <w:p>
      <w:pPr>
        <w:pStyle w:val="ListBullet"/>
        <w:widowControl/>
      </w:pPr>
      <w:r>
        <w:t>No existe integración oficial con ERP/SAP ni sistemas internos de una empresa.</w:t>
      </w:r>
    </w:p>
    <w:p>
      <w:pPr>
        <w:pStyle w:val="ListBullet"/>
        <w:widowControl/>
      </w:pPr>
      <w:r>
        <w:t>La validación con usuarios reales fue limitada.</w:t>
      </w:r>
    </w:p>
    <w:p>
      <w:pPr>
        <w:pStyle w:val="ListBullet"/>
        <w:widowControl/>
      </w:pPr>
      <w:r>
        <w:t>Las respuestas IA no constituyen validación normativa o profesional.</w:t>
      </w:r>
    </w:p>
    <w:p>
      <w:pPr>
        <w:pStyle w:val="ListBullet"/>
        <w:widowControl/>
      </w:pPr>
      <w:r>
        <w:t>No se promete SLA, capacidad de carga o uptime sin telemetría específica.</w:t>
      </w:r>
    </w:p>
    <w:p>
      <w:pPr>
        <w:pStyle w:val="ListBullet"/>
        <w:widowControl/>
      </w:pPr>
      <w:r>
        <w:t>La seguridad de datos live depende también de RLS y configuración desplegada de Supabase.</w:t>
      </w:r>
    </w:p>
    <w:p>
      <w:pPr>
        <w:pStyle w:val="ListBullet"/>
        <w:widowControl/>
      </w:pPr>
      <w:r>
        <w:t>Los precios, modelos y planes de terceros cambian y deben verificarse cuando se utilicen.</w:t>
      </w:r>
    </w:p>
    <w:p>
      <w:pPr>
        <w:pStyle w:val="Heading2"/>
        <w:keepNext/>
        <w:widowControl/>
      </w:pPr>
      <w:r>
        <w:t>10.3 Líneas futuras priorizadas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2268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Línea</w:t>
            </w:r>
          </w:p>
        </w:tc>
        <w:tc>
          <w:tcPr>
            <w:tcW w:type="dxa" w:w="5386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Trabajo futuro</w:t>
            </w:r>
          </w:p>
        </w:tc>
        <w:tc>
          <w:tcPr>
            <w:tcW w:type="dxa" w:w="1247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Producción Supabase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Reactivar entorno, revisar RLS con evidencia y definir analítica central solo si es necesaria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Rendimiento PDF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Dividir/cargar bajo demanda el vendor PDF para reducir el chunk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Baja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Dependencias dev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Evaluar migración de camoufox-js cuando tenga sentido funcional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Baja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Validación de usuarios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Planificar pruebas con perfiles reales y recoger feedback estructurado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Catálogo y fuentes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Mejorar trazabilidad de documentación oficial de productos y normas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Alta si se usa en contexto real</w:t>
            </w:r>
          </w:p>
        </w:tc>
      </w:tr>
      <w:tr>
        <w:trPr>
          <w:cantSplit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Observabilidad</w:t>
            </w:r>
          </w:p>
        </w:tc>
        <w:tc>
          <w:tcPr>
            <w:tcW w:type="dxa" w:w="538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Métricas de backend compartidas si el proyecto evoluciona a operación multiusuario</w:t>
            </w:r>
          </w:p>
        </w:tc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Media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10.4 Conclusión final</w:t>
      </w:r>
    </w:p>
    <w:p>
      <w:pPr>
        <w:widowControl/>
      </w:pPr>
      <w:r>
        <w:t>La lección central del proyecto es que la IA puede reducir significativamente el coste de empezar, explorar y automatizar tareas de desarrollo, pero también aumenta la importancia de saber definir, revisar y comprobar. El salto de calidad no proviene de pedir más código, sino de construir un proceso en el que cada afirmación importante pueda relacionarse con código, configuración, una prueba o una fuente verificable.</w:t>
      </w:r>
    </w:p>
    <w:p>
      <w:pPr>
        <w:widowControl/>
      </w:pPr>
      <w:r>
        <w:t>En ese sentido, el PFC sirve tanto como aplicación funcional como caso de estudio sobre una forma responsable de trabajar con agentes y modelos generativos en ingeniería de software.</w:t>
      </w:r>
    </w:p>
    <w:p>
      <w:pPr>
        <w:keepNext/>
        <w:spacing w:before="1100" w:after="160"/>
        <w:jc w:val="center"/>
        <w:widowControl/>
      </w:pPr>
      <w:r>
        <w:rPr>
          <w:b/>
          <w:color w:val="1D6F9F"/>
          <w:sz w:val="68"/>
        </w:rPr>
        <w:t>11</w:t>
      </w:r>
    </w:p>
    <w:p>
      <w:pPr>
        <w:keepNext/>
        <w:jc w:val="center"/>
        <w:widowControl/>
      </w:pPr>
      <w:r>
        <w:rPr>
          <w:b/>
          <w:color w:val="17324D"/>
          <w:sz w:val="44"/>
        </w:rPr>
        <w:t>ANEXOS TÉCNICOS</w:t>
      </w:r>
    </w:p>
    <w:p>
      <w:pPr>
        <w:spacing w:after="500"/>
        <w:jc w:val="center"/>
        <w:widowControl/>
      </w:pPr>
      <w:r>
        <w:rPr>
          <w:i/>
          <w:color w:val="607D8B"/>
          <w:sz w:val="22"/>
        </w:rPr>
        <w:t>Reproducibilidad, evidencia y mantenimiento documental</w:t>
      </w:r>
    </w:p>
    <w:p>
      <w:pPr>
        <w:pStyle w:val="Heading1"/>
        <w:keepNext/>
        <w:widowControl/>
      </w:pPr>
      <w:r>
        <w:t>11. Anexos técnicos</w:t>
      </w:r>
    </w:p>
    <w:p>
      <w:pPr>
        <w:pStyle w:val="Heading2"/>
        <w:keepNext/>
        <w:widowControl/>
      </w:pPr>
      <w:r>
        <w:t>11.1 Comandos de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8"/>
        <w:gridCol w:w="4858"/>
      </w:tblGrid>
      <w:tr>
        <w:trPr>
          <w:tblHeader w:val="true"/>
          <w:cantSplit/>
        </w:trPr>
        <w:tc>
          <w:tcPr>
            <w:tcW w:type="dxa" w:w="238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Gate</w:t>
            </w:r>
          </w:p>
        </w:tc>
        <w:tc>
          <w:tcPr>
            <w:tcW w:type="dxa" w:w="6350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Comando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Instalación reproducible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cd app &amp;&amp; npm ci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Lint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run lint -- --max-warnings=0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Typecheck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run typecheck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Audit runtime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audit --omit=dev --audit-level=high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Unit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run test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Build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npm run build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E2E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VITE_SUPABASE_URL="" VITE_SUPABASE_ANON_KEY="" npm run test:e2e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11.2 Contrato documental</w:t>
      </w:r>
    </w:p>
    <w:p>
      <w:pPr>
        <w:widowControl/>
      </w:pPr>
      <w:r>
        <w:t>La fuente principal de la memoria son los capítulos 01-10 de proyecto-fin-ciclo. Los diagramas, presentaciones y este DOCX son artefactos derivados. Si un artefacto contradice al código y a las fuentes canónicas, debe regenerarse; no se corrige una cifra de forma independiente en varios formatos.</w:t>
      </w:r>
    </w:p>
    <w:p>
      <w:pPr>
        <w:widowControl/>
      </w:pPr>
      <w:r>
        <w:t>El repositorio mantiene 53 documentos fuente distribuidos en los capítulos 01-10. Esta memoria los sintetiza y reorganiza para una lectura académica continua sin copiar duplicaciones que ya existen como manuales, fichas o actividades separadas.</w:t>
      </w:r>
    </w:p>
    <w:p>
      <w:pPr>
        <w:pStyle w:val="Heading2"/>
        <w:keepNext/>
        <w:widowControl/>
      </w:pPr>
      <w:r>
        <w:t>11.3 Snapshot Git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8"/>
        <w:gridCol w:w="4858"/>
      </w:tblGrid>
      <w:tr>
        <w:trPr>
          <w:tblHeader w:val="true"/>
          <w:cantSplit/>
        </w:trPr>
        <w:tc>
          <w:tcPr>
            <w:tcW w:type="dxa" w:w="255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Elemento</w:t>
            </w:r>
          </w:p>
        </w:tc>
        <w:tc>
          <w:tcPr>
            <w:tcW w:type="dxa" w:w="6236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Repositorio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iagorobo24-hub/proyecto-pfc-iago-duran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main de referencia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69401ee9d85f31ccff745ab9e487d3a4ecf9613c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 de estabilización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#8 · Stabilize PFC runtime, security and quality gates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Candidato validado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70171319388195520443ffa96bc9e7b456470b64</w:t>
            </w:r>
          </w:p>
        </w:tc>
      </w:tr>
      <w:tr>
        <w:trPr>
          <w:cantSplit/>
        </w:trP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Fecha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20 de agosto de 2026</w:t>
            </w:r>
          </w:p>
        </w:tc>
      </w:tr>
    </w:tbl>
    <w:p>
      <w:pPr>
        <w:spacing w:after="40"/>
        <w:widowControl/>
      </w:pPr>
    </w:p>
    <w:p>
      <w:pPr>
        <w:pStyle w:val="Heading2"/>
        <w:keepNext/>
        <w:widowControl/>
      </w:pPr>
      <w:r>
        <w:t>11.4 Matriz de evidencia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9"/>
        <w:gridCol w:w="3239"/>
        <w:gridCol w:w="3239"/>
      </w:tblGrid>
      <w:tr>
        <w:trPr>
          <w:tblHeader w:val="true"/>
          <w:cantSplit/>
        </w:trPr>
        <w:tc>
          <w:tcPr>
            <w:tcW w:type="dxa" w:w="2381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Tipo de afirmación</w:t>
            </w:r>
          </w:p>
        </w:tc>
        <w:tc>
          <w:tcPr>
            <w:tcW w:type="dxa" w:w="3118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Fuente preferente</w:t>
            </w:r>
          </w:p>
        </w:tc>
        <w:tc>
          <w:tcPr>
            <w:tcW w:type="dxa" w:w="3288"/>
            <w:shd w:fill="DDEB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17324D"/>
                <w:sz w:val="18"/>
              </w:rPr>
              <w:t>Ejemplo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Funcionalidad implementada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Código/configuración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Rutas de App.jsx, módulos, vercel.json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Resultado de ejecución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Log asociado a un commit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314 unit / 159 E2E en candidato de cierre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Dato de backend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Consulta al entorno correcto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Número de productos mediante getCatalogStats()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Historia del proyecto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EVOLUCION.md / commits / planes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Migración Firebase → Supabase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Dato externo cambiante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Fuente oficial fechada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Precio, cuota o modelo disponible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Recomendación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Análisis explícito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Línea futura o mejora de rendimiento</w:t>
            </w:r>
          </w:p>
        </w:tc>
      </w:tr>
    </w:tbl>
    <w:p>
      <w:pPr>
        <w:spacing w:after="40"/>
        <w:widowControl/>
      </w:pPr>
    </w:p>
    <w:p>
      <w:pPr>
        <w:widowControl/>
      </w:pPr>
      <w:r>
        <w:br w:type="page"/>
      </w:r>
    </w:p>
    <w:p>
      <w:pPr>
        <w:spacing w:before="2400"/>
        <w:jc w:val="center"/>
        <w:widowControl/>
      </w:pPr>
      <w:r>
        <w:rPr>
          <w:b/>
          <w:color w:val="17324D"/>
          <w:sz w:val="40"/>
        </w:rPr>
        <w:t>FIN DE LA MEMORIA</w:t>
      </w:r>
    </w:p>
    <w:p>
      <w:pPr>
        <w:jc w:val="center"/>
        <w:widowControl/>
      </w:pPr>
      <w:r>
        <w:rPr>
          <w:i/>
          <w:color w:val="607D8B"/>
          <w:sz w:val="20"/>
        </w:rPr>
        <w:t>Documento regenerado desde el estado canónico del repositorio tras el cierre técnico de la PR #8.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07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Iago Durán Romera · CIFP Universidade Laboral ·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7882"/>
        <w:sz w:val="16"/>
      </w:rPr>
      <w:t>Proyecto Fin de Ciclo · Suite de herramientas web para el sector eléctrico y logístico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6F9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65A6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rPr>
      <w:rFonts w:ascii="Aptos" w:hAnsi="Aptos"/>
      <w:i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TFC - Proyecto Iago Durán Romera</dc:title>
  <dc:subject>Suite web académica para el sector eléctrico y logístico desarrollada con apoyo de IA generativa</dc:subject>
  <dc:creator>Iago Durán Romera</dc:creator>
  <cp:keywords>PFC, React, Supabase, IA generativa, Vercel, Automatización y Robótica Industrial</cp:keywords>
  <dc:description>generated by python-docx</dc:description>
  <cp:lastModifiedBy>Iago Durán Romera</cp:lastModifiedBy>
  <cp:revision>1</cp:revision>
  <dcterms:created xsi:type="dcterms:W3CDTF">2013-12-23T23:15:00Z</dcterms:created>
  <dcterms:modified xsi:type="dcterms:W3CDTF">2013-12-23T23:15:00Z</dcterms:modified>
  <cp:category/>
</cp:coreProperties>
</file>