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w:body>
    <w:p>
      <w:pPr>
        <w:spacing w:before="320" w:after="180" w:line="300" w:lineRule="auto"/>
      </w:pPr>
      <w:r>
        <w:rPr>
          <w:b/>
          <w:sz w:val="32"/>
          <w:szCs w:val="32"/>
        </w:rPr>
        <w:t xml:space="preserve">Proyecto Fin de Ciclo — Memoria reconciliada</w:t>
      </w:r>
    </w:p>
    <w:p>
      <w:pPr>
        <w:spacing w:before="0" w:after="160" w:line="300" w:lineRule="auto"/>
      </w:pPr>
      <w:r>
        <w:rPr>
          <w:sz w:val="22"/>
          <w:szCs w:val="22"/>
        </w:rPr>
        <w:t xml:space="preserve">Suite de herramientas web para el sector eléctrico y logístico desarrollada con apoyo de IA generativa. Autor: Iago Durán Romera. Ciclo: Automatización y Robótica Industrial. Centro: CIFP Universidade Laboral. Curso 2025-2026. Esta edición compila los hechos canónicos reconciliados con el repositorio en agosto de 2026. Los capítulos Markdown 01-10 siguen siendo la fuente documental principal.</w:t>
      </w:r>
    </w:p>
    <w:p>
      <w:r>
        <w:br w:type="page"/>
      </w:r>
    </w:p>
    <w:p>
      <w:pPr>
        <w:spacing w:before="320" w:after="180" w:line="300" w:lineRule="auto"/>
      </w:pPr>
      <w:r>
        <w:rPr>
          <w:b/>
          <w:sz w:val="32"/>
          <w:szCs w:val="32"/>
        </w:rPr>
        <w:t xml:space="preserve">1. Introducción y alcance</w:t>
      </w:r>
    </w:p>
    <w:p>
      <w:pPr>
        <w:spacing w:before="0" w:after="160" w:line="300" w:lineRule="auto"/>
      </w:pPr>
      <w:r>
        <w:rPr>
          <w:sz w:val="22"/>
          <w:szCs w:val="22"/>
        </w:rPr>
        <w:t xml:space="preserve">El proyecto integra siete herramientas funcionales —Fichas Técnicas, Simulador de Almacén, Incidencias, KPI Logístico, Presupuestos, Formación Interna y SONEX— más un Dashboard Global que sirve de punto de entrada al área privada. El Dashboard no se cuenta como octava herramienta de negocio. El objetivo académico es estudiar hasta qué punto la IA generativa puede acelerar el desarrollo de una aplicación web cuando el alumno conserva la responsabilidad de definir el problema, limitar el alcance, revisar cambios, ejecutar validaciones y defender el resultado. La solución no se presenta como producto oficial de la empresa ni como integración con ERP/SAP. Tampoco sustituye normativa, documentación de fabricante ni criterio profesional.</w:t>
      </w:r>
    </w:p>
    <w:p>
      <w:r>
        <w:br w:type="page"/>
      </w:r>
    </w:p>
    <w:p>
      <w:pPr>
        <w:spacing w:before="320" w:after="180" w:line="300" w:lineRule="auto"/>
      </w:pPr>
      <w:r>
        <w:rPr>
          <w:b/>
          <w:sz w:val="32"/>
          <w:szCs w:val="32"/>
        </w:rPr>
        <w:t xml:space="preserve">2. Contexto de la IA</w:t>
      </w:r>
    </w:p>
    <w:p>
      <w:pPr>
        <w:spacing w:before="0" w:after="160" w:line="300" w:lineRule="auto"/>
      </w:pPr>
      <w:r>
        <w:rPr>
          <w:sz w:val="22"/>
          <w:szCs w:val="22"/>
        </w:rPr>
        <w:t xml:space="preserve">Durante el PFC se utilizaron distintos tipos de asistentes: chat web para ideación, asistentes de editor para autocompletado, agentes de terminal o repositorio para cambios y validaciones, y modelos integrados en la propia aplicación. Las herramientas y planes comerciales cambiaron durante el proyecto, por lo que la documentación separa uso histórico de estado vigente. La metodología resultante no depende de una marca concreta: definir, inspeccionar, implementar, probar, contrastar y documentar. Una respuesta de IA es una propuesta; no es evidencia por sí sola.</w:t>
      </w:r>
    </w:p>
    <w:p>
      <w:r>
        <w:br w:type="page"/>
      </w:r>
    </w:p>
    <w:p>
      <w:pPr>
        <w:spacing w:before="320" w:after="180" w:line="300" w:lineRule="auto"/>
      </w:pPr>
      <w:r>
        <w:rPr>
          <w:b/>
          <w:sz w:val="32"/>
          <w:szCs w:val="32"/>
        </w:rPr>
        <w:t xml:space="preserve">3. Análisis y requisitos</w:t>
      </w:r>
    </w:p>
    <w:p>
      <w:pPr>
        <w:spacing w:before="0" w:after="160" w:line="300" w:lineRule="auto"/>
      </w:pPr>
      <w:r>
        <w:rPr>
          <w:sz w:val="22"/>
          <w:szCs w:val="22"/>
        </w:rPr>
        <w:t xml:space="preserve">El contexto de prácticas permitió identificar oportunidades de apoyo digital en consulta de catálogo, formación logística, incidencias, indicadores, presupuestos, formación y asistencia técnica. La validación con usuarios reales fue limitada y no se presenta como estudio masivo. La memoria utiliza ocho grupos funcionales RF-01 a RF-08: autenticación, Fichas Técnicas, Almacén, Incidencias, KPI, Presupuestos, Formación y SONEX. Los identificadores RF-x.y son capacidades dentro de cada grupo y no se suman como requisitos independientes. Los requisitos no funcionales —rendimiento, usabilidad, seguridad, resiliencia, mantenibilidad, coste y testing— se expresan como objetivos y controles verificables, evitando presentar métricas históricas como garantías actuales.</w:t>
      </w:r>
    </w:p>
    <w:p>
      <w:r>
        <w:br w:type="page"/>
      </w:r>
    </w:p>
    <w:p>
      <w:pPr>
        <w:spacing w:before="320" w:after="180" w:line="300" w:lineRule="auto"/>
      </w:pPr>
      <w:r>
        <w:rPr>
          <w:b/>
          <w:sz w:val="32"/>
          <w:szCs w:val="32"/>
        </w:rPr>
        <w:t xml:space="preserve">4. Diseño técnico</w:t>
      </w:r>
    </w:p>
    <w:p>
      <w:pPr>
        <w:spacing w:before="0" w:after="160" w:line="300" w:lineRule="auto"/>
      </w:pPr>
      <w:r>
        <w:rPr>
          <w:sz w:val="22"/>
          <w:szCs w:val="22"/>
        </w:rPr>
        <w:t xml:space="preserve">La aplicación es una SPA React construida con Vite y React Router. El área privada comparte AppShell, protección de rutas y carga diferida. Supabase es la plataforma de datos y autenticación actual; Firebase/Firestore queda documentado como arquitectura histórica. catalogService.ts consulta productos, marcas, familias y filtros y dispone de getCatalogStats para medir el catálogo cuando sea necesario. useUserData combina persistencia local y Supabase en varios módulos. El gateway serverless /api/ai se ejecuta en Vercel, mantiene claves privadas fuera del cliente y soporta OpenRouter y Groq con lista de modelos, límites de entrada, CORS y rate limiting. vercel.json define cabeceras de seguridad, incluida CSP. Estos controles reducen riesgo, pero no equivalen a una certificación de seguridad.</w:t>
      </w:r>
    </w:p>
    <w:p>
      <w:r>
        <w:br w:type="page"/>
      </w:r>
    </w:p>
    <w:p>
      <w:pPr>
        <w:spacing w:before="320" w:after="180" w:line="300" w:lineRule="auto"/>
      </w:pPr>
      <w:r>
        <w:rPr>
          <w:b/>
          <w:sz w:val="32"/>
          <w:szCs w:val="32"/>
        </w:rPr>
        <w:t xml:space="preserve">5. Proceso de desarrollo</w:t>
      </w:r>
    </w:p>
    <w:p>
      <w:pPr>
        <w:spacing w:before="0" w:after="160" w:line="300" w:lineRule="auto"/>
      </w:pPr>
      <w:r>
        <w:rPr>
          <w:sz w:val="22"/>
          <w:szCs w:val="22"/>
        </w:rPr>
        <w:t xml:space="preserve">El proyecto comenzó con prototipos JSX aislados, evolucionó hacia una SPA común, utilizó Firebase en fases iniciales y migró a Supabase. Los módulos crecieron más allá de los primeros prototipos y se añadieron persistencia, seguridad, PDFs, pruebas y mejores flujos. Una lección central fue que un system prompt no garantiza JSON válido ni verdad factual. Para datos generados por IA se recomienda: modelo genera, parser interpreta, esquema valida, fuente oficial verifica los datos críticos y la interfaz consume. Git se utiliza como registro de estado y las afirmaciones de agentes se contrastan con diff, código, configuración o ejecución real.</w:t>
      </w:r>
    </w:p>
    <w:p>
      <w:r>
        <w:br w:type="page"/>
      </w:r>
    </w:p>
    <w:p>
      <w:pPr>
        <w:spacing w:before="320" w:after="180" w:line="300" w:lineRule="auto"/>
      </w:pPr>
      <w:r>
        <w:rPr>
          <w:b/>
          <w:sz w:val="32"/>
          <w:szCs w:val="32"/>
        </w:rPr>
        <w:t xml:space="preserve">6. Herramientas utilizadas</w:t>
      </w:r>
    </w:p>
    <w:p>
      <w:pPr>
        <w:spacing w:before="0" w:after="160" w:line="300" w:lineRule="auto"/>
      </w:pPr>
      <w:r>
        <w:rPr>
          <w:sz w:val="22"/>
          <w:szCs w:val="22"/>
        </w:rPr>
        <w:t xml:space="preserve">Las fichas documentan principalmente cómo se utilizaron Claude Web, GitHub Copilot, Windsurf, Qwen CLI, Gemini CLI, OpenCode, Devin, Hermes, OpenRouter, Vercel, Firebase, Supabase y Playwright durante el PFC. No se congelan precios, cuotas ni disponibilidad de modelos porque cambian. OpenCode se describe por su capacidad de trabajar sobre repositorios, no por un proveedor concreto. Devin se atribuye correctamente a Cognition sin confundirlo con GitHub Copilot. Hermes queda como herramienta histórica de una fase y no como narrador permanente de la memoria. OpenRouter forma parte de la arquitectura actual del gateway y no se presenta como garantía de coste cero.</w:t>
      </w:r>
    </w:p>
    <w:p>
      <w:r>
        <w:br w:type="page"/>
      </w:r>
    </w:p>
    <w:p>
      <w:pPr>
        <w:spacing w:before="320" w:after="180" w:line="300" w:lineRule="auto"/>
      </w:pPr>
      <w:r>
        <w:rPr>
          <w:b/>
          <w:sz w:val="32"/>
          <w:szCs w:val="32"/>
        </w:rPr>
        <w:t xml:space="preserve">7. Manuales de uso</w:t>
      </w:r>
    </w:p>
    <w:p>
      <w:pPr>
        <w:spacing w:before="0" w:after="160" w:line="300" w:lineRule="auto"/>
      </w:pPr>
      <w:r>
        <w:rPr>
          <w:sz w:val="22"/>
          <w:szCs w:val="22"/>
        </w:rPr>
        <w:t xml:space="preserve">Fichas Técnicas permite navegar y buscar el catálogo, abrir detalle y utilizar enriquecimiento asistido por IA. El Simulador de Almacén implementa cinco etapas: Recepción, Ubicación, Picking, Verificación y Expedición, además de incidencias, puntuación, historial y soporte multijugador. Incidencias permite registrar, filtrar, diagnosticar con IA, cambiar estados, guardar observaciones y exportar PDF; una incidencia crítica abierta más de dos horas genera aviso. KPI calcula seis indicadores actuales: pedidos por hora, error de picking, tiempo de ciclo, ocupación, devoluciones y productividad; conserva histórico, gráficos, comentario IA y PDF. Presupuestos permite seleccionar catálogo, editar partidas y datos, calcular IVA, guardar y generar PDF. Formación gestiona empleados, módulos, progreso, alertas y un plan de desarrollo IA. SONEX mantiene sesiones y cuatro modos actuales: Búsqueda, Comparativa, Asistencia y Formación, usa contexto de catálogo cuando procede y valida referencias antes de enlazarlas. La información técnica generada por IA es orientativa y debe contrastarse.</w:t>
      </w:r>
    </w:p>
    <w:p>
      <w:r>
        <w:br w:type="page"/>
      </w:r>
    </w:p>
    <w:p>
      <w:pPr>
        <w:spacing w:before="320" w:after="180" w:line="300" w:lineRule="auto"/>
      </w:pPr>
      <w:r>
        <w:rPr>
          <w:b/>
          <w:sz w:val="32"/>
          <w:szCs w:val="32"/>
        </w:rPr>
        <w:t xml:space="preserve">8. Resultados y evidencia</w:t>
      </w:r>
    </w:p>
    <w:p>
      <w:pPr>
        <w:spacing w:before="0" w:after="160" w:line="300" w:lineRule="auto"/>
      </w:pPr>
      <w:r>
        <w:rPr>
          <w:sz w:val="22"/>
          <w:szCs w:val="22"/>
        </w:rPr>
        <w:t xml:space="preserve">La documentación deja de fijar como actuales cifras incompatibles que aparecieron en versiones anteriores, como distintos recuentos de productos o tests. El repositorio contiene suites Vitest y múltiples especificaciones Playwright y package.json define test, test:e2e y test:all. La reconciliación documental verifica la existencia de esa infraestructura, no un número de tests verdes. Para publicar una cifra de tests se debe ejecutar la suite sobre el commit correspondiente y conservar comando, fecha, código de salida y resumen. Del mismo modo, catálogo, Lighthouse, bundle, usuarios, consumo y coste son métricas temporales que deben medirse y fecharse. Las capturas del capítulo 08 se enlazan a imágenes reales versionadas en app/e2e/screenshots en lugar de referencias rotas.</w:t>
      </w:r>
    </w:p>
    <w:p>
      <w:r>
        <w:br w:type="page"/>
      </w:r>
    </w:p>
    <w:p>
      <w:pPr>
        <w:spacing w:before="320" w:after="180" w:line="300" w:lineRule="auto"/>
      </w:pPr>
      <w:r>
        <w:rPr>
          <w:b/>
          <w:sz w:val="32"/>
          <w:szCs w:val="32"/>
        </w:rPr>
        <w:t xml:space="preserve">9. Conclusiones y líneas futuras</w:t>
      </w:r>
    </w:p>
    <w:p>
      <w:pPr>
        <w:spacing w:before="0" w:after="160" w:line="300" w:lineRule="auto"/>
      </w:pPr>
      <w:r>
        <w:rPr>
          <w:sz w:val="22"/>
          <w:szCs w:val="22"/>
        </w:rPr>
        <w:t xml:space="preserve">El objetivo principal se considera alcanzado a nivel de implementación académica: existe una suite integrada con siete herramientas, Dashboard Global, Supabase, despliegue web, persistencia, PDFs, IA y suites de pruebas. Permanecen límites importantes: validación limitada con usuarios, ausencia de integración corporativa oficial, dependencia de servicios externos y necesidad de comprobar las respuestas técnicas de IA. Las líneas futuras prioritarias son obtener evidencia fresca de calidad, ampliar validación con usuarios, reforzar validación estructural y fuentes de IA, consolidar CI reproducible, observabilidad y un proceso autorizado de actualización del catálogo. La migración a Supabase y la existencia de Playwright ya no figuran como pendientes porque están implementadas.</w:t>
      </w:r>
    </w:p>
    <w:p>
      <w:r>
        <w:br w:type="page"/>
      </w:r>
    </w:p>
    <w:p>
      <w:pPr>
        <w:spacing w:before="320" w:after="180" w:line="300" w:lineRule="auto"/>
      </w:pPr>
      <w:r>
        <w:rPr>
          <w:b/>
          <w:sz w:val="32"/>
          <w:szCs w:val="32"/>
        </w:rPr>
        <w:t xml:space="preserve">10. Material docente</w:t>
      </w:r>
    </w:p>
    <w:p>
      <w:pPr>
        <w:spacing w:before="0" w:after="160" w:line="300" w:lineRule="auto"/>
      </w:pPr>
      <w:r>
        <w:rPr>
          <w:sz w:val="22"/>
          <w:szCs w:val="22"/>
        </w:rPr>
        <w:t xml:space="preserve">El manual docente propone enseñar IA como herramienta sometida a trazabilidad. El alumno debe formular un problema, definir criterios, revisar el diff, probar, contrastar fuentes y explicar el resultado. La evaluación prioriza problema y alcance, solución técnica, validación, uso crítico de IA, Git y documentación/defensa. No se establece un porcentaje universal permitido de código generado por IA ni se afirma que el uso de IA quede automáticamente fuera de las reglas de autoría: se aplican las normas del centro y de cada actividad. En ámbitos eléctricos y de seguridad, las fuentes primarias deben ser normativa vigente, fabricante y procedimientos autorizados.</w:t>
      </w:r>
    </w:p>
    <w:p>
      <w:r>
        <w:br w:type="page"/>
      </w:r>
    </w:p>
    <w:p>
      <w:pPr>
        <w:spacing w:before="320" w:after="180" w:line="300" w:lineRule="auto"/>
      </w:pPr>
      <w:r>
        <w:rPr>
          <w:b/>
          <w:sz w:val="32"/>
          <w:szCs w:val="32"/>
        </w:rPr>
        <w:t xml:space="preserve">Criterio de lectura de esta memoria</w:t>
      </w:r>
    </w:p>
    <w:p>
      <w:pPr>
        <w:spacing w:before="0" w:after="160" w:line="300" w:lineRule="auto"/>
      </w:pPr>
      <w:r>
        <w:rPr>
          <w:sz w:val="22"/>
          <w:szCs w:val="22"/>
        </w:rPr>
        <w:t xml:space="preserve">Código y configuración del commit documentado determinan qué funcionalidad existe. Los capítulos Markdown 01-10 explican esa funcionalidad y el proceso académico. Las métricas cuantitativas solo se consideran actuales con evidencia reproducible. La presentación y este DOCX son artefactos derivados: ante una contradicción, prevalecen las fuentes Markdown reconciliadas hasta regenerar el artefacto. Esta regla evita que memoria, presentación y código vuelvan a divergir.</w:t>
      </w:r>
    </w:p>
    <w:sectPr>
      <w:pgSz w:w="11906" w:h="16838"/>
      <w:pgMar w:top="1134" w:right="1134" w:bottom="1134" w:left="1134"/>
    </w:sectPr>
  </w:body>
</w:document>
</file>

<file path=docProps/app.xml><?xml version="1.0" encoding="utf-8"?>
<Properties xmlns="http://schemas.openxmlformats.org/officeDocument/2006/extended-properties">
  <Application>OpenAI</Application>
</Properties>
</file>

<file path=docProps/core.xml><?xml version="1.0" encoding="utf-8"?>
<cp:coreProperties xmlns:cp="http://schemas.openxmlformats.org/package/2006/metadata/core-properties" xmlns:dc="http://purl.org/dc/elements/1.1/" xmlns:dcterms="http://purl.org/dc/terms/">
  <dc:title>Memoria TFC reconciliada</dc:title>
  <dc:creator>Iago Durán Romera</dc:creator>
  <dcterms:created>2026-08-18T04:10:40Z</dcterms:created>
</cp:coreProperties>
</file>