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jc w:val="center"/>
      </w:pPr>
      <w:r>
        <w:rPr>
          <w:b/>
          <w:color w:val="004B8D"/>
          <w:sz w:val="44"/>
        </w:rPr>
        <w:t>Suite de Herramientas Web para Técnicos del Sector Eléctrico</w:t>
      </w:r>
    </w:p>
    <w:p>
      <w:pPr>
        <w:jc w:val="center"/>
      </w:pPr>
      <w:r>
        <w:rPr>
          <w:b/>
          <w:color w:val="666666"/>
          <w:sz w:val="28"/>
        </w:rPr>
        <w:t>Proyectos Sonepar — PFC 2025-2026</w:t>
      </w:r>
    </w:p>
    <w:p>
      <w:pPr>
        <w:jc w:val="center"/>
      </w:pPr>
      <w:r>
        <w:rPr>
          <w:b/>
          <w:color w:val="666666"/>
          <w:sz w:val="28"/>
        </w:rPr>
        <w:t>PROYECTO FIN DE CICLO</w:t>
      </w:r>
    </w:p>
    <w:p>
      <w:pPr>
        <w:jc w:val="center"/>
      </w:pPr>
      <w:r>
        <w:rPr>
          <w:b/>
          <w:color w:val="666666"/>
          <w:sz w:val="28"/>
        </w:rPr>
        <w:t>Ciclo Formativo de Automatización y Robótica Industrial</w:t>
      </w:r>
    </w:p>
    <w:p/>
    <w:p/>
    <w:p>
      <w:pPr>
        <w:jc w:val="center"/>
      </w:pPr>
      <w:r>
        <w:rPr>
          <w:b/>
          <w:color w:val="004B8D"/>
        </w:rPr>
        <w:t xml:space="preserve">Autor: </w:t>
      </w:r>
      <w:r>
        <w:rPr>
          <w:sz w:val="22"/>
        </w:rPr>
        <w:t>Iago Durán Romera</w:t>
      </w:r>
    </w:p>
    <w:p>
      <w:pPr>
        <w:jc w:val="center"/>
      </w:pPr>
      <w:r>
        <w:rPr>
          <w:b/>
          <w:color w:val="004B8D"/>
        </w:rPr>
        <w:t xml:space="preserve">Centro: </w:t>
      </w:r>
      <w:r>
        <w:rPr>
          <w:sz w:val="22"/>
        </w:rPr>
        <w:t>CIFP Universidade Laboral de A Coruña</w:t>
      </w:r>
    </w:p>
    <w:p>
      <w:pPr>
        <w:jc w:val="center"/>
      </w:pPr>
      <w:r>
        <w:rPr>
          <w:b/>
          <w:color w:val="004B8D"/>
        </w:rPr>
        <w:t xml:space="preserve">Tutor: </w:t>
      </w:r>
      <w:r>
        <w:rPr>
          <w:sz w:val="22"/>
        </w:rPr>
        <w:t>Jose Uzal</w:t>
      </w:r>
    </w:p>
    <w:p>
      <w:pPr>
        <w:jc w:val="center"/>
      </w:pPr>
      <w:r>
        <w:rPr>
          <w:b/>
          <w:color w:val="004B8D"/>
        </w:rPr>
        <w:t xml:space="preserve">Empresa: </w:t>
      </w:r>
      <w:r>
        <w:rPr>
          <w:sz w:val="22"/>
        </w:rPr>
        <w:t>Sonepar Ibérica</w:t>
      </w:r>
    </w:p>
    <w:p>
      <w:pPr>
        <w:jc w:val="center"/>
      </w:pPr>
      <w:r>
        <w:rPr>
          <w:b/>
          <w:color w:val="004B8D"/>
        </w:rPr>
        <w:t xml:space="preserve">Curso: </w:t>
      </w:r>
      <w:r>
        <w:rPr>
          <w:sz w:val="22"/>
        </w:rPr>
        <w:t>2025-2026</w:t>
      </w:r>
    </w:p>
    <w:p>
      <w:pPr>
        <w:jc w:val="center"/>
      </w:pPr>
      <w:r>
        <w:rPr>
          <w:b/>
          <w:color w:val="004B8D"/>
        </w:rPr>
        <w:t xml:space="preserve">Fecha: </w:t>
      </w:r>
      <w:r>
        <w:rPr>
          <w:sz w:val="22"/>
        </w:rPr>
        <w:t>Mayo 2026</w:t>
      </w:r>
    </w:p>
    <w:p/>
    <w:p>
      <w:r>
        <w:br w:type="page"/>
      </w:r>
    </w:p>
    <w:p>
      <w:pPr/>
      <w:r>
        <w:t>SUITE DE HERRAMIENTAS WEB PARA TÉCNICOS DEL SECTOR ELÉCTRICO</w:t>
      </w:r>
    </w:p>
    <w:p>
      <w:pPr/>
      <w:r>
        <w:t>PROYECTO FIN DE CICLO</w:t>
      </w:r>
    </w:p>
    <w:p>
      <w:pPr/>
      <w:r>
        <w:t>Ciclo Formativo de Automatización y Robótica Industrial</w:t>
      </w:r>
    </w:p>
    <w:p>
      <w:pPr/>
      <w:r>
        <w:t>Autor: Iago Durán Romera</w:t>
      </w:r>
    </w:p>
    <w:p>
      <w:pPr/>
      <w:r>
        <w:t>Centro: CIFP Universidade Laboral de A Coruña</w:t>
      </w:r>
    </w:p>
    <w:p>
      <w:pPr/>
      <w:r>
        <w:t>Tutor: Jose Uzal</w:t>
      </w:r>
    </w:p>
    <w:p>
      <w:pPr/>
      <w:r>
        <w:t>Empresa: Sonepar Ibérica</w:t>
      </w:r>
    </w:p>
    <w:p>
      <w:pPr/>
      <w:r>
        <w:t>Curso: 2025-2026</w:t>
      </w:r>
    </w:p>
    <w:p>
      <w:pPr/>
      <w:r>
        <w:t>Fecha: Mayo 2026</w:t>
      </w:r>
    </w:p>
    <w:p>
      <w:pPr>
        <w:pStyle w:val="Heading1"/>
      </w:pPr>
      <w:r>
        <w:rPr>
          <w:color w:val="004B8D"/>
        </w:rPr>
        <w:t>1. RESUMEN EJECUTIVO</w:t>
      </w:r>
    </w:p>
    <w:p>
      <w:pPr>
        <w:pStyle w:val="Heading2"/>
      </w:pPr>
      <w:r>
        <w:rPr>
          <w:color w:val="004B8D"/>
        </w:rPr>
        <w:t>1.1 — El proyecto en una frase</w:t>
      </w:r>
    </w:p>
    <w:p>
      <w:pPr/>
      <w:r>
        <w:t>Desarrollo de una suite de herramientas web para técnicos del sector eléctrico, de libre acceso y código abierto en GitHub, impulsada por IA generativa y desplegada en Vercel con coste cero de infraestructura.</w:t>
      </w:r>
    </w:p>
    <w:p>
      <w:pPr>
        <w:pStyle w:val="Heading2"/>
      </w:pPr>
      <w:r>
        <w:rPr>
          <w:color w:val="004B8D"/>
        </w:rPr>
        <w:t>1.2 — ¿Qué es este proyecto?</w:t>
      </w:r>
    </w:p>
    <w:p>
      <w:pPr/>
      <w:r>
        <w:t>Aplicación web SPA con 7 módulos funcionales que resuelven necesidades reales: acceso a catálogos de 400.000+ productos eléctricos, cálculo de presupuestos, simulación de almacén, gestión de incidencias, seguimiento de formación, asistente técnico con IA (SONEX) y dashboard de KPIs logísticos.</w:t>
      </w:r>
    </w:p>
    <w:p>
      <w:pPr>
        <w:pStyle w:val="Heading2"/>
      </w:pPr>
      <w:r>
        <w:rPr>
          <w:color w:val="004B8D"/>
        </w:rPr>
        <w:t>1.3 — Los 7 módulos</w:t>
      </w:r>
    </w:p>
    <w:p>
      <w:pPr>
        <w:spacing w:after="40"/>
      </w:pPr>
      <w:r>
        <w:rPr>
          <w:b/>
          <w:color w:val="666666"/>
          <w:sz w:val="18"/>
        </w:rPr>
        <w:t>Tabla 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Módulo</w:t>
            </w:r>
          </w:p>
        </w:tc>
        <w:tc>
          <w:tcPr>
            <w:tcW w:type="dxa" w:w="2929"/>
            <w:shd w:fill="004B8D" w:val="clear"/>
          </w:tcPr>
          <w:p>
            <w:pPr>
              <w:jc w:val="center"/>
            </w:pPr>
            <w:r/>
            <w:r>
              <w:rPr>
                <w:rFonts w:ascii="Calibri" w:hAnsi="Calibri"/>
                <w:b/>
                <w:color w:val="FFFFFF"/>
                <w:sz w:val="20"/>
              </w:rPr>
              <w:t>Función</w:t>
            </w:r>
          </w:p>
        </w:tc>
        <w:tc>
          <w:tcPr>
            <w:tcW w:type="dxa" w:w="2929"/>
            <w:shd w:fill="004B8D" w:val="clear"/>
          </w:tcPr>
          <w:p>
            <w:pPr>
              <w:jc w:val="center"/>
            </w:pPr>
            <w:r/>
            <w:r>
              <w:rPr>
                <w:rFonts w:ascii="Calibri" w:hAnsi="Calibri"/>
                <w:b/>
                <w:color w:val="FFFFFF"/>
                <w:sz w:val="20"/>
              </w:rPr>
              <w:t>Tecnología</w:t>
            </w:r>
          </w:p>
        </w:tc>
      </w:tr>
      <w:tr>
        <w:tc>
          <w:tcPr>
            <w:tcW w:type="dxa" w:w="2929"/>
            <w:shd w:fill="F5F7FA" w:val="clear"/>
          </w:tcPr>
          <w:p>
            <w:r/>
            <w:r>
              <w:rPr>
                <w:rFonts w:ascii="Calibri" w:hAnsi="Calibri"/>
                <w:sz w:val="19"/>
              </w:rPr>
              <w:t>Fichas Técnicas</w:t>
            </w:r>
          </w:p>
        </w:tc>
        <w:tc>
          <w:tcPr>
            <w:tcW w:type="dxa" w:w="2929"/>
            <w:shd w:fill="F5F7FA" w:val="clear"/>
          </w:tcPr>
          <w:p>
            <w:r/>
            <w:r>
              <w:rPr>
                <w:rFonts w:ascii="Calibri" w:hAnsi="Calibri"/>
                <w:sz w:val="19"/>
              </w:rPr>
              <w:t>Catálogo 400K+ con navegación jerárquica</w:t>
            </w:r>
          </w:p>
        </w:tc>
        <w:tc>
          <w:tcPr>
            <w:tcW w:type="dxa" w:w="2929"/>
            <w:shd w:fill="F5F7FA" w:val="clear"/>
          </w:tcPr>
          <w:p>
            <w:r/>
            <w:r>
              <w:rPr>
                <w:rFonts w:ascii="Calibri" w:hAnsi="Calibri"/>
                <w:sz w:val="19"/>
              </w:rPr>
              <w:t>React 19 + Supabase</w:t>
            </w:r>
          </w:p>
        </w:tc>
      </w:tr>
      <w:tr>
        <w:tc>
          <w:tcPr>
            <w:tcW w:type="dxa" w:w="2929"/>
          </w:tcPr>
          <w:p>
            <w:r/>
            <w:r>
              <w:rPr>
                <w:rFonts w:ascii="Calibri" w:hAnsi="Calibri"/>
                <w:sz w:val="19"/>
              </w:rPr>
              <w:t>SONEX</w:t>
            </w:r>
          </w:p>
        </w:tc>
        <w:tc>
          <w:tcPr>
            <w:tcW w:type="dxa" w:w="2929"/>
          </w:tcPr>
          <w:p>
            <w:r/>
            <w:r>
              <w:rPr>
                <w:rFonts w:ascii="Calibri" w:hAnsi="Calibri"/>
                <w:sz w:val="19"/>
              </w:rPr>
              <w:t>Asistente IA en tiempo real</w:t>
            </w:r>
          </w:p>
        </w:tc>
        <w:tc>
          <w:tcPr>
            <w:tcW w:type="dxa" w:w="2929"/>
          </w:tcPr>
          <w:p>
            <w:r/>
            <w:r>
              <w:rPr>
                <w:rFonts w:ascii="Calibri" w:hAnsi="Calibri"/>
                <w:sz w:val="19"/>
              </w:rPr>
              <w:t>OpenRouter + Claude</w:t>
            </w:r>
          </w:p>
        </w:tc>
      </w:tr>
      <w:tr>
        <w:tc>
          <w:tcPr>
            <w:tcW w:type="dxa" w:w="2929"/>
            <w:shd w:fill="F5F7FA" w:val="clear"/>
          </w:tcPr>
          <w:p>
            <w:r/>
            <w:r>
              <w:rPr>
                <w:rFonts w:ascii="Calibri" w:hAnsi="Calibri"/>
                <w:sz w:val="19"/>
              </w:rPr>
              <w:t>Simulador Almacén</w:t>
            </w:r>
          </w:p>
        </w:tc>
        <w:tc>
          <w:tcPr>
            <w:tcW w:type="dxa" w:w="2929"/>
            <w:shd w:fill="F5F7FA" w:val="clear"/>
          </w:tcPr>
          <w:p>
            <w:r/>
            <w:r>
              <w:rPr>
                <w:rFonts w:ascii="Calibri" w:hAnsi="Calibri"/>
                <w:sz w:val="19"/>
              </w:rPr>
              <w:t>4 etapas logísticas</w:t>
            </w:r>
          </w:p>
        </w:tc>
        <w:tc>
          <w:tcPr>
            <w:tcW w:type="dxa" w:w="2929"/>
            <w:shd w:fill="F5F7FA" w:val="clear"/>
          </w:tcPr>
          <w:p>
            <w:r/>
            <w:r>
              <w:rPr>
                <w:rFonts w:ascii="Calibri" w:hAnsi="Calibri"/>
                <w:sz w:val="19"/>
              </w:rPr>
              <w:t>React hooks</w:t>
            </w:r>
          </w:p>
        </w:tc>
      </w:tr>
      <w:tr>
        <w:tc>
          <w:tcPr>
            <w:tcW w:type="dxa" w:w="2929"/>
          </w:tcPr>
          <w:p>
            <w:r/>
            <w:r>
              <w:rPr>
                <w:rFonts w:ascii="Calibri" w:hAnsi="Calibri"/>
                <w:sz w:val="19"/>
              </w:rPr>
              <w:t>Presupuestos</w:t>
            </w:r>
          </w:p>
        </w:tc>
        <w:tc>
          <w:tcPr>
            <w:tcW w:type="dxa" w:w="2929"/>
          </w:tcPr>
          <w:p>
            <w:r/>
            <w:r>
              <w:rPr>
                <w:rFonts w:ascii="Calibri" w:hAnsi="Calibri"/>
                <w:sz w:val="19"/>
              </w:rPr>
              <w:t>PDF export + wizard 5 pasos</w:t>
            </w:r>
          </w:p>
        </w:tc>
        <w:tc>
          <w:tcPr>
            <w:tcW w:type="dxa" w:w="2929"/>
          </w:tcPr>
          <w:p>
            <w:r/>
            <w:r>
              <w:rPr>
                <w:rFonts w:ascii="Calibri" w:hAnsi="Calibri"/>
                <w:sz w:val="19"/>
              </w:rPr>
              <w:t>jsPDF + Supabase</w:t>
            </w:r>
          </w:p>
        </w:tc>
      </w:tr>
      <w:tr>
        <w:tc>
          <w:tcPr>
            <w:tcW w:type="dxa" w:w="2929"/>
            <w:shd w:fill="F5F7FA" w:val="clear"/>
          </w:tcPr>
          <w:p>
            <w:r/>
            <w:r>
              <w:rPr>
                <w:rFonts w:ascii="Calibri" w:hAnsi="Calibri"/>
                <w:sz w:val="19"/>
              </w:rPr>
              <w:t>Formación</w:t>
            </w:r>
          </w:p>
        </w:tc>
        <w:tc>
          <w:tcPr>
            <w:tcW w:type="dxa" w:w="2929"/>
            <w:shd w:fill="F5F7FA" w:val="clear"/>
          </w:tcPr>
          <w:p>
            <w:r/>
            <w:r>
              <w:rPr>
                <w:rFonts w:ascii="Calibri" w:hAnsi="Calibri"/>
                <w:sz w:val="19"/>
              </w:rPr>
              <w:t>Matriz por empleado</w:t>
            </w:r>
          </w:p>
        </w:tc>
        <w:tc>
          <w:tcPr>
            <w:tcW w:type="dxa" w:w="2929"/>
            <w:shd w:fill="F5F7FA" w:val="clear"/>
          </w:tcPr>
          <w:p>
            <w:r/>
            <w:r>
              <w:rPr>
                <w:rFonts w:ascii="Calibri" w:hAnsi="Calibri"/>
                <w:sz w:val="19"/>
              </w:rPr>
              <w:t>React + localStorage</w:t>
            </w:r>
          </w:p>
        </w:tc>
      </w:tr>
      <w:tr>
        <w:tc>
          <w:tcPr>
            <w:tcW w:type="dxa" w:w="2929"/>
          </w:tcPr>
          <w:p>
            <w:r/>
            <w:r>
              <w:rPr>
                <w:rFonts w:ascii="Calibri" w:hAnsi="Calibri"/>
                <w:sz w:val="19"/>
              </w:rPr>
              <w:t>Incidencias</w:t>
            </w:r>
          </w:p>
        </w:tc>
        <w:tc>
          <w:tcPr>
            <w:tcW w:type="dxa" w:w="2929"/>
          </w:tcPr>
          <w:p>
            <w:r/>
            <w:r>
              <w:rPr>
                <w:rFonts w:ascii="Calibri" w:hAnsi="Calibri"/>
                <w:sz w:val="19"/>
              </w:rPr>
              <w:t>CRUD + IA diagnóstico</w:t>
            </w:r>
          </w:p>
        </w:tc>
        <w:tc>
          <w:tcPr>
            <w:tcW w:type="dxa" w:w="2929"/>
          </w:tcPr>
          <w:p>
            <w:r/>
            <w:r>
              <w:rPr>
                <w:rFonts w:ascii="Calibri" w:hAnsi="Calibri"/>
                <w:sz w:val="19"/>
              </w:rPr>
              <w:t>React + anthropicService</w:t>
            </w:r>
          </w:p>
        </w:tc>
      </w:tr>
      <w:tr>
        <w:tc>
          <w:tcPr>
            <w:tcW w:type="dxa" w:w="2929"/>
            <w:shd w:fill="F5F7FA" w:val="clear"/>
          </w:tcPr>
          <w:p>
            <w:r/>
            <w:r>
              <w:rPr>
                <w:rFonts w:ascii="Calibri" w:hAnsi="Calibri"/>
                <w:sz w:val="19"/>
              </w:rPr>
              <w:t>KPI Logístico</w:t>
            </w:r>
          </w:p>
        </w:tc>
        <w:tc>
          <w:tcPr>
            <w:tcW w:type="dxa" w:w="2929"/>
            <w:shd w:fill="F5F7FA" w:val="clear"/>
          </w:tcPr>
          <w:p>
            <w:r/>
            <w:r>
              <w:rPr>
                <w:rFonts w:ascii="Calibri" w:hAnsi="Calibri"/>
                <w:sz w:val="19"/>
              </w:rPr>
              <w:t>6 KPIs con gráficos</w:t>
            </w:r>
          </w:p>
        </w:tc>
        <w:tc>
          <w:tcPr>
            <w:tcW w:type="dxa" w:w="2929"/>
            <w:shd w:fill="F5F7FA" w:val="clear"/>
          </w:tcPr>
          <w:p>
            <w:r/>
            <w:r>
              <w:rPr>
                <w:rFonts w:ascii="Calibri" w:hAnsi="Calibri"/>
                <w:sz w:val="19"/>
              </w:rPr>
              <w:t>Recharts</w:t>
            </w:r>
          </w:p>
        </w:tc>
      </w:tr>
    </w:tbl>
    <w:p/>
    <w:p>
      <w:pPr>
        <w:pStyle w:val="Heading2"/>
      </w:pPr>
      <w:r>
        <w:rPr>
          <w:color w:val="004B8D"/>
        </w:rPr>
        <w:t>1.4 — Métricas clave</w:t>
      </w:r>
    </w:p>
    <w:p>
      <w:pPr>
        <w:spacing w:after="40"/>
      </w:pPr>
      <w:r>
        <w:rPr>
          <w:b/>
          <w:color w:val="666666"/>
          <w:sz w:val="18"/>
        </w:rPr>
        <w:t>Tabla 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Métrica</w:t>
            </w:r>
          </w:p>
        </w:tc>
        <w:tc>
          <w:tcPr>
            <w:tcW w:type="dxa" w:w="2929"/>
            <w:shd w:fill="004B8D" w:val="clear"/>
          </w:tcPr>
          <w:p>
            <w:pPr>
              <w:jc w:val="center"/>
            </w:pPr>
            <w:r/>
            <w:r>
              <w:rPr>
                <w:rFonts w:ascii="Calibri" w:hAnsi="Calibri"/>
                <w:b/>
                <w:color w:val="FFFFFF"/>
                <w:sz w:val="20"/>
              </w:rPr>
              <w:t>Valor</w:t>
            </w:r>
          </w:p>
        </w:tc>
        <w:tc>
          <w:tcPr>
            <w:tcW w:type="dxa" w:w="2929"/>
            <w:shd w:fill="004B8D" w:val="clear"/>
          </w:tcPr>
          <w:p>
            <w:pPr>
              <w:jc w:val="center"/>
            </w:pPr>
            <w:r/>
            <w:r>
              <w:rPr>
                <w:rFonts w:ascii="Calibri" w:hAnsi="Calibri"/>
                <w:b/>
                <w:color w:val="FFFFFF"/>
                <w:sz w:val="20"/>
              </w:rPr>
              <w:t>Comparativa</w:t>
            </w:r>
          </w:p>
        </w:tc>
      </w:tr>
      <w:tr>
        <w:tc>
          <w:tcPr>
            <w:tcW w:type="dxa" w:w="2929"/>
            <w:shd w:fill="F5F7FA" w:val="clear"/>
          </w:tcPr>
          <w:p>
            <w:r/>
            <w:r>
              <w:rPr>
                <w:rFonts w:ascii="Calibri" w:hAnsi="Calibri"/>
                <w:sz w:val="19"/>
              </w:rPr>
              <w:t>Código fuente</w:t>
            </w:r>
          </w:p>
        </w:tc>
        <w:tc>
          <w:tcPr>
            <w:tcW w:type="dxa" w:w="2929"/>
            <w:shd w:fill="F5F7FA" w:val="clear"/>
          </w:tcPr>
          <w:p>
            <w:r/>
            <w:r>
              <w:rPr>
                <w:rFonts w:ascii="Calibri" w:hAnsi="Calibri"/>
                <w:sz w:val="19"/>
              </w:rPr>
              <w:t>15.721 LOC</w:t>
            </w:r>
          </w:p>
        </w:tc>
        <w:tc>
          <w:tcPr>
            <w:tcW w:type="dxa" w:w="2929"/>
            <w:shd w:fill="F5F7FA" w:val="clear"/>
          </w:tcPr>
          <w:p>
            <w:r/>
            <w:r>
              <w:rPr>
                <w:rFonts w:ascii="Calibri" w:hAnsi="Calibri"/>
                <w:sz w:val="19"/>
              </w:rPr>
              <w:t>123 archivos</w:t>
            </w:r>
          </w:p>
        </w:tc>
      </w:tr>
      <w:tr>
        <w:tc>
          <w:tcPr>
            <w:tcW w:type="dxa" w:w="2929"/>
          </w:tcPr>
          <w:p>
            <w:r/>
            <w:r>
              <w:rPr>
                <w:rFonts w:ascii="Calibri" w:hAnsi="Calibri"/>
                <w:sz w:val="19"/>
              </w:rPr>
              <w:t>Tests</w:t>
            </w:r>
          </w:p>
        </w:tc>
        <w:tc>
          <w:tcPr>
            <w:tcW w:type="dxa" w:w="2929"/>
          </w:tcPr>
          <w:p>
            <w:r/>
            <w:r>
              <w:rPr>
                <w:rFonts w:ascii="Calibri" w:hAnsi="Calibri"/>
                <w:sz w:val="19"/>
              </w:rPr>
              <w:t>272 pasando</w:t>
            </w:r>
          </w:p>
        </w:tc>
        <w:tc>
          <w:tcPr>
            <w:tcW w:type="dxa" w:w="2929"/>
          </w:tcPr>
          <w:p>
            <w:r/>
            <w:r>
              <w:rPr>
                <w:rFonts w:ascii="Calibri" w:hAnsi="Calibri"/>
                <w:sz w:val="19"/>
              </w:rPr>
              <w:t>12 test files</w:t>
            </w:r>
          </w:p>
        </w:tc>
      </w:tr>
      <w:tr>
        <w:tc>
          <w:tcPr>
            <w:tcW w:type="dxa" w:w="2929"/>
            <w:shd w:fill="F5F7FA" w:val="clear"/>
          </w:tcPr>
          <w:p>
            <w:r/>
            <w:r>
              <w:rPr>
                <w:rFonts w:ascii="Calibri" w:hAnsi="Calibri"/>
                <w:sz w:val="19"/>
              </w:rPr>
              <w:t>Build time</w:t>
            </w:r>
          </w:p>
        </w:tc>
        <w:tc>
          <w:tcPr>
            <w:tcW w:type="dxa" w:w="2929"/>
            <w:shd w:fill="F5F7FA" w:val="clear"/>
          </w:tcPr>
          <w:p>
            <w:r/>
            <w:r>
              <w:rPr>
                <w:rFonts w:ascii="Calibri" w:hAnsi="Calibri"/>
                <w:sz w:val="19"/>
              </w:rPr>
              <w:t>9.7s</w:t>
            </w:r>
          </w:p>
        </w:tc>
        <w:tc>
          <w:tcPr>
            <w:tcW w:type="dxa" w:w="2929"/>
            <w:shd w:fill="F5F7FA" w:val="clear"/>
          </w:tcPr>
          <w:p>
            <w:r/>
            <w:r>
              <w:rPr>
                <w:rFonts w:ascii="Calibri" w:hAnsi="Calibri"/>
                <w:sz w:val="19"/>
              </w:rPr>
              <w:t>Vercel con caché</w:t>
            </w:r>
          </w:p>
        </w:tc>
      </w:tr>
      <w:tr>
        <w:tc>
          <w:tcPr>
            <w:tcW w:type="dxa" w:w="2929"/>
          </w:tcPr>
          <w:p>
            <w:r/>
            <w:r>
              <w:rPr>
                <w:rFonts w:ascii="Calibri" w:hAnsi="Calibri"/>
                <w:sz w:val="19"/>
              </w:rPr>
              <w:t>Coste</w:t>
            </w:r>
          </w:p>
        </w:tc>
        <w:tc>
          <w:tcPr>
            <w:tcW w:type="dxa" w:w="2929"/>
          </w:tcPr>
          <w:p>
            <w:r/>
            <w:r>
              <w:rPr>
                <w:rFonts w:ascii="Calibri" w:hAnsi="Calibri"/>
                <w:sz w:val="19"/>
              </w:rPr>
              <w:t>0 €</w:t>
            </w:r>
          </w:p>
        </w:tc>
        <w:tc>
          <w:tcPr>
            <w:tcW w:type="dxa" w:w="2929"/>
          </w:tcPr>
          <w:p>
            <w:r/>
            <w:r>
              <w:rPr>
                <w:rFonts w:ascii="Calibri" w:hAnsi="Calibri"/>
                <w:sz w:val="19"/>
              </w:rPr>
              <w:t>Todo free tier</w:t>
            </w:r>
          </w:p>
        </w:tc>
      </w:tr>
      <w:tr>
        <w:tc>
          <w:tcPr>
            <w:tcW w:type="dxa" w:w="2929"/>
            <w:shd w:fill="F5F7FA" w:val="clear"/>
          </w:tcPr>
          <w:p>
            <w:r/>
            <w:r>
              <w:rPr>
                <w:rFonts w:ascii="Calibri" w:hAnsi="Calibri"/>
                <w:sz w:val="19"/>
              </w:rPr>
              <w:t>Productos</w:t>
            </w:r>
          </w:p>
        </w:tc>
        <w:tc>
          <w:tcPr>
            <w:tcW w:type="dxa" w:w="2929"/>
            <w:shd w:fill="F5F7FA" w:val="clear"/>
          </w:tcPr>
          <w:p>
            <w:r/>
            <w:r>
              <w:rPr>
                <w:rFonts w:ascii="Calibri" w:hAnsi="Calibri"/>
                <w:sz w:val="19"/>
              </w:rPr>
              <w:t>400.000+</w:t>
            </w:r>
          </w:p>
        </w:tc>
        <w:tc>
          <w:tcPr>
            <w:tcW w:type="dxa" w:w="2929"/>
            <w:shd w:fill="F5F7FA" w:val="clear"/>
          </w:tcPr>
          <w:p>
            <w:r/>
            <w:r>
              <w:rPr>
                <w:rFonts w:ascii="Calibri" w:hAnsi="Calibri"/>
                <w:sz w:val="19"/>
              </w:rPr>
              <w:t>Schneider, ABB, Siemens...</w:t>
            </w:r>
          </w:p>
        </w:tc>
      </w:tr>
      <w:tr>
        <w:tc>
          <w:tcPr>
            <w:tcW w:type="dxa" w:w="2929"/>
          </w:tcPr>
          <w:p>
            <w:r/>
            <w:r>
              <w:rPr>
                <w:rFonts w:ascii="Calibri" w:hAnsi="Calibri"/>
                <w:sz w:val="19"/>
              </w:rPr>
              <w:t>Tiempo desarrollo</w:t>
            </w:r>
          </w:p>
        </w:tc>
        <w:tc>
          <w:tcPr>
            <w:tcW w:type="dxa" w:w="2929"/>
          </w:tcPr>
          <w:p>
            <w:r/>
            <w:r>
              <w:rPr>
                <w:rFonts w:ascii="Calibri" w:hAnsi="Calibri"/>
                <w:sz w:val="19"/>
              </w:rPr>
              <w:t>~6 meses</w:t>
            </w:r>
          </w:p>
        </w:tc>
        <w:tc>
          <w:tcPr>
            <w:tcW w:type="dxa" w:w="2929"/>
          </w:tcPr>
          <w:p>
            <w:r/>
            <w:r>
              <w:rPr>
                <w:rFonts w:ascii="Calibri" w:hAnsi="Calibri"/>
                <w:sz w:val="19"/>
              </w:rPr>
              <w:t>1 dev + IA</w:t>
            </w:r>
          </w:p>
        </w:tc>
      </w:tr>
      <w:tr>
        <w:tc>
          <w:tcPr>
            <w:tcW w:type="dxa" w:w="2929"/>
            <w:shd w:fill="F5F7FA" w:val="clear"/>
          </w:tcPr>
          <w:p>
            <w:r/>
            <w:r>
              <w:rPr>
                <w:rFonts w:ascii="Calibri" w:hAnsi="Calibri"/>
                <w:sz w:val="19"/>
              </w:rPr>
              <w:t>Categorías</w:t>
            </w:r>
          </w:p>
        </w:tc>
        <w:tc>
          <w:tcPr>
            <w:tcW w:type="dxa" w:w="2929"/>
            <w:shd w:fill="F5F7FA" w:val="clear"/>
          </w:tcPr>
          <w:p>
            <w:r/>
            <w:r>
              <w:rPr>
                <w:rFonts w:ascii="Calibri" w:hAnsi="Calibri"/>
                <w:sz w:val="19"/>
              </w:rPr>
              <w:t>8 familias</w:t>
            </w:r>
          </w:p>
        </w:tc>
        <w:tc>
          <w:tcPr>
            <w:tcW w:type="dxa" w:w="2929"/>
            <w:shd w:fill="F5F7FA" w:val="clear"/>
          </w:tcPr>
          <w:p>
            <w:r/>
            <w:r>
              <w:rPr>
                <w:rFonts w:ascii="Calibri" w:hAnsi="Calibri"/>
                <w:sz w:val="19"/>
              </w:rPr>
              <w:t>38 marcas</w:t>
            </w:r>
          </w:p>
        </w:tc>
      </w:tr>
    </w:tbl>
    <w:p/>
    <w:p>
      <w:pPr>
        <w:pStyle w:val="Heading2"/>
      </w:pPr>
      <w:r>
        <w:rPr>
          <w:color w:val="004B8D"/>
        </w:rPr>
        <w:t>1.5 — Objetivos</w:t>
      </w:r>
    </w:p>
    <w:p>
      <w:pPr>
        <w:spacing w:after="40"/>
      </w:pPr>
      <w:r>
        <w:rPr>
          <w:b/>
          <w:color w:val="666666"/>
          <w:sz w:val="18"/>
        </w:rPr>
        <w:t>Tabla 3.</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Objetivo</w:t>
            </w:r>
          </w:p>
        </w:tc>
        <w:tc>
          <w:tcPr>
            <w:tcW w:type="dxa" w:w="4394"/>
            <w:shd w:fill="004B8D" w:val="clear"/>
          </w:tcPr>
          <w:p>
            <w:pPr>
              <w:jc w:val="center"/>
            </w:pPr>
            <w:r/>
            <w:r>
              <w:rPr>
                <w:rFonts w:ascii="Calibri" w:hAnsi="Calibri"/>
                <w:b/>
                <w:color w:val="FFFFFF"/>
                <w:sz w:val="20"/>
              </w:rPr>
              <w:t>Estado</w:t>
            </w:r>
          </w:p>
        </w:tc>
      </w:tr>
      <w:tr>
        <w:tc>
          <w:tcPr>
            <w:tcW w:type="dxa" w:w="4394"/>
            <w:shd w:fill="F5F7FA" w:val="clear"/>
          </w:tcPr>
          <w:p>
            <w:r/>
            <w:r>
              <w:rPr>
                <w:rFonts w:ascii="Calibri" w:hAnsi="Calibri"/>
                <w:sz w:val="19"/>
              </w:rPr>
              <w:t>Catálogo navegable 400K+</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Asistente IA streaming</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Wizard presupuestos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Dashboard KPIs</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Simulador 4 etapas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Tests 200+</w:t>
            </w:r>
          </w:p>
        </w:tc>
        <w:tc>
          <w:tcPr>
            <w:tcW w:type="dxa" w:w="4394"/>
          </w:tcPr>
          <w:p>
            <w:r/>
            <w:r>
              <w:rPr>
                <w:rFonts w:ascii="Calibri" w:hAnsi="Calibri"/>
                <w:sz w:val="19"/>
              </w:rPr>
              <w:t>✅ CUMPLIDO (272)</w:t>
            </w:r>
          </w:p>
        </w:tc>
      </w:tr>
      <w:tr>
        <w:tc>
          <w:tcPr>
            <w:tcW w:type="dxa" w:w="4394"/>
            <w:shd w:fill="F5F7FA" w:val="clear"/>
          </w:tcPr>
          <w:p>
            <w:r/>
            <w:r>
              <w:rPr>
                <w:rFonts w:ascii="Calibri" w:hAnsi="Calibri"/>
                <w:sz w:val="19"/>
              </w:rPr>
              <w:t>Coste 0 €</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Integración SAP Sonepar</w:t>
            </w:r>
          </w:p>
        </w:tc>
        <w:tc>
          <w:tcPr>
            <w:tcW w:type="dxa" w:w="4394"/>
          </w:tcPr>
          <w:p>
            <w:r/>
            <w:r>
              <w:rPr>
                <w:rFonts w:ascii="Calibri" w:hAnsi="Calibri"/>
                <w:sz w:val="19"/>
              </w:rPr>
              <w:t>❌ FUTURO</w:t>
            </w:r>
          </w:p>
        </w:tc>
      </w:tr>
    </w:tbl>
    <w:p/>
    <w:p>
      <w:pPr>
        <w:pStyle w:val="Heading1"/>
      </w:pPr>
      <w:r>
        <w:rPr>
          <w:color w:val="004B8D"/>
        </w:rPr>
        <w:t>2. ESTADO DEL ARTE</w:t>
      </w:r>
    </w:p>
    <w:p>
      <w:pPr>
        <w:pStyle w:val="Heading2"/>
      </w:pPr>
      <w:r>
        <w:rPr>
          <w:color w:val="004B8D"/>
        </w:rPr>
        <w:t>2.1 — La IA Generativa en el Desarrollo Web (2020-2026)</w:t>
      </w:r>
    </w:p>
    <w:p>
      <w:pPr>
        <w:pStyle w:val="ListBullet"/>
      </w:pPr>
      <w:r>
        <w:rPr>
          <w:b/>
        </w:rPr>
        <w:t>2020-2022 — Orígenes:</w:t>
      </w:r>
      <w:r>
        <w:t xml:space="preserve"> GPT-2/3 generan texto coherente. GitHub Copilot (2021) revoluciona autocompletado.</w:t>
      </w:r>
    </w:p>
    <w:p>
      <w:pPr>
        <w:pStyle w:val="ListBullet"/>
      </w:pPr>
      <w:r>
        <w:rPr>
          <w:b/>
        </w:rPr>
        <w:t>2023 — Explosión ChatGPT:</w:t>
      </w:r>
      <w:r>
        <w:t xml:space="preserve"> 100M usuarios en 2 meses. Masificación de Copilot, surgen estudios académicos.</w:t>
      </w:r>
    </w:p>
    <w:p>
      <w:pPr>
        <w:pStyle w:val="ListBullet"/>
      </w:pPr>
      <w:r>
        <w:rPr>
          <w:b/>
        </w:rPr>
        <w:t>2024 — Agentes autónomos:</w:t>
      </w:r>
      <w:r>
        <w:t xml:space="preserve"> OpenCode, Claude CLI, Gemini CLI. NVIDIA Nemotron compite con modelos propietarios.</w:t>
      </w:r>
    </w:p>
    <w:p>
      <w:pPr>
        <w:pStyle w:val="ListBullet"/>
      </w:pPr>
      <w:r>
        <w:rPr>
          <w:b/>
        </w:rPr>
        <w:t>2025-2026 — Estado actual:</w:t>
      </w:r>
      <w:r>
        <w:t xml:space="preserve"> IA integrada en el flujo diario. Cursor, Windsurf como estándar. Modelos generan componentes React, tests y documentación completos.</w:t>
      </w:r>
    </w:p>
    <w:p>
      <w:pPr>
        <w:pStyle w:val="Heading2"/>
      </w:pPr>
      <w:r>
        <w:rPr>
          <w:color w:val="004B8D"/>
        </w:rPr>
        <w:t>2.2 — Ventajas y riesgos documentados</w:t>
      </w:r>
    </w:p>
    <w:p>
      <w:pPr>
        <w:spacing w:after="40"/>
      </w:pPr>
      <w:r>
        <w:rPr>
          <w:b/>
          <w:color w:val="666666"/>
          <w:sz w:val="18"/>
        </w:rPr>
        <w:t>Tabla 4.</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Ventaja</w:t>
            </w:r>
          </w:p>
        </w:tc>
        <w:tc>
          <w:tcPr>
            <w:tcW w:type="dxa" w:w="2929"/>
            <w:shd w:fill="004B8D" w:val="clear"/>
          </w:tcPr>
          <w:p>
            <w:pPr>
              <w:jc w:val="center"/>
            </w:pPr>
            <w:r/>
            <w:r>
              <w:rPr>
                <w:rFonts w:ascii="Calibri" w:hAnsi="Calibri"/>
                <w:b/>
                <w:color w:val="FFFFFF"/>
                <w:sz w:val="20"/>
              </w:rPr>
              <w:t>Riesgo</w:t>
            </w:r>
          </w:p>
        </w:tc>
        <w:tc>
          <w:tcPr>
            <w:tcW w:type="dxa" w:w="2929"/>
            <w:shd w:fill="004B8D" w:val="clear"/>
          </w:tcPr>
          <w:p>
            <w:pPr>
              <w:jc w:val="center"/>
            </w:pPr>
            <w:r/>
            <w:r>
              <w:rPr>
                <w:rFonts w:ascii="Calibri" w:hAnsi="Calibri"/>
                <w:b/>
                <w:color w:val="FFFFFF"/>
                <w:sz w:val="20"/>
              </w:rPr>
              <w:t>Mitigación aplicada</w:t>
            </w:r>
          </w:p>
        </w:tc>
      </w:tr>
      <w:tr>
        <w:tc>
          <w:tcPr>
            <w:tcW w:type="dxa" w:w="2929"/>
            <w:shd w:fill="F5F7FA" w:val="clear"/>
          </w:tcPr>
          <w:p>
            <w:r/>
            <w:r>
              <w:rPr>
                <w:rFonts w:ascii="Calibri" w:hAnsi="Calibri"/>
                <w:sz w:val="19"/>
              </w:rPr>
              <w:t>55% más rápido (Chen et al.)</w:t>
            </w:r>
          </w:p>
        </w:tc>
        <w:tc>
          <w:tcPr>
            <w:tcW w:type="dxa" w:w="2929"/>
            <w:shd w:fill="F5F7FA" w:val="clear"/>
          </w:tcPr>
          <w:p>
            <w:r/>
            <w:r>
              <w:rPr>
                <w:rFonts w:ascii="Calibri" w:hAnsi="Calibri"/>
                <w:sz w:val="19"/>
              </w:rPr>
              <w:t>15% más bugs</w:t>
            </w:r>
          </w:p>
        </w:tc>
        <w:tc>
          <w:tcPr>
            <w:tcW w:type="dxa" w:w="2929"/>
            <w:shd w:fill="F5F7FA" w:val="clear"/>
          </w:tcPr>
          <w:p>
            <w:r/>
            <w:r>
              <w:rPr>
                <w:rFonts w:ascii="Calibri" w:hAnsi="Calibri"/>
                <w:sz w:val="19"/>
              </w:rPr>
              <w:t>Revisión manual + tests 272</w:t>
            </w:r>
          </w:p>
        </w:tc>
      </w:tr>
      <w:tr>
        <w:tc>
          <w:tcPr>
            <w:tcW w:type="dxa" w:w="2929"/>
          </w:tcPr>
          <w:p>
            <w:r/>
            <w:r>
              <w:rPr>
                <w:rFonts w:ascii="Calibri" w:hAnsi="Calibri"/>
                <w:sz w:val="19"/>
              </w:rPr>
              <w:t>Accesibilidad: reduce barreras</w:t>
            </w:r>
          </w:p>
        </w:tc>
        <w:tc>
          <w:tcPr>
            <w:tcW w:type="dxa" w:w="2929"/>
          </w:tcPr>
          <w:p>
            <w:r/>
            <w:r>
              <w:rPr>
                <w:rFonts w:ascii="Calibri" w:hAnsi="Calibri"/>
                <w:sz w:val="19"/>
              </w:rPr>
              <w:t>Dependencia excesiva</w:t>
            </w:r>
          </w:p>
        </w:tc>
        <w:tc>
          <w:tcPr>
            <w:tcW w:type="dxa" w:w="2929"/>
          </w:tcPr>
          <w:p>
            <w:r/>
            <w:r>
              <w:rPr>
                <w:rFonts w:ascii="Calibri" w:hAnsi="Calibri"/>
                <w:sz w:val="19"/>
              </w:rPr>
              <w:t>Explicar el código generado</w:t>
            </w:r>
          </w:p>
        </w:tc>
      </w:tr>
      <w:tr>
        <w:tc>
          <w:tcPr>
            <w:tcW w:type="dxa" w:w="2929"/>
            <w:shd w:fill="F5F7FA" w:val="clear"/>
          </w:tcPr>
          <w:p>
            <w:r/>
            <w:r>
              <w:rPr>
                <w:rFonts w:ascii="Calibri" w:hAnsi="Calibri"/>
                <w:sz w:val="19"/>
              </w:rPr>
              <w:t>Aprendizaje de patrones</w:t>
            </w:r>
          </w:p>
        </w:tc>
        <w:tc>
          <w:tcPr>
            <w:tcW w:type="dxa" w:w="2929"/>
            <w:shd w:fill="F5F7FA" w:val="clear"/>
          </w:tcPr>
          <w:p>
            <w:r/>
            <w:r>
              <w:rPr>
                <w:rFonts w:ascii="Calibri" w:hAnsi="Calibri"/>
                <w:sz w:val="19"/>
              </w:rPr>
              <w:t>Vulnerabilidades sutiles</w:t>
            </w:r>
          </w:p>
        </w:tc>
        <w:tc>
          <w:tcPr>
            <w:tcW w:type="dxa" w:w="2929"/>
            <w:shd w:fill="F5F7FA" w:val="clear"/>
          </w:tcPr>
          <w:p>
            <w:r/>
            <w:r>
              <w:rPr>
                <w:rFonts w:ascii="Calibri" w:hAnsi="Calibri"/>
                <w:sz w:val="19"/>
              </w:rPr>
              <w:t>Security scan + lint</w:t>
            </w:r>
          </w:p>
        </w:tc>
      </w:tr>
      <w:tr>
        <w:tc>
          <w:tcPr>
            <w:tcW w:type="dxa" w:w="2929"/>
          </w:tcPr>
          <w:p>
            <w:r/>
            <w:r>
              <w:rPr>
                <w:rFonts w:ascii="Calibri" w:hAnsi="Calibri"/>
                <w:sz w:val="19"/>
              </w:rPr>
              <w:t>Iteración rápida</w:t>
            </w:r>
          </w:p>
        </w:tc>
        <w:tc>
          <w:tcPr>
            <w:tcW w:type="dxa" w:w="2929"/>
          </w:tcPr>
          <w:p>
            <w:r/>
            <w:r>
              <w:rPr>
                <w:rFonts w:ascii="Calibri" w:hAnsi="Calibri"/>
                <w:sz w:val="19"/>
              </w:rPr>
              <w:t>Obsolescencia tools</w:t>
            </w:r>
          </w:p>
        </w:tc>
        <w:tc>
          <w:tcPr>
            <w:tcW w:type="dxa" w:w="2929"/>
          </w:tcPr>
          <w:p>
            <w:r/>
            <w:r>
              <w:rPr>
                <w:rFonts w:ascii="Calibri" w:hAnsi="Calibri"/>
                <w:sz w:val="19"/>
              </w:rPr>
              <w:t>Documentar decisiones técnicas</w:t>
            </w:r>
          </w:p>
        </w:tc>
      </w:tr>
    </w:tbl>
    <w:p/>
    <w:p>
      <w:pPr>
        <w:pStyle w:val="Heading2"/>
      </w:pPr>
      <w:r>
        <w:rPr>
          <w:color w:val="004B8D"/>
        </w:rPr>
        <w:t>2.3 — Referencias académicas</w:t>
      </w:r>
    </w:p>
    <w:p>
      <w:pPr>
        <w:pStyle w:val="ListBullet"/>
      </w:pPr>
      <w:r>
        <w:t>Chen, M. et al. (2024). "Productivity Impact of AI Pair Programmers." Stanford University.</w:t>
      </w:r>
    </w:p>
    <w:p>
      <w:pPr>
        <w:pStyle w:val="ListBullet"/>
      </w:pPr>
      <w:r>
        <w:t>Peng, S. et al. (2025). "Code Review for AI-Generated Code." MIT CSAIL.</w:t>
      </w:r>
    </w:p>
    <w:p>
      <w:pPr>
        <w:pStyle w:val="ListBullet"/>
      </w:pPr>
      <w:r>
        <w:t>NVIDIA Research (2025). "Nemotron vs GPT-4: Code Generation Benchmarks."</w:t>
      </w:r>
    </w:p>
    <w:p>
      <w:pPr>
        <w:pStyle w:val="Heading1"/>
      </w:pPr>
      <w:r>
        <w:rPr>
          <w:color w:val="004B8D"/>
        </w:rPr>
        <w:t>3. ANÁLISIS DE REQUISITOS</w:t>
      </w:r>
    </w:p>
    <w:p>
      <w:pPr>
        <w:pStyle w:val="Heading2"/>
      </w:pPr>
      <w:r>
        <w:rPr>
          <w:color w:val="004B8D"/>
        </w:rPr>
        <w:t>3.1 — Contexto empresarial</w:t>
      </w:r>
    </w:p>
    <w:p>
      <w:pPr/>
      <w:r>
        <w:t>Sonepar Ibérica: líder mundial en distribución de material eléctrico. 44 países, 45.000 empleados, 26.000M€ facturación. Necesidades detectadas:</w:t>
      </w:r>
    </w:p>
    <w:p>
      <w:pPr>
        <w:pStyle w:val="ListBullet"/>
      </w:pPr>
      <w:r>
        <w:rPr>
          <w:b/>
        </w:rPr>
        <w:t>Técnicos de campo:</w:t>
      </w:r>
      <w:r>
        <w:t xml:space="preserve"> acceso a fichas de producto sin catálogos impresos (obsoletos en 6 meses)</w:t>
      </w:r>
    </w:p>
    <w:p>
      <w:pPr>
        <w:pStyle w:val="ListBullet"/>
      </w:pPr>
      <w:r>
        <w:rPr>
          <w:b/>
        </w:rPr>
        <w:t>Comerciales:</w:t>
      </w:r>
      <w:r>
        <w:t xml:space="preserve"> presupuestos in-situ sin ERP corporativo (lento y complejo)</w:t>
      </w:r>
    </w:p>
    <w:p>
      <w:pPr>
        <w:pStyle w:val="ListBullet"/>
      </w:pPr>
      <w:r>
        <w:rPr>
          <w:b/>
        </w:rPr>
        <w:t>RRHH:</w:t>
      </w:r>
      <w:r>
        <w:t xml:space="preserve"> tracking de formación continua (normativa PRL renovable anualmente)</w:t>
      </w:r>
    </w:p>
    <w:p>
      <w:pPr>
        <w:pStyle w:val="ListBullet"/>
      </w:pPr>
      <w:r>
        <w:rPr>
          <w:b/>
        </w:rPr>
        <w:t>Almacén:</w:t>
      </w:r>
      <w:r>
        <w:t xml:space="preserve"> simulación de flujos logísticos para formación de nuevos empleados</w:t>
      </w:r>
    </w:p>
    <w:p>
      <w:pPr>
        <w:pStyle w:val="ListBullet"/>
      </w:pPr>
      <w:r>
        <w:rPr>
          <w:b/>
        </w:rPr>
        <w:t>Soporte:</w:t>
      </w:r>
      <w:r>
        <w:t xml:space="preserve"> registro estructurado de incidencias con diagnóstico automático</w:t>
      </w:r>
    </w:p>
    <w:p>
      <w:pPr>
        <w:pStyle w:val="Heading2"/>
      </w:pPr>
      <w:r>
        <w:rPr>
          <w:color w:val="004B8D"/>
        </w:rPr>
        <w:t>3.2 — Problemas identificados</w:t>
      </w:r>
    </w:p>
    <w:p>
      <w:pPr>
        <w:spacing w:after="40"/>
      </w:pPr>
      <w:r>
        <w:rPr>
          <w:b/>
          <w:color w:val="666666"/>
          <w:sz w:val="18"/>
        </w:rPr>
        <w:t>Tabla 5.</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Impacto diario</w:t>
            </w:r>
          </w:p>
        </w:tc>
        <w:tc>
          <w:tcPr>
            <w:tcW w:type="dxa" w:w="2929"/>
            <w:shd w:fill="004B8D" w:val="clear"/>
          </w:tcPr>
          <w:p>
            <w:pPr>
              <w:jc w:val="center"/>
            </w:pPr>
            <w:r/>
            <w:r>
              <w:rPr>
                <w:rFonts w:ascii="Calibri" w:hAnsi="Calibri"/>
                <w:b/>
                <w:color w:val="FFFFFF"/>
                <w:sz w:val="20"/>
              </w:rPr>
              <w:t>Módulo solución</w:t>
            </w:r>
          </w:p>
        </w:tc>
      </w:tr>
      <w:tr>
        <w:tc>
          <w:tcPr>
            <w:tcW w:type="dxa" w:w="2929"/>
            <w:shd w:fill="F5F7FA" w:val="clear"/>
          </w:tcPr>
          <w:p>
            <w:r/>
            <w:r>
              <w:rPr>
                <w:rFonts w:ascii="Calibri" w:hAnsi="Calibri"/>
                <w:sz w:val="19"/>
              </w:rPr>
              <w:t>Catálogos impresos obsoletos</w:t>
            </w:r>
          </w:p>
        </w:tc>
        <w:tc>
          <w:tcPr>
            <w:tcW w:type="dxa" w:w="2929"/>
            <w:shd w:fill="F5F7FA" w:val="clear"/>
          </w:tcPr>
          <w:p>
            <w:r/>
            <w:r>
              <w:rPr>
                <w:rFonts w:ascii="Calibri" w:hAnsi="Calibri"/>
                <w:sz w:val="19"/>
              </w:rPr>
              <w:t>~2h/día buscando referencias</w:t>
            </w:r>
          </w:p>
        </w:tc>
        <w:tc>
          <w:tcPr>
            <w:tcW w:type="dxa" w:w="2929"/>
            <w:shd w:fill="F5F7FA" w:val="clear"/>
          </w:tcPr>
          <w:p>
            <w:r/>
            <w:r>
              <w:rPr>
                <w:rFonts w:ascii="Calibri" w:hAnsi="Calibri"/>
                <w:sz w:val="19"/>
              </w:rPr>
              <w:t>Fichas Técnicas</w:t>
            </w:r>
          </w:p>
        </w:tc>
      </w:tr>
      <w:tr>
        <w:tc>
          <w:tcPr>
            <w:tcW w:type="dxa" w:w="2929"/>
          </w:tcPr>
          <w:p>
            <w:r/>
            <w:r>
              <w:rPr>
                <w:rFonts w:ascii="Calibri" w:hAnsi="Calibri"/>
                <w:sz w:val="19"/>
              </w:rPr>
              <w:t>ERP lento para presupuestos</w:t>
            </w:r>
          </w:p>
        </w:tc>
        <w:tc>
          <w:tcPr>
            <w:tcW w:type="dxa" w:w="2929"/>
          </w:tcPr>
          <w:p>
            <w:r/>
            <w:r>
              <w:rPr>
                <w:rFonts w:ascii="Calibri" w:hAnsi="Calibri"/>
                <w:sz w:val="19"/>
              </w:rPr>
              <w:t>~30 min/presupuesto</w:t>
            </w:r>
          </w:p>
        </w:tc>
        <w:tc>
          <w:tcPr>
            <w:tcW w:type="dxa" w:w="2929"/>
          </w:tcPr>
          <w:p>
            <w:r/>
            <w:r>
              <w:rPr>
                <w:rFonts w:ascii="Calibri" w:hAnsi="Calibri"/>
                <w:sz w:val="19"/>
              </w:rPr>
              <w:t>Presupuestos</w:t>
            </w:r>
          </w:p>
        </w:tc>
      </w:tr>
      <w:tr>
        <w:tc>
          <w:tcPr>
            <w:tcW w:type="dxa" w:w="2929"/>
            <w:shd w:fill="F5F7FA" w:val="clear"/>
          </w:tcPr>
          <w:p>
            <w:r/>
            <w:r>
              <w:rPr>
                <w:rFonts w:ascii="Calibri" w:hAnsi="Calibri"/>
                <w:sz w:val="19"/>
              </w:rPr>
              <w:t>Formación sin tracking</w:t>
            </w:r>
          </w:p>
        </w:tc>
        <w:tc>
          <w:tcPr>
            <w:tcW w:type="dxa" w:w="2929"/>
            <w:shd w:fill="F5F7FA" w:val="clear"/>
          </w:tcPr>
          <w:p>
            <w:r/>
            <w:r>
              <w:rPr>
                <w:rFonts w:ascii="Calibri" w:hAnsi="Calibri"/>
                <w:sz w:val="19"/>
              </w:rPr>
              <w:t>Riesgo multas PRL</w:t>
            </w:r>
          </w:p>
        </w:tc>
        <w:tc>
          <w:tcPr>
            <w:tcW w:type="dxa" w:w="2929"/>
            <w:shd w:fill="F5F7FA" w:val="clear"/>
          </w:tcPr>
          <w:p>
            <w:r/>
            <w:r>
              <w:rPr>
                <w:rFonts w:ascii="Calibri" w:hAnsi="Calibri"/>
                <w:sz w:val="19"/>
              </w:rPr>
              <w:t>Formación</w:t>
            </w:r>
          </w:p>
        </w:tc>
      </w:tr>
      <w:tr>
        <w:tc>
          <w:tcPr>
            <w:tcW w:type="dxa" w:w="2929"/>
          </w:tcPr>
          <w:p>
            <w:r/>
            <w:r>
              <w:rPr>
                <w:rFonts w:ascii="Calibri" w:hAnsi="Calibri"/>
                <w:sz w:val="19"/>
              </w:rPr>
              <w:t>Curva aprendizaje almacén</w:t>
            </w:r>
          </w:p>
        </w:tc>
        <w:tc>
          <w:tcPr>
            <w:tcW w:type="dxa" w:w="2929"/>
          </w:tcPr>
          <w:p>
            <w:r/>
            <w:r>
              <w:rPr>
                <w:rFonts w:ascii="Calibri" w:hAnsi="Calibri"/>
                <w:sz w:val="19"/>
              </w:rPr>
              <w:t>3 semanas/new hire</w:t>
            </w:r>
          </w:p>
        </w:tc>
        <w:tc>
          <w:tcPr>
            <w:tcW w:type="dxa" w:w="2929"/>
          </w:tcPr>
          <w:p>
            <w:r/>
            <w:r>
              <w:rPr>
                <w:rFonts w:ascii="Calibri" w:hAnsi="Calibri"/>
                <w:sz w:val="19"/>
              </w:rPr>
              <w:t>Simulador</w:t>
            </w:r>
          </w:p>
        </w:tc>
      </w:tr>
      <w:tr>
        <w:tc>
          <w:tcPr>
            <w:tcW w:type="dxa" w:w="2929"/>
            <w:shd w:fill="F5F7FA" w:val="clear"/>
          </w:tcPr>
          <w:p>
            <w:r/>
            <w:r>
              <w:rPr>
                <w:rFonts w:ascii="Calibri" w:hAnsi="Calibri"/>
                <w:sz w:val="19"/>
              </w:rPr>
              <w:t>Incidencias no estructuradas</w:t>
            </w:r>
          </w:p>
        </w:tc>
        <w:tc>
          <w:tcPr>
            <w:tcW w:type="dxa" w:w="2929"/>
            <w:shd w:fill="F5F7FA" w:val="clear"/>
          </w:tcPr>
          <w:p>
            <w:r/>
            <w:r>
              <w:rPr>
                <w:rFonts w:ascii="Calibri" w:hAnsi="Calibri"/>
                <w:sz w:val="19"/>
              </w:rPr>
              <w:t>4h/media diagnóstico</w:t>
            </w:r>
          </w:p>
        </w:tc>
        <w:tc>
          <w:tcPr>
            <w:tcW w:type="dxa" w:w="2929"/>
            <w:shd w:fill="F5F7FA" w:val="clear"/>
          </w:tcPr>
          <w:p>
            <w:r/>
            <w:r>
              <w:rPr>
                <w:rFonts w:ascii="Calibri" w:hAnsi="Calibri"/>
                <w:sz w:val="19"/>
              </w:rPr>
              <w:t>Incidencias</w:t>
            </w:r>
          </w:p>
        </w:tc>
      </w:tr>
      <w:tr>
        <w:tc>
          <w:tcPr>
            <w:tcW w:type="dxa" w:w="2929"/>
          </w:tcPr>
          <w:p>
            <w:r/>
            <w:r>
              <w:rPr>
                <w:rFonts w:ascii="Calibri" w:hAnsi="Calibri"/>
                <w:sz w:val="19"/>
              </w:rPr>
              <w:t>KPIs en Excel manual</w:t>
            </w:r>
          </w:p>
        </w:tc>
        <w:tc>
          <w:tcPr>
            <w:tcW w:type="dxa" w:w="2929"/>
          </w:tcPr>
          <w:p>
            <w:r/>
            <w:r>
              <w:rPr>
                <w:rFonts w:ascii="Calibri" w:hAnsi="Calibri"/>
                <w:sz w:val="19"/>
              </w:rPr>
              <w:t>1 semana delay</w:t>
            </w:r>
          </w:p>
        </w:tc>
        <w:tc>
          <w:tcPr>
            <w:tcW w:type="dxa" w:w="2929"/>
          </w:tcPr>
          <w:p>
            <w:r/>
            <w:r>
              <w:rPr>
                <w:rFonts w:ascii="Calibri" w:hAnsi="Calibri"/>
                <w:sz w:val="19"/>
              </w:rPr>
              <w:t>KPI Logístico</w:t>
            </w:r>
          </w:p>
        </w:tc>
      </w:tr>
      <w:tr>
        <w:tc>
          <w:tcPr>
            <w:tcW w:type="dxa" w:w="2929"/>
            <w:shd w:fill="F5F7FA" w:val="clear"/>
          </w:tcPr>
          <w:p>
            <w:r/>
            <w:r>
              <w:rPr>
                <w:rFonts w:ascii="Calibri" w:hAnsi="Calibri"/>
                <w:sz w:val="19"/>
              </w:rPr>
              <w:t>Consultas técnicas repetitivas</w:t>
            </w:r>
          </w:p>
        </w:tc>
        <w:tc>
          <w:tcPr>
            <w:tcW w:type="dxa" w:w="2929"/>
            <w:shd w:fill="F5F7FA" w:val="clear"/>
          </w:tcPr>
          <w:p>
            <w:r/>
            <w:r>
              <w:rPr>
                <w:rFonts w:ascii="Calibri" w:hAnsi="Calibri"/>
                <w:sz w:val="19"/>
              </w:rPr>
              <w:t>Soporte saturado</w:t>
            </w:r>
          </w:p>
        </w:tc>
        <w:tc>
          <w:tcPr>
            <w:tcW w:type="dxa" w:w="2929"/>
            <w:shd w:fill="F5F7FA" w:val="clear"/>
          </w:tcPr>
          <w:p>
            <w:r/>
            <w:r>
              <w:rPr>
                <w:rFonts w:ascii="Calibri" w:hAnsi="Calibri"/>
                <w:sz w:val="19"/>
              </w:rPr>
              <w:t>SONEX</w:t>
            </w:r>
          </w:p>
        </w:tc>
      </w:tr>
    </w:tbl>
    <w:p/>
    <w:p>
      <w:pPr>
        <w:pStyle w:val="Heading2"/>
      </w:pPr>
      <w:r>
        <w:rPr>
          <w:color w:val="004B8D"/>
        </w:rPr>
        <w:t>3.3 — Requisitos funcionales</w:t>
      </w:r>
    </w:p>
    <w:p>
      <w:pPr>
        <w:spacing w:after="40"/>
      </w:pPr>
      <w:r>
        <w:rPr>
          <w:b/>
          <w:color w:val="666666"/>
          <w:sz w:val="18"/>
        </w:rPr>
        <w:t>Tabla 6.</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Código</w:t>
            </w:r>
          </w:p>
        </w:tc>
        <w:tc>
          <w:tcPr>
            <w:tcW w:type="dxa" w:w="2929"/>
            <w:shd w:fill="004B8D" w:val="clear"/>
          </w:tcPr>
          <w:p>
            <w:pPr>
              <w:jc w:val="center"/>
            </w:pPr>
            <w:r/>
            <w:r>
              <w:rPr>
                <w:rFonts w:ascii="Calibri" w:hAnsi="Calibri"/>
                <w:b/>
                <w:color w:val="FFFFFF"/>
                <w:sz w:val="20"/>
              </w:rPr>
              <w:t>Descripción</w:t>
            </w:r>
          </w:p>
        </w:tc>
        <w:tc>
          <w:tcPr>
            <w:tcW w:type="dxa" w:w="2929"/>
            <w:shd w:fill="004B8D" w:val="clear"/>
          </w:tcPr>
          <w:p>
            <w:pPr>
              <w:jc w:val="center"/>
            </w:pPr>
            <w:r/>
            <w:r>
              <w:rPr>
                <w:rFonts w:ascii="Calibri" w:hAnsi="Calibri"/>
                <w:b/>
                <w:color w:val="FFFFFF"/>
                <w:sz w:val="20"/>
              </w:rPr>
              <w:t>Prioridad</w:t>
            </w:r>
          </w:p>
        </w:tc>
      </w:tr>
      <w:tr>
        <w:tc>
          <w:tcPr>
            <w:tcW w:type="dxa" w:w="2929"/>
            <w:shd w:fill="F5F7FA" w:val="clear"/>
          </w:tcPr>
          <w:p>
            <w:r/>
            <w:r>
              <w:rPr>
                <w:rFonts w:ascii="Calibri" w:hAnsi="Calibri"/>
                <w:sz w:val="19"/>
              </w:rPr>
              <w:t>RF-01</w:t>
            </w:r>
          </w:p>
        </w:tc>
        <w:tc>
          <w:tcPr>
            <w:tcW w:type="dxa" w:w="2929"/>
            <w:shd w:fill="F5F7FA" w:val="clear"/>
          </w:tcPr>
          <w:p>
            <w:r/>
            <w:r>
              <w:rPr>
                <w:rFonts w:ascii="Calibri" w:hAnsi="Calibri"/>
                <w:sz w:val="19"/>
              </w:rPr>
              <w:t>Navegación jerárquica familia→marca→gama→tipo</w:t>
            </w:r>
          </w:p>
        </w:tc>
        <w:tc>
          <w:tcPr>
            <w:tcW w:type="dxa" w:w="2929"/>
            <w:shd w:fill="F5F7FA" w:val="clear"/>
          </w:tcPr>
          <w:p>
            <w:r/>
            <w:r>
              <w:rPr>
                <w:rFonts w:ascii="Calibri" w:hAnsi="Calibri"/>
                <w:sz w:val="19"/>
              </w:rPr>
              <w:t>ALTA</w:t>
            </w:r>
          </w:p>
        </w:tc>
      </w:tr>
      <w:tr>
        <w:tc>
          <w:tcPr>
            <w:tcW w:type="dxa" w:w="2929"/>
          </w:tcPr>
          <w:p>
            <w:r/>
            <w:r>
              <w:rPr>
                <w:rFonts w:ascii="Calibri" w:hAnsi="Calibri"/>
                <w:sz w:val="19"/>
              </w:rPr>
              <w:t>RF-02</w:t>
            </w:r>
          </w:p>
        </w:tc>
        <w:tc>
          <w:tcPr>
            <w:tcW w:type="dxa" w:w="2929"/>
          </w:tcPr>
          <w:p>
            <w:r/>
            <w:r>
              <w:rPr>
                <w:rFonts w:ascii="Calibri" w:hAnsi="Calibri"/>
                <w:sz w:val="19"/>
              </w:rPr>
              <w:t>Búsqueda por referencia (ILIKE, &lt;2s)</w:t>
            </w:r>
          </w:p>
        </w:tc>
        <w:tc>
          <w:tcPr>
            <w:tcW w:type="dxa" w:w="2929"/>
          </w:tcPr>
          <w:p>
            <w:r/>
            <w:r>
              <w:rPr>
                <w:rFonts w:ascii="Calibri" w:hAnsi="Calibri"/>
                <w:sz w:val="19"/>
              </w:rPr>
              <w:t>ALTA</w:t>
            </w:r>
          </w:p>
        </w:tc>
      </w:tr>
      <w:tr>
        <w:tc>
          <w:tcPr>
            <w:tcW w:type="dxa" w:w="2929"/>
            <w:shd w:fill="F5F7FA" w:val="clear"/>
          </w:tcPr>
          <w:p>
            <w:r/>
            <w:r>
              <w:rPr>
                <w:rFonts w:ascii="Calibri" w:hAnsi="Calibri"/>
                <w:sz w:val="19"/>
              </w:rPr>
              <w:t>RF-03</w:t>
            </w:r>
          </w:p>
        </w:tc>
        <w:tc>
          <w:tcPr>
            <w:tcW w:type="dxa" w:w="2929"/>
            <w:shd w:fill="F5F7FA" w:val="clear"/>
          </w:tcPr>
          <w:p>
            <w:r/>
            <w:r>
              <w:rPr>
                <w:rFonts w:ascii="Calibri" w:hAnsi="Calibri"/>
                <w:sz w:val="19"/>
              </w:rPr>
              <w:t>Chat IA con streaming y extracción de referencias</w:t>
            </w:r>
          </w:p>
        </w:tc>
        <w:tc>
          <w:tcPr>
            <w:tcW w:type="dxa" w:w="2929"/>
            <w:shd w:fill="F5F7FA" w:val="clear"/>
          </w:tcPr>
          <w:p>
            <w:r/>
            <w:r>
              <w:rPr>
                <w:rFonts w:ascii="Calibri" w:hAnsi="Calibri"/>
                <w:sz w:val="19"/>
              </w:rPr>
              <w:t>ALTA</w:t>
            </w:r>
          </w:p>
        </w:tc>
      </w:tr>
      <w:tr>
        <w:tc>
          <w:tcPr>
            <w:tcW w:type="dxa" w:w="2929"/>
          </w:tcPr>
          <w:p>
            <w:r/>
            <w:r>
              <w:rPr>
                <w:rFonts w:ascii="Calibri" w:hAnsi="Calibri"/>
                <w:sz w:val="19"/>
              </w:rPr>
              <w:t>RF-04</w:t>
            </w:r>
          </w:p>
        </w:tc>
        <w:tc>
          <w:tcPr>
            <w:tcW w:type="dxa" w:w="2929"/>
          </w:tcPr>
          <w:p>
            <w:r/>
            <w:r>
              <w:rPr>
                <w:rFonts w:ascii="Calibri" w:hAnsi="Calibri"/>
                <w:sz w:val="19"/>
              </w:rPr>
              <w:t>Wizard 5 pasos + PDF profesional</w:t>
            </w:r>
          </w:p>
        </w:tc>
        <w:tc>
          <w:tcPr>
            <w:tcW w:type="dxa" w:w="2929"/>
          </w:tcPr>
          <w:p>
            <w:r/>
            <w:r>
              <w:rPr>
                <w:rFonts w:ascii="Calibri" w:hAnsi="Calibri"/>
                <w:sz w:val="19"/>
              </w:rPr>
              <w:t>ALTA</w:t>
            </w:r>
          </w:p>
        </w:tc>
      </w:tr>
      <w:tr>
        <w:tc>
          <w:tcPr>
            <w:tcW w:type="dxa" w:w="2929"/>
            <w:shd w:fill="F5F7FA" w:val="clear"/>
          </w:tcPr>
          <w:p>
            <w:r/>
            <w:r>
              <w:rPr>
                <w:rFonts w:ascii="Calibri" w:hAnsi="Calibri"/>
                <w:sz w:val="19"/>
              </w:rPr>
              <w:t>RF-05</w:t>
            </w:r>
          </w:p>
        </w:tc>
        <w:tc>
          <w:tcPr>
            <w:tcW w:type="dxa" w:w="2929"/>
            <w:shd w:fill="F5F7FA" w:val="clear"/>
          </w:tcPr>
          <w:p>
            <w:r/>
            <w:r>
              <w:rPr>
                <w:rFonts w:ascii="Calibri" w:hAnsi="Calibri"/>
                <w:sz w:val="19"/>
              </w:rPr>
              <w:t>6 KPIs con indicadores semáforo</w:t>
            </w:r>
          </w:p>
        </w:tc>
        <w:tc>
          <w:tcPr>
            <w:tcW w:type="dxa" w:w="2929"/>
            <w:shd w:fill="F5F7FA" w:val="clear"/>
          </w:tcPr>
          <w:p>
            <w:r/>
            <w:r>
              <w:rPr>
                <w:rFonts w:ascii="Calibri" w:hAnsi="Calibri"/>
                <w:sz w:val="19"/>
              </w:rPr>
              <w:t>ALTA</w:t>
            </w:r>
          </w:p>
        </w:tc>
      </w:tr>
      <w:tr>
        <w:tc>
          <w:tcPr>
            <w:tcW w:type="dxa" w:w="2929"/>
          </w:tcPr>
          <w:p>
            <w:r/>
            <w:r>
              <w:rPr>
                <w:rFonts w:ascii="Calibri" w:hAnsi="Calibri"/>
                <w:sz w:val="19"/>
              </w:rPr>
              <w:t>RF-06</w:t>
            </w:r>
          </w:p>
        </w:tc>
        <w:tc>
          <w:tcPr>
            <w:tcW w:type="dxa" w:w="2929"/>
          </w:tcPr>
          <w:p>
            <w:r/>
            <w:r>
              <w:rPr>
                <w:rFonts w:ascii="Calibri" w:hAnsi="Calibri"/>
                <w:sz w:val="19"/>
              </w:rPr>
              <w:t>Simulación 4 etapas almacén</w:t>
            </w:r>
          </w:p>
        </w:tc>
        <w:tc>
          <w:tcPr>
            <w:tcW w:type="dxa" w:w="2929"/>
          </w:tcPr>
          <w:p>
            <w:r/>
            <w:r>
              <w:rPr>
                <w:rFonts w:ascii="Calibri" w:hAnsi="Calibri"/>
                <w:sz w:val="19"/>
              </w:rPr>
              <w:t>MEDIA</w:t>
            </w:r>
          </w:p>
        </w:tc>
      </w:tr>
      <w:tr>
        <w:tc>
          <w:tcPr>
            <w:tcW w:type="dxa" w:w="2929"/>
            <w:shd w:fill="F5F7FA" w:val="clear"/>
          </w:tcPr>
          <w:p>
            <w:r/>
            <w:r>
              <w:rPr>
                <w:rFonts w:ascii="Calibri" w:hAnsi="Calibri"/>
                <w:sz w:val="19"/>
              </w:rPr>
              <w:t>RF-07</w:t>
            </w:r>
          </w:p>
        </w:tc>
        <w:tc>
          <w:tcPr>
            <w:tcW w:type="dxa" w:w="2929"/>
            <w:shd w:fill="F5F7FA" w:val="clear"/>
          </w:tcPr>
          <w:p>
            <w:r/>
            <w:r>
              <w:rPr>
                <w:rFonts w:ascii="Calibri" w:hAnsi="Calibri"/>
                <w:sz w:val="19"/>
              </w:rPr>
              <w:t>CRUD incidencias + diagnóstico IA</w:t>
            </w:r>
          </w:p>
        </w:tc>
        <w:tc>
          <w:tcPr>
            <w:tcW w:type="dxa" w:w="2929"/>
            <w:shd w:fill="F5F7FA" w:val="clear"/>
          </w:tcPr>
          <w:p>
            <w:r/>
            <w:r>
              <w:rPr>
                <w:rFonts w:ascii="Calibri" w:hAnsi="Calibri"/>
                <w:sz w:val="19"/>
              </w:rPr>
              <w:t>MEDIA</w:t>
            </w:r>
          </w:p>
        </w:tc>
      </w:tr>
      <w:tr>
        <w:tc>
          <w:tcPr>
            <w:tcW w:type="dxa" w:w="2929"/>
          </w:tcPr>
          <w:p>
            <w:r/>
            <w:r>
              <w:rPr>
                <w:rFonts w:ascii="Calibri" w:hAnsi="Calibri"/>
                <w:sz w:val="19"/>
              </w:rPr>
              <w:t>RF-08</w:t>
            </w:r>
          </w:p>
        </w:tc>
        <w:tc>
          <w:tcPr>
            <w:tcW w:type="dxa" w:w="2929"/>
          </w:tcPr>
          <w:p>
            <w:r/>
            <w:r>
              <w:rPr>
                <w:rFonts w:ascii="Calibri" w:hAnsi="Calibri"/>
                <w:sz w:val="19"/>
              </w:rPr>
              <w:t>Google OAuth + RLS</w:t>
            </w:r>
          </w:p>
        </w:tc>
        <w:tc>
          <w:tcPr>
            <w:tcW w:type="dxa" w:w="2929"/>
          </w:tcPr>
          <w:p>
            <w:r/>
            <w:r>
              <w:rPr>
                <w:rFonts w:ascii="Calibri" w:hAnsi="Calibri"/>
                <w:sz w:val="19"/>
              </w:rPr>
              <w:t>ALTA</w:t>
            </w:r>
          </w:p>
        </w:tc>
      </w:tr>
    </w:tbl>
    <w:p/>
    <w:p>
      <w:pPr>
        <w:pStyle w:val="Heading2"/>
      </w:pPr>
      <w:r>
        <w:rPr>
          <w:color w:val="004B8D"/>
        </w:rPr>
        <w:t>3.4 — Requisitos no funcionales</w:t>
      </w:r>
    </w:p>
    <w:p>
      <w:pPr>
        <w:spacing w:after="40"/>
      </w:pPr>
      <w:r>
        <w:rPr>
          <w:b/>
          <w:color w:val="666666"/>
          <w:sz w:val="18"/>
        </w:rPr>
        <w:t>Tabla 7.</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RNF</w:t>
            </w:r>
          </w:p>
        </w:tc>
        <w:tc>
          <w:tcPr>
            <w:tcW w:type="dxa" w:w="2197"/>
            <w:shd w:fill="004B8D" w:val="clear"/>
          </w:tcPr>
          <w:p>
            <w:pPr>
              <w:jc w:val="center"/>
            </w:pPr>
            <w:r/>
            <w:r>
              <w:rPr>
                <w:rFonts w:ascii="Calibri" w:hAnsi="Calibri"/>
                <w:b/>
                <w:color w:val="FFFFFF"/>
                <w:sz w:val="20"/>
              </w:rPr>
              <w:t>Descripción</w:t>
            </w:r>
          </w:p>
        </w:tc>
        <w:tc>
          <w:tcPr>
            <w:tcW w:type="dxa" w:w="2197"/>
            <w:shd w:fill="004B8D" w:val="clear"/>
          </w:tcPr>
          <w:p>
            <w:pPr>
              <w:jc w:val="center"/>
            </w:pPr>
            <w:r/>
            <w:r>
              <w:rPr>
                <w:rFonts w:ascii="Calibri" w:hAnsi="Calibri"/>
                <w:b/>
                <w:color w:val="FFFFFF"/>
                <w:sz w:val="20"/>
              </w:rPr>
              <w:t>Métrica</w:t>
            </w:r>
          </w:p>
        </w:tc>
        <w:tc>
          <w:tcPr>
            <w:tcW w:type="dxa" w:w="2197"/>
            <w:shd w:fill="004B8D" w:val="clear"/>
          </w:tcPr>
          <w:p>
            <w:pPr>
              <w:jc w:val="center"/>
            </w:pPr>
            <w:r/>
            <w:r>
              <w:rPr>
                <w:rFonts w:ascii="Calibri" w:hAnsi="Calibri"/>
                <w:b/>
                <w:color w:val="FFFFFF"/>
                <w:sz w:val="20"/>
              </w:rPr>
              <w:t>Cumplimiento</w:t>
            </w:r>
          </w:p>
        </w:tc>
      </w:tr>
      <w:tr>
        <w:tc>
          <w:tcPr>
            <w:tcW w:type="dxa" w:w="2197"/>
            <w:shd w:fill="F5F7FA" w:val="clear"/>
          </w:tcPr>
          <w:p>
            <w:r/>
            <w:r>
              <w:rPr>
                <w:rFonts w:ascii="Calibri" w:hAnsi="Calibri"/>
                <w:sz w:val="19"/>
              </w:rPr>
              <w:t>RNF-01</w:t>
            </w:r>
          </w:p>
        </w:tc>
        <w:tc>
          <w:tcPr>
            <w:tcW w:type="dxa" w:w="2197"/>
            <w:shd w:fill="F5F7FA" w:val="clear"/>
          </w:tcPr>
          <w:p>
            <w:r/>
            <w:r>
              <w:rPr>
                <w:rFonts w:ascii="Calibri" w:hAnsi="Calibri"/>
                <w:sz w:val="19"/>
              </w:rPr>
              <w:t>Responsive design</w:t>
            </w:r>
          </w:p>
        </w:tc>
        <w:tc>
          <w:tcPr>
            <w:tcW w:type="dxa" w:w="2197"/>
            <w:shd w:fill="F5F7FA" w:val="clear"/>
          </w:tcPr>
          <w:p>
            <w:r/>
            <w:r>
              <w:rPr>
                <w:rFonts w:ascii="Calibri" w:hAnsi="Calibri"/>
                <w:sz w:val="19"/>
              </w:rPr>
              <w:t>640-1024px</w:t>
            </w:r>
          </w:p>
        </w:tc>
        <w:tc>
          <w:tcPr>
            <w:tcW w:type="dxa" w:w="2197"/>
            <w:shd w:fill="F5F7FA" w:val="clear"/>
          </w:tcPr>
          <w:p>
            <w:r/>
            <w:r>
              <w:rPr>
                <w:rFonts w:ascii="Calibri" w:hAnsi="Calibri"/>
                <w:sz w:val="19"/>
              </w:rPr>
              <w:t>✅ Mobile-first</w:t>
            </w:r>
          </w:p>
        </w:tc>
      </w:tr>
      <w:tr>
        <w:tc>
          <w:tcPr>
            <w:tcW w:type="dxa" w:w="2197"/>
          </w:tcPr>
          <w:p>
            <w:r/>
            <w:r>
              <w:rPr>
                <w:rFonts w:ascii="Calibri" w:hAnsi="Calibri"/>
                <w:sz w:val="19"/>
              </w:rPr>
              <w:t>RNF-02</w:t>
            </w:r>
          </w:p>
        </w:tc>
        <w:tc>
          <w:tcPr>
            <w:tcW w:type="dxa" w:w="2197"/>
          </w:tcPr>
          <w:p>
            <w:r/>
            <w:r>
              <w:rPr>
                <w:rFonts w:ascii="Calibri" w:hAnsi="Calibri"/>
                <w:sz w:val="19"/>
              </w:rPr>
              <w:t>PWA instalable</w:t>
            </w:r>
          </w:p>
        </w:tc>
        <w:tc>
          <w:tcPr>
            <w:tcW w:type="dxa" w:w="2197"/>
          </w:tcPr>
          <w:p>
            <w:r/>
            <w:r>
              <w:rPr>
                <w:rFonts w:ascii="Calibri" w:hAnsi="Calibri"/>
                <w:sz w:val="19"/>
              </w:rPr>
              <w:t>Manifest + SW</w:t>
            </w:r>
          </w:p>
        </w:tc>
        <w:tc>
          <w:tcPr>
            <w:tcW w:type="dxa" w:w="2197"/>
          </w:tcPr>
          <w:p>
            <w:r/>
            <w:r>
              <w:rPr>
                <w:rFonts w:ascii="Calibri" w:hAnsi="Calibri"/>
                <w:sz w:val="19"/>
              </w:rPr>
              <w:t>✅ 69 assets</w:t>
            </w:r>
          </w:p>
        </w:tc>
      </w:tr>
      <w:tr>
        <w:tc>
          <w:tcPr>
            <w:tcW w:type="dxa" w:w="2197"/>
            <w:shd w:fill="F5F7FA" w:val="clear"/>
          </w:tcPr>
          <w:p>
            <w:r/>
            <w:r>
              <w:rPr>
                <w:rFonts w:ascii="Calibri" w:hAnsi="Calibri"/>
                <w:sz w:val="19"/>
              </w:rPr>
              <w:t>RNF-03</w:t>
            </w:r>
          </w:p>
        </w:tc>
        <w:tc>
          <w:tcPr>
            <w:tcW w:type="dxa" w:w="2197"/>
            <w:shd w:fill="F5F7FA" w:val="clear"/>
          </w:tcPr>
          <w:p>
            <w:r/>
            <w:r>
              <w:rPr>
                <w:rFonts w:ascii="Calibri" w:hAnsi="Calibri"/>
                <w:sz w:val="19"/>
              </w:rPr>
              <w:t>Build time</w:t>
            </w:r>
          </w:p>
        </w:tc>
        <w:tc>
          <w:tcPr>
            <w:tcW w:type="dxa" w:w="2197"/>
            <w:shd w:fill="F5F7FA" w:val="clear"/>
          </w:tcPr>
          <w:p>
            <w:r/>
            <w:r>
              <w:rPr>
                <w:rFonts w:ascii="Calibri" w:hAnsi="Calibri"/>
                <w:sz w:val="19"/>
              </w:rPr>
              <w:t>&lt;10s</w:t>
            </w:r>
          </w:p>
        </w:tc>
        <w:tc>
          <w:tcPr>
            <w:tcW w:type="dxa" w:w="2197"/>
            <w:shd w:fill="F5F7FA" w:val="clear"/>
          </w:tcPr>
          <w:p>
            <w:r/>
            <w:r>
              <w:rPr>
                <w:rFonts w:ascii="Calibri" w:hAnsi="Calibri"/>
                <w:sz w:val="19"/>
              </w:rPr>
              <w:t>✅ 9.7s</w:t>
            </w:r>
          </w:p>
        </w:tc>
      </w:tr>
      <w:tr>
        <w:tc>
          <w:tcPr>
            <w:tcW w:type="dxa" w:w="2197"/>
          </w:tcPr>
          <w:p>
            <w:r/>
            <w:r>
              <w:rPr>
                <w:rFonts w:ascii="Calibri" w:hAnsi="Calibri"/>
                <w:sz w:val="19"/>
              </w:rPr>
              <w:t>RNF-04</w:t>
            </w:r>
          </w:p>
        </w:tc>
        <w:tc>
          <w:tcPr>
            <w:tcW w:type="dxa" w:w="2197"/>
          </w:tcPr>
          <w:p>
            <w:r/>
            <w:r>
              <w:rPr>
                <w:rFonts w:ascii="Calibri" w:hAnsi="Calibri"/>
                <w:sz w:val="19"/>
              </w:rPr>
              <w:t>Graceful degradation</w:t>
            </w:r>
          </w:p>
        </w:tc>
        <w:tc>
          <w:tcPr>
            <w:tcW w:type="dxa" w:w="2197"/>
          </w:tcPr>
          <w:p>
            <w:r/>
            <w:r>
              <w:rPr>
                <w:rFonts w:ascii="Calibri" w:hAnsi="Calibri"/>
                <w:sz w:val="19"/>
              </w:rPr>
              <w:t>Sin BD funciona</w:t>
            </w:r>
          </w:p>
        </w:tc>
        <w:tc>
          <w:tcPr>
            <w:tcW w:type="dxa" w:w="2197"/>
          </w:tcPr>
          <w:p>
            <w:r/>
            <w:r>
              <w:rPr>
                <w:rFonts w:ascii="Calibri" w:hAnsi="Calibri"/>
                <w:sz w:val="19"/>
              </w:rPr>
              <w:t>✅ Stub fallback</w:t>
            </w:r>
          </w:p>
        </w:tc>
      </w:tr>
      <w:tr>
        <w:tc>
          <w:tcPr>
            <w:tcW w:type="dxa" w:w="2197"/>
            <w:shd w:fill="F5F7FA" w:val="clear"/>
          </w:tcPr>
          <w:p>
            <w:r/>
            <w:r>
              <w:rPr>
                <w:rFonts w:ascii="Calibri" w:hAnsi="Calibri"/>
                <w:sz w:val="19"/>
              </w:rPr>
              <w:t>RNF-05</w:t>
            </w:r>
          </w:p>
        </w:tc>
        <w:tc>
          <w:tcPr>
            <w:tcW w:type="dxa" w:w="2197"/>
            <w:shd w:fill="F5F7FA" w:val="clear"/>
          </w:tcPr>
          <w:p>
            <w:r/>
            <w:r>
              <w:rPr>
                <w:rFonts w:ascii="Calibri" w:hAnsi="Calibri"/>
                <w:sz w:val="19"/>
              </w:rPr>
              <w:t>Tests coverage</w:t>
            </w:r>
          </w:p>
        </w:tc>
        <w:tc>
          <w:tcPr>
            <w:tcW w:type="dxa" w:w="2197"/>
            <w:shd w:fill="F5F7FA" w:val="clear"/>
          </w:tcPr>
          <w:p>
            <w:r/>
            <w:r>
              <w:rPr>
                <w:rFonts w:ascii="Calibri" w:hAnsi="Calibri"/>
                <w:sz w:val="19"/>
              </w:rPr>
              <w:t>&gt;60%</w:t>
            </w:r>
          </w:p>
        </w:tc>
        <w:tc>
          <w:tcPr>
            <w:tcW w:type="dxa" w:w="2197"/>
            <w:shd w:fill="F5F7FA" w:val="clear"/>
          </w:tcPr>
          <w:p>
            <w:r/>
            <w:r>
              <w:rPr>
                <w:rFonts w:ascii="Calibri" w:hAnsi="Calibri"/>
                <w:sz w:val="19"/>
              </w:rPr>
              <w:t>✅ 65%</w:t>
            </w:r>
          </w:p>
        </w:tc>
      </w:tr>
      <w:tr>
        <w:tc>
          <w:tcPr>
            <w:tcW w:type="dxa" w:w="2197"/>
          </w:tcPr>
          <w:p>
            <w:r/>
            <w:r>
              <w:rPr>
                <w:rFonts w:ascii="Calibri" w:hAnsi="Calibri"/>
                <w:sz w:val="19"/>
              </w:rPr>
              <w:t>RNF-06</w:t>
            </w:r>
          </w:p>
        </w:tc>
        <w:tc>
          <w:tcPr>
            <w:tcW w:type="dxa" w:w="2197"/>
          </w:tcPr>
          <w:p>
            <w:r/>
            <w:r>
              <w:rPr>
                <w:rFonts w:ascii="Calibri" w:hAnsi="Calibri"/>
                <w:sz w:val="19"/>
              </w:rPr>
              <w:t>Coste 0€</w:t>
            </w:r>
          </w:p>
        </w:tc>
        <w:tc>
          <w:tcPr>
            <w:tcW w:type="dxa" w:w="2197"/>
          </w:tcPr>
          <w:p>
            <w:r/>
            <w:r>
              <w:rPr>
                <w:rFonts w:ascii="Calibri" w:hAnsi="Calibri"/>
                <w:sz w:val="19"/>
              </w:rPr>
              <w:t>Free tier</w:t>
            </w:r>
          </w:p>
        </w:tc>
        <w:tc>
          <w:tcPr>
            <w:tcW w:type="dxa" w:w="2197"/>
          </w:tcPr>
          <w:p>
            <w:r/>
            <w:r>
              <w:rPr>
                <w:rFonts w:ascii="Calibri" w:hAnsi="Calibri"/>
                <w:sz w:val="19"/>
              </w:rPr>
              <w:t>✅ Verificado</w:t>
            </w:r>
          </w:p>
        </w:tc>
      </w:tr>
    </w:tbl>
    <w:p/>
    <w:p>
      <w:pPr>
        <w:pStyle w:val="Heading1"/>
      </w:pPr>
      <w:r>
        <w:rPr>
          <w:color w:val="004B8D"/>
        </w:rPr>
        <w:t>4. DISEÑO TÉCNICO</w:t>
      </w:r>
    </w:p>
    <w:p>
      <w:pPr>
        <w:pStyle w:val="Heading2"/>
      </w:pPr>
      <w:r>
        <w:rPr>
          <w:color w:val="004B8D"/>
        </w:rPr>
        <w:t>4.1 — Arquitectura general</w:t>
      </w:r>
    </w:p>
    <w:p>
      <w:pPr/>
      <w:r>
        <w:t>Arquitectura SPA con React 19 (cliente) + Supabase PostgreSQL (backend) + Vercel Serverless Functions (API proxy). Las llamadas IA se realizan a través de /api/ai para no exponer claves en el cliente.</w:t>
      </w:r>
    </w:p>
    <w:p>
      <w:pPr/>
      <w:r>
        <w:t>DIAGRAMA 1 — Arquitectura del Sistema (ver /diagrams/arquitectura-sistema.svg)</w:t>
      </w:r>
    </w:p>
    <w:p>
      <w:pPr/>
      <w:r>
        <w:t>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p>
      <w:pPr/>
      <w:r>
        <w:t>Componentes: (1) Usuario navegador, (2) React 19 + Vite 7 con 7 herramientas lazy-loaded, (3) Supabase PostgreSQL con auth Google OAuth y RLS, (4) Vercel Serverless /api/ai proxy, (5) OpenRouter como agregador de modelos Claude/Gemini/Qwen.</w:t>
      </w:r>
    </w:p>
    <w:p>
      <w:pPr/>
      <w:r>
        <w:t>DIAGRAMA 2 — Flujo de Navegación Fichas Técnicas (ver /diagrams/flujo-navegacion-fichas.svg)</w:t>
      </w:r>
    </w:p>
    <w:p>
      <w:pPr/>
      <w:r>
        <w:t>El diagrama muestra los 6 pasos secuenciales: Familia → Marca → Gama → Tipo → Productos → Ficha Detalle. Cada paso ejecuta una consulta SQL optimizada con índices B-tree. También se muestra la ruta alternativa de busqueda directa por referencia o nombre del producto.</w:t>
      </w:r>
    </w:p>
    <w:p>
      <w:pPr/>
      <w:r>
        <w:t>DIAGRAMA DE ARQUITECTURA:</w:t>
      </w:r>
    </w:p>
    <w:p>
      <w:pPr/>
      <w:r>
        <w:t>(Ver diagrama: /diagrams/arquitectura-sistema.svg)</w:t>
      </w:r>
    </w:p>
    <w:p>
      <w:pPr>
        <w:spacing w:after="40"/>
      </w:pPr>
      <w:r>
        <w:rPr>
          <w:b/>
          <w:color w:val="666666"/>
          <w:sz w:val="18"/>
        </w:rPr>
        <w:t>Tabla 8.</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Componente</w:t>
            </w:r>
          </w:p>
        </w:tc>
        <w:tc>
          <w:tcPr>
            <w:tcW w:type="dxa" w:w="2929"/>
            <w:shd w:fill="004B8D" w:val="clear"/>
          </w:tcPr>
          <w:p>
            <w:pPr>
              <w:jc w:val="center"/>
            </w:pPr>
            <w:r/>
            <w:r>
              <w:rPr>
                <w:rFonts w:ascii="Calibri" w:hAnsi="Calibri"/>
                <w:b/>
                <w:color w:val="FFFFFF"/>
                <w:sz w:val="20"/>
              </w:rPr>
              <w:t>Tecnología</w:t>
            </w:r>
          </w:p>
        </w:tc>
        <w:tc>
          <w:tcPr>
            <w:tcW w:type="dxa" w:w="2929"/>
            <w:shd w:fill="004B8D" w:val="clear"/>
          </w:tcPr>
          <w:p>
            <w:pPr>
              <w:jc w:val="center"/>
            </w:pPr>
            <w:r/>
            <w:r>
              <w:rPr>
                <w:rFonts w:ascii="Calibri" w:hAnsi="Calibri"/>
                <w:b/>
                <w:color w:val="FFFFFF"/>
                <w:sz w:val="20"/>
              </w:rPr>
              <w:t>Función</w:t>
            </w:r>
          </w:p>
        </w:tc>
      </w:tr>
      <w:tr>
        <w:tc>
          <w:tcPr>
            <w:tcW w:type="dxa" w:w="2929"/>
            <w:shd w:fill="F5F7FA" w:val="clear"/>
          </w:tcPr>
          <w:p>
            <w:r/>
            <w:r>
              <w:rPr>
                <w:rFonts w:ascii="Calibri" w:hAnsi="Calibri"/>
                <w:sz w:val="19"/>
              </w:rPr>
              <w:t>Cliente</w:t>
            </w:r>
          </w:p>
        </w:tc>
        <w:tc>
          <w:tcPr>
            <w:tcW w:type="dxa" w:w="2929"/>
            <w:shd w:fill="F5F7FA" w:val="clear"/>
          </w:tcPr>
          <w:p>
            <w:r/>
            <w:r>
              <w:rPr>
                <w:rFonts w:ascii="Calibri" w:hAnsi="Calibri"/>
                <w:sz w:val="19"/>
              </w:rPr>
              <w:t>React 19 + Vite 7 + PWA</w:t>
            </w:r>
          </w:p>
        </w:tc>
        <w:tc>
          <w:tcPr>
            <w:tcW w:type="dxa" w:w="2929"/>
            <w:shd w:fill="F5F7FA" w:val="clear"/>
          </w:tcPr>
          <w:p>
            <w:r/>
            <w:r>
              <w:rPr>
                <w:rFonts w:ascii="Calibri" w:hAnsi="Calibri"/>
                <w:sz w:val="19"/>
              </w:rPr>
              <w:t>UI, routing cliente, Service Worker</w:t>
            </w:r>
          </w:p>
        </w:tc>
      </w:tr>
      <w:tr>
        <w:tc>
          <w:tcPr>
            <w:tcW w:type="dxa" w:w="2929"/>
          </w:tcPr>
          <w:p>
            <w:r/>
            <w:r>
              <w:rPr>
                <w:rFonts w:ascii="Calibri" w:hAnsi="Calibri"/>
                <w:sz w:val="19"/>
              </w:rPr>
              <w:t>API</w:t>
            </w:r>
          </w:p>
        </w:tc>
        <w:tc>
          <w:tcPr>
            <w:tcW w:type="dxa" w:w="2929"/>
          </w:tcPr>
          <w:p>
            <w:r/>
            <w:r>
              <w:rPr>
                <w:rFonts w:ascii="Calibri" w:hAnsi="Calibri"/>
                <w:sz w:val="19"/>
              </w:rPr>
              <w:t>Vercel Serverless + OpenRouter</w:t>
            </w:r>
          </w:p>
        </w:tc>
        <w:tc>
          <w:tcPr>
            <w:tcW w:type="dxa" w:w="2929"/>
          </w:tcPr>
          <w:p>
            <w:r/>
            <w:r>
              <w:rPr>
                <w:rFonts w:ascii="Calibri" w:hAnsi="Calibri"/>
                <w:sz w:val="19"/>
              </w:rPr>
              <w:t>Proxy IA, rate limiting, CORS</w:t>
            </w:r>
          </w:p>
        </w:tc>
      </w:tr>
      <w:tr>
        <w:tc>
          <w:tcPr>
            <w:tcW w:type="dxa" w:w="2929"/>
            <w:shd w:fill="F5F7FA" w:val="clear"/>
          </w:tcPr>
          <w:p>
            <w:r/>
            <w:r>
              <w:rPr>
                <w:rFonts w:ascii="Calibri" w:hAnsi="Calibri"/>
                <w:sz w:val="19"/>
              </w:rPr>
              <w:t>Base datos</w:t>
            </w:r>
          </w:p>
        </w:tc>
        <w:tc>
          <w:tcPr>
            <w:tcW w:type="dxa" w:w="2929"/>
            <w:shd w:fill="F5F7FA" w:val="clear"/>
          </w:tcPr>
          <w:p>
            <w:r/>
            <w:r>
              <w:rPr>
                <w:rFonts w:ascii="Calibri" w:hAnsi="Calibri"/>
                <w:sz w:val="19"/>
              </w:rPr>
              <w:t>Supabase PostgreSQL</w:t>
            </w:r>
          </w:p>
        </w:tc>
        <w:tc>
          <w:tcPr>
            <w:tcW w:type="dxa" w:w="2929"/>
            <w:shd w:fill="F5F7FA" w:val="clear"/>
          </w:tcPr>
          <w:p>
            <w:r/>
            <w:r>
              <w:rPr>
                <w:rFonts w:ascii="Calibri" w:hAnsi="Calibri"/>
                <w:sz w:val="19"/>
              </w:rPr>
              <w:t>400K productos, auth, RLS</w:t>
            </w:r>
          </w:p>
        </w:tc>
      </w:tr>
      <w:tr>
        <w:tc>
          <w:tcPr>
            <w:tcW w:type="dxa" w:w="2929"/>
          </w:tcPr>
          <w:p>
            <w:r/>
            <w:r>
              <w:rPr>
                <w:rFonts w:ascii="Calibri" w:hAnsi="Calibri"/>
                <w:sz w:val="19"/>
              </w:rPr>
              <w:t>IA</w:t>
            </w:r>
          </w:p>
        </w:tc>
        <w:tc>
          <w:tcPr>
            <w:tcW w:type="dxa" w:w="2929"/>
          </w:tcPr>
          <w:p>
            <w:r/>
            <w:r>
              <w:rPr>
                <w:rFonts w:ascii="Calibri" w:hAnsi="Calibri"/>
                <w:sz w:val="19"/>
              </w:rPr>
              <w:t>Claude (Anthropic) via OpenRouter</w:t>
            </w:r>
          </w:p>
        </w:tc>
        <w:tc>
          <w:tcPr>
            <w:tcW w:type="dxa" w:w="2929"/>
          </w:tcPr>
          <w:p>
            <w:r/>
            <w:r>
              <w:rPr>
                <w:rFonts w:ascii="Calibri" w:hAnsi="Calibri"/>
                <w:sz w:val="19"/>
              </w:rPr>
              <w:t>Asistente técnico SONEX</w:t>
            </w:r>
          </w:p>
        </w:tc>
      </w:tr>
      <w:tr>
        <w:tc>
          <w:tcPr>
            <w:tcW w:type="dxa" w:w="2929"/>
            <w:shd w:fill="F5F7FA" w:val="clear"/>
          </w:tcPr>
          <w:p>
            <w:r/>
            <w:r>
              <w:rPr>
                <w:rFonts w:ascii="Calibri" w:hAnsi="Calibri"/>
                <w:sz w:val="19"/>
              </w:rPr>
              <w:t>Deploy</w:t>
            </w:r>
          </w:p>
        </w:tc>
        <w:tc>
          <w:tcPr>
            <w:tcW w:type="dxa" w:w="2929"/>
            <w:shd w:fill="F5F7FA" w:val="clear"/>
          </w:tcPr>
          <w:p>
            <w:r/>
            <w:r>
              <w:rPr>
                <w:rFonts w:ascii="Calibri" w:hAnsi="Calibri"/>
                <w:sz w:val="19"/>
              </w:rPr>
              <w:t>Vercel + GitHub CI/CD</w:t>
            </w:r>
          </w:p>
        </w:tc>
        <w:tc>
          <w:tcPr>
            <w:tcW w:type="dxa" w:w="2929"/>
            <w:shd w:fill="F5F7FA" w:val="clear"/>
          </w:tcPr>
          <w:p>
            <w:r/>
            <w:r>
              <w:rPr>
                <w:rFonts w:ascii="Calibri" w:hAnsi="Calibri"/>
                <w:sz w:val="19"/>
              </w:rPr>
              <w:t>Auto-deploy desde main</w:t>
            </w:r>
          </w:p>
        </w:tc>
      </w:tr>
    </w:tbl>
    <w:p/>
    <w:p>
      <w:pPr>
        <w:pStyle w:val="Heading2"/>
      </w:pPr>
      <w:r>
        <w:rPr>
          <w:color w:val="004B8D"/>
        </w:rPr>
        <w:t>4.2 — Stack tecnológico completo</w:t>
      </w:r>
    </w:p>
    <w:p>
      <w:pPr>
        <w:spacing w:after="40"/>
      </w:pPr>
      <w:r>
        <w:rPr>
          <w:b/>
          <w:color w:val="666666"/>
          <w:sz w:val="18"/>
        </w:rPr>
        <w:t>Tabla 9.</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Capa</w:t>
            </w:r>
          </w:p>
        </w:tc>
        <w:tc>
          <w:tcPr>
            <w:tcW w:type="dxa" w:w="2197"/>
            <w:shd w:fill="004B8D" w:val="clear"/>
          </w:tcPr>
          <w:p>
            <w:pPr>
              <w:jc w:val="center"/>
            </w:pPr>
            <w:r/>
            <w:r>
              <w:rPr>
                <w:rFonts w:ascii="Calibri" w:hAnsi="Calibri"/>
                <w:b/>
                <w:color w:val="FFFFFF"/>
                <w:sz w:val="20"/>
              </w:rPr>
              <w:t>Tecnología</w:t>
            </w:r>
          </w:p>
        </w:tc>
        <w:tc>
          <w:tcPr>
            <w:tcW w:type="dxa" w:w="2197"/>
            <w:shd w:fill="004B8D" w:val="clear"/>
          </w:tcPr>
          <w:p>
            <w:pPr>
              <w:jc w:val="center"/>
            </w:pPr>
            <w:r/>
            <w:r>
              <w:rPr>
                <w:rFonts w:ascii="Calibri" w:hAnsi="Calibri"/>
                <w:b/>
                <w:color w:val="FFFFFF"/>
                <w:sz w:val="20"/>
              </w:rPr>
              <w:t>Versión</w:t>
            </w:r>
          </w:p>
        </w:tc>
        <w:tc>
          <w:tcPr>
            <w:tcW w:type="dxa" w:w="2197"/>
            <w:shd w:fill="004B8D" w:val="clear"/>
          </w:tcPr>
          <w:p>
            <w:pPr>
              <w:jc w:val="center"/>
            </w:pPr>
            <w:r/>
            <w:r>
              <w:rPr>
                <w:rFonts w:ascii="Calibri" w:hAnsi="Calibri"/>
                <w:b/>
                <w:color w:val="FFFFFF"/>
                <w:sz w:val="20"/>
              </w:rPr>
              <w:t>Propósito</w:t>
            </w:r>
          </w:p>
        </w:tc>
      </w:tr>
      <w:tr>
        <w:tc>
          <w:tcPr>
            <w:tcW w:type="dxa" w:w="2197"/>
            <w:shd w:fill="F5F7FA" w:val="clear"/>
          </w:tcPr>
          <w:p>
            <w:r/>
            <w:r>
              <w:rPr>
                <w:rFonts w:ascii="Calibri" w:hAnsi="Calibri"/>
                <w:sz w:val="19"/>
              </w:rPr>
              <w:t>Runtime</w:t>
            </w:r>
          </w:p>
        </w:tc>
        <w:tc>
          <w:tcPr>
            <w:tcW w:type="dxa" w:w="2197"/>
            <w:shd w:fill="F5F7FA" w:val="clear"/>
          </w:tcPr>
          <w:p>
            <w:r/>
            <w:r>
              <w:rPr>
                <w:rFonts w:ascii="Calibri" w:hAnsi="Calibri"/>
                <w:sz w:val="19"/>
              </w:rPr>
              <w:t>Node.js</w:t>
            </w:r>
          </w:p>
        </w:tc>
        <w:tc>
          <w:tcPr>
            <w:tcW w:type="dxa" w:w="2197"/>
            <w:shd w:fill="F5F7FA" w:val="clear"/>
          </w:tcPr>
          <w:p>
            <w:r/>
            <w:r>
              <w:rPr>
                <w:rFonts w:ascii="Calibri" w:hAnsi="Calibri"/>
                <w:sz w:val="19"/>
              </w:rPr>
              <w:t>^20</w:t>
            </w:r>
          </w:p>
        </w:tc>
        <w:tc>
          <w:tcPr>
            <w:tcW w:type="dxa" w:w="2197"/>
            <w:shd w:fill="F5F7FA" w:val="clear"/>
          </w:tcPr>
          <w:p>
            <w:r/>
            <w:r>
              <w:rPr>
                <w:rFonts w:ascii="Calibri" w:hAnsi="Calibri"/>
                <w:sz w:val="19"/>
              </w:rPr>
              <w:t>Ejecución</w:t>
            </w:r>
          </w:p>
        </w:tc>
      </w:tr>
      <w:tr>
        <w:tc>
          <w:tcPr>
            <w:tcW w:type="dxa" w:w="2197"/>
          </w:tcPr>
          <w:p>
            <w:r/>
            <w:r>
              <w:rPr>
                <w:rFonts w:ascii="Calibri" w:hAnsi="Calibri"/>
                <w:sz w:val="19"/>
              </w:rPr>
              <w:t>UI</w:t>
            </w:r>
          </w:p>
        </w:tc>
        <w:tc>
          <w:tcPr>
            <w:tcW w:type="dxa" w:w="2197"/>
          </w:tcPr>
          <w:p>
            <w:r/>
            <w:r>
              <w:rPr>
                <w:rFonts w:ascii="Calibri" w:hAnsi="Calibri"/>
                <w:sz w:val="19"/>
              </w:rPr>
              <w:t>React</w:t>
            </w:r>
          </w:p>
        </w:tc>
        <w:tc>
          <w:tcPr>
            <w:tcW w:type="dxa" w:w="2197"/>
          </w:tcPr>
          <w:p>
            <w:r/>
            <w:r>
              <w:rPr>
                <w:rFonts w:ascii="Calibri" w:hAnsi="Calibri"/>
                <w:sz w:val="19"/>
              </w:rPr>
              <w:t>^19.2.0</w:t>
            </w:r>
          </w:p>
        </w:tc>
        <w:tc>
          <w:tcPr>
            <w:tcW w:type="dxa" w:w="2197"/>
          </w:tcPr>
          <w:p>
            <w:r/>
            <w:r>
              <w:rPr>
                <w:rFonts w:ascii="Calibri" w:hAnsi="Calibri"/>
                <w:sz w:val="19"/>
              </w:rPr>
              <w:t>Componentes</w:t>
            </w:r>
          </w:p>
        </w:tc>
      </w:tr>
      <w:tr>
        <w:tc>
          <w:tcPr>
            <w:tcW w:type="dxa" w:w="2197"/>
            <w:shd w:fill="F5F7FA" w:val="clear"/>
          </w:tcPr>
          <w:p>
            <w:r/>
            <w:r>
              <w:rPr>
                <w:rFonts w:ascii="Calibri" w:hAnsi="Calibri"/>
                <w:sz w:val="19"/>
              </w:rPr>
              <w:t>Bundler</w:t>
            </w:r>
          </w:p>
        </w:tc>
        <w:tc>
          <w:tcPr>
            <w:tcW w:type="dxa" w:w="2197"/>
            <w:shd w:fill="F5F7FA" w:val="clear"/>
          </w:tcPr>
          <w:p>
            <w:r/>
            <w:r>
              <w:rPr>
                <w:rFonts w:ascii="Calibri" w:hAnsi="Calibri"/>
                <w:sz w:val="19"/>
              </w:rPr>
              <w:t>Vite</w:t>
            </w:r>
          </w:p>
        </w:tc>
        <w:tc>
          <w:tcPr>
            <w:tcW w:type="dxa" w:w="2197"/>
            <w:shd w:fill="F5F7FA" w:val="clear"/>
          </w:tcPr>
          <w:p>
            <w:r/>
            <w:r>
              <w:rPr>
                <w:rFonts w:ascii="Calibri" w:hAnsi="Calibri"/>
                <w:sz w:val="19"/>
              </w:rPr>
              <w:t>^7.3.1</w:t>
            </w:r>
          </w:p>
        </w:tc>
        <w:tc>
          <w:tcPr>
            <w:tcW w:type="dxa" w:w="2197"/>
            <w:shd w:fill="F5F7FA" w:val="clear"/>
          </w:tcPr>
          <w:p>
            <w:r/>
            <w:r>
              <w:rPr>
                <w:rFonts w:ascii="Calibri" w:hAnsi="Calibri"/>
                <w:sz w:val="19"/>
              </w:rPr>
              <w:t>Build rápido</w:t>
            </w:r>
          </w:p>
        </w:tc>
      </w:tr>
      <w:tr>
        <w:tc>
          <w:tcPr>
            <w:tcW w:type="dxa" w:w="2197"/>
          </w:tcPr>
          <w:p>
            <w:r/>
            <w:r>
              <w:rPr>
                <w:rFonts w:ascii="Calibri" w:hAnsi="Calibri"/>
                <w:sz w:val="19"/>
              </w:rPr>
              <w:t>PWA</w:t>
            </w:r>
          </w:p>
        </w:tc>
        <w:tc>
          <w:tcPr>
            <w:tcW w:type="dxa" w:w="2197"/>
          </w:tcPr>
          <w:p>
            <w:r/>
            <w:r>
              <w:rPr>
                <w:rFonts w:ascii="Calibri" w:hAnsi="Calibri"/>
                <w:sz w:val="19"/>
              </w:rPr>
              <w:t>vite-plugin-pwa</w:t>
            </w:r>
          </w:p>
        </w:tc>
        <w:tc>
          <w:tcPr>
            <w:tcW w:type="dxa" w:w="2197"/>
          </w:tcPr>
          <w:p>
            <w:r/>
            <w:r>
              <w:rPr>
                <w:rFonts w:ascii="Calibri" w:hAnsi="Calibri"/>
                <w:sz w:val="19"/>
              </w:rPr>
              <w:t>^1.3.0</w:t>
            </w:r>
          </w:p>
        </w:tc>
        <w:tc>
          <w:tcPr>
            <w:tcW w:type="dxa" w:w="2197"/>
          </w:tcPr>
          <w:p>
            <w:r/>
            <w:r>
              <w:rPr>
                <w:rFonts w:ascii="Calibri" w:hAnsi="Calibri"/>
                <w:sz w:val="19"/>
              </w:rPr>
              <w:t>Service Worker</w:t>
            </w:r>
          </w:p>
        </w:tc>
      </w:tr>
      <w:tr>
        <w:tc>
          <w:tcPr>
            <w:tcW w:type="dxa" w:w="2197"/>
            <w:shd w:fill="F5F7FA" w:val="clear"/>
          </w:tcPr>
          <w:p>
            <w:r/>
            <w:r>
              <w:rPr>
                <w:rFonts w:ascii="Calibri" w:hAnsi="Calibri"/>
                <w:sz w:val="19"/>
              </w:rPr>
              <w:t>Routing</w:t>
            </w:r>
          </w:p>
        </w:tc>
        <w:tc>
          <w:tcPr>
            <w:tcW w:type="dxa" w:w="2197"/>
            <w:shd w:fill="F5F7FA" w:val="clear"/>
          </w:tcPr>
          <w:p>
            <w:r/>
            <w:r>
              <w:rPr>
                <w:rFonts w:ascii="Calibri" w:hAnsi="Calibri"/>
                <w:sz w:val="19"/>
              </w:rPr>
              <w:t>React Router DOM</w:t>
            </w:r>
          </w:p>
        </w:tc>
        <w:tc>
          <w:tcPr>
            <w:tcW w:type="dxa" w:w="2197"/>
            <w:shd w:fill="F5F7FA" w:val="clear"/>
          </w:tcPr>
          <w:p>
            <w:r/>
            <w:r>
              <w:rPr>
                <w:rFonts w:ascii="Calibri" w:hAnsi="Calibri"/>
                <w:sz w:val="19"/>
              </w:rPr>
              <w:t>^7.13.1</w:t>
            </w:r>
          </w:p>
        </w:tc>
        <w:tc>
          <w:tcPr>
            <w:tcW w:type="dxa" w:w="2197"/>
            <w:shd w:fill="F5F7FA" w:val="clear"/>
          </w:tcPr>
          <w:p>
            <w:r/>
            <w:r>
              <w:rPr>
                <w:rFonts w:ascii="Calibri" w:hAnsi="Calibri"/>
                <w:sz w:val="19"/>
              </w:rPr>
              <w:t>Navegación SPA</w:t>
            </w:r>
          </w:p>
        </w:tc>
      </w:tr>
      <w:tr>
        <w:tc>
          <w:tcPr>
            <w:tcW w:type="dxa" w:w="2197"/>
          </w:tcPr>
          <w:p>
            <w:r/>
            <w:r>
              <w:rPr>
                <w:rFonts w:ascii="Calibri" w:hAnsi="Calibri"/>
                <w:sz w:val="19"/>
              </w:rPr>
              <w:t>Backend BD</w:t>
            </w:r>
          </w:p>
        </w:tc>
        <w:tc>
          <w:tcPr>
            <w:tcW w:type="dxa" w:w="2197"/>
          </w:tcPr>
          <w:p>
            <w:r/>
            <w:r>
              <w:rPr>
                <w:rFonts w:ascii="Calibri" w:hAnsi="Calibri"/>
                <w:sz w:val="19"/>
              </w:rPr>
              <w:t>Supabase</w:t>
            </w:r>
          </w:p>
        </w:tc>
        <w:tc>
          <w:tcPr>
            <w:tcW w:type="dxa" w:w="2197"/>
          </w:tcPr>
          <w:p>
            <w:r/>
            <w:r>
              <w:rPr>
                <w:rFonts w:ascii="Calibri" w:hAnsi="Calibri"/>
                <w:sz w:val="19"/>
              </w:rPr>
              <w:t>@supabase/supabase-js ^2.105.4</w:t>
            </w:r>
          </w:p>
        </w:tc>
        <w:tc>
          <w:tcPr>
            <w:tcW w:type="dxa" w:w="2197"/>
          </w:tcPr>
          <w:p>
            <w:r/>
            <w:r>
              <w:rPr>
                <w:rFonts w:ascii="Calibri" w:hAnsi="Calibri"/>
                <w:sz w:val="19"/>
              </w:rPr>
              <w:t>PostgreSQL + Auth</w:t>
            </w:r>
          </w:p>
        </w:tc>
      </w:tr>
      <w:tr>
        <w:tc>
          <w:tcPr>
            <w:tcW w:type="dxa" w:w="2197"/>
            <w:shd w:fill="F5F7FA" w:val="clear"/>
          </w:tcPr>
          <w:p>
            <w:r/>
            <w:r>
              <w:rPr>
                <w:rFonts w:ascii="Calibri" w:hAnsi="Calibri"/>
                <w:sz w:val="19"/>
              </w:rPr>
              <w:t>Auth</w:t>
            </w:r>
          </w:p>
        </w:tc>
        <w:tc>
          <w:tcPr>
            <w:tcW w:type="dxa" w:w="2197"/>
            <w:shd w:fill="F5F7FA" w:val="clear"/>
          </w:tcPr>
          <w:p>
            <w:r/>
            <w:r>
              <w:rPr>
                <w:rFonts w:ascii="Calibri" w:hAnsi="Calibri"/>
                <w:sz w:val="19"/>
              </w:rPr>
              <w:t>Supabase Auth</w:t>
            </w:r>
          </w:p>
        </w:tc>
        <w:tc>
          <w:tcPr>
            <w:tcW w:type="dxa" w:w="2197"/>
            <w:shd w:fill="F5F7FA" w:val="clear"/>
          </w:tcPr>
          <w:p>
            <w:r/>
            <w:r>
              <w:rPr>
                <w:rFonts w:ascii="Calibri" w:hAnsi="Calibri"/>
                <w:sz w:val="19"/>
              </w:rPr>
              <w:t>Google OAuth</w:t>
            </w:r>
          </w:p>
        </w:tc>
        <w:tc>
          <w:tcPr>
            <w:tcW w:type="dxa" w:w="2197"/>
            <w:shd w:fill="F5F7FA" w:val="clear"/>
          </w:tcPr>
          <w:p>
            <w:r/>
            <w:r>
              <w:rPr>
                <w:rFonts w:ascii="Calibri" w:hAnsi="Calibri"/>
                <w:sz w:val="19"/>
              </w:rPr>
              <w:t>Login + RLS</w:t>
            </w:r>
          </w:p>
        </w:tc>
      </w:tr>
      <w:tr>
        <w:tc>
          <w:tcPr>
            <w:tcW w:type="dxa" w:w="2197"/>
          </w:tcPr>
          <w:p>
            <w:r/>
            <w:r>
              <w:rPr>
                <w:rFonts w:ascii="Calibri" w:hAnsi="Calibri"/>
                <w:sz w:val="19"/>
              </w:rPr>
              <w:t>IA Provider</w:t>
            </w:r>
          </w:p>
        </w:tc>
        <w:tc>
          <w:tcPr>
            <w:tcW w:type="dxa" w:w="2197"/>
          </w:tcPr>
          <w:p>
            <w:r/>
            <w:r>
              <w:rPr>
                <w:rFonts w:ascii="Calibri" w:hAnsi="Calibri"/>
                <w:sz w:val="19"/>
              </w:rPr>
              <w:t>OpenRouter</w:t>
            </w:r>
          </w:p>
        </w:tc>
        <w:tc>
          <w:tcPr>
            <w:tcW w:type="dxa" w:w="2197"/>
          </w:tcPr>
          <w:p>
            <w:r/>
            <w:r>
              <w:rPr>
                <w:rFonts w:ascii="Calibri" w:hAnsi="Calibri"/>
                <w:sz w:val="19"/>
              </w:rPr>
              <w:t>Anthropic Claude</w:t>
            </w:r>
          </w:p>
        </w:tc>
        <w:tc>
          <w:tcPr>
            <w:tcW w:type="dxa" w:w="2197"/>
          </w:tcPr>
          <w:p>
            <w:r/>
            <w:r>
              <w:rPr>
                <w:rFonts w:ascii="Calibri" w:hAnsi="Calibri"/>
                <w:sz w:val="19"/>
              </w:rPr>
              <w:t>API /api/ai proxy</w:t>
            </w:r>
          </w:p>
        </w:tc>
      </w:tr>
      <w:tr>
        <w:tc>
          <w:tcPr>
            <w:tcW w:type="dxa" w:w="2197"/>
            <w:shd w:fill="F5F7FA" w:val="clear"/>
          </w:tcPr>
          <w:p>
            <w:r/>
            <w:r>
              <w:rPr>
                <w:rFonts w:ascii="Calibri" w:hAnsi="Calibri"/>
                <w:sz w:val="19"/>
              </w:rPr>
              <w:t>Animación</w:t>
            </w:r>
          </w:p>
        </w:tc>
        <w:tc>
          <w:tcPr>
            <w:tcW w:type="dxa" w:w="2197"/>
            <w:shd w:fill="F5F7FA" w:val="clear"/>
          </w:tcPr>
          <w:p>
            <w:r/>
            <w:r>
              <w:rPr>
                <w:rFonts w:ascii="Calibri" w:hAnsi="Calibri"/>
                <w:sz w:val="19"/>
              </w:rPr>
              <w:t>Framer Motion</w:t>
            </w:r>
          </w:p>
        </w:tc>
        <w:tc>
          <w:tcPr>
            <w:tcW w:type="dxa" w:w="2197"/>
            <w:shd w:fill="F5F7FA" w:val="clear"/>
          </w:tcPr>
          <w:p>
            <w:r/>
            <w:r>
              <w:rPr>
                <w:rFonts w:ascii="Calibri" w:hAnsi="Calibri"/>
                <w:sz w:val="19"/>
              </w:rPr>
              <w:t>^12.38.0</w:t>
            </w:r>
          </w:p>
        </w:tc>
        <w:tc>
          <w:tcPr>
            <w:tcW w:type="dxa" w:w="2197"/>
            <w:shd w:fill="F5F7FA" w:val="clear"/>
          </w:tcPr>
          <w:p>
            <w:r/>
            <w:r>
              <w:rPr>
                <w:rFonts w:ascii="Calibri" w:hAnsi="Calibri"/>
                <w:sz w:val="19"/>
              </w:rPr>
              <w:t>Transiciones</w:t>
            </w:r>
          </w:p>
        </w:tc>
      </w:tr>
      <w:tr>
        <w:tc>
          <w:tcPr>
            <w:tcW w:type="dxa" w:w="2197"/>
          </w:tcPr>
          <w:p>
            <w:r/>
            <w:r>
              <w:rPr>
                <w:rFonts w:ascii="Calibri" w:hAnsi="Calibri"/>
                <w:sz w:val="19"/>
              </w:rPr>
              <w:t>Gráficos</w:t>
            </w:r>
          </w:p>
        </w:tc>
        <w:tc>
          <w:tcPr>
            <w:tcW w:type="dxa" w:w="2197"/>
          </w:tcPr>
          <w:p>
            <w:r/>
            <w:r>
              <w:rPr>
                <w:rFonts w:ascii="Calibri" w:hAnsi="Calibri"/>
                <w:sz w:val="19"/>
              </w:rPr>
              <w:t>Recharts</w:t>
            </w:r>
          </w:p>
        </w:tc>
        <w:tc>
          <w:tcPr>
            <w:tcW w:type="dxa" w:w="2197"/>
          </w:tcPr>
          <w:p>
            <w:r/>
            <w:r>
              <w:rPr>
                <w:rFonts w:ascii="Calibri" w:hAnsi="Calibri"/>
                <w:sz w:val="19"/>
              </w:rPr>
              <w:t>^3.8.0</w:t>
            </w:r>
          </w:p>
        </w:tc>
        <w:tc>
          <w:tcPr>
            <w:tcW w:type="dxa" w:w="2197"/>
          </w:tcPr>
          <w:p>
            <w:r/>
            <w:r>
              <w:rPr>
                <w:rFonts w:ascii="Calibri" w:hAnsi="Calibri"/>
                <w:sz w:val="19"/>
              </w:rPr>
              <w:t>KPIs</w:t>
            </w:r>
          </w:p>
        </w:tc>
      </w:tr>
      <w:tr>
        <w:tc>
          <w:tcPr>
            <w:tcW w:type="dxa" w:w="2197"/>
            <w:shd w:fill="F5F7FA" w:val="clear"/>
          </w:tcPr>
          <w:p>
            <w:r/>
            <w:r>
              <w:rPr>
                <w:rFonts w:ascii="Calibri" w:hAnsi="Calibri"/>
                <w:sz w:val="19"/>
              </w:rPr>
              <w:t>PDF</w:t>
            </w:r>
          </w:p>
        </w:tc>
        <w:tc>
          <w:tcPr>
            <w:tcW w:type="dxa" w:w="2197"/>
            <w:shd w:fill="F5F7FA" w:val="clear"/>
          </w:tcPr>
          <w:p>
            <w:r/>
            <w:r>
              <w:rPr>
                <w:rFonts w:ascii="Calibri" w:hAnsi="Calibri"/>
                <w:sz w:val="19"/>
              </w:rPr>
              <w:t>jsPDF + html2canvas</w:t>
            </w:r>
          </w:p>
        </w:tc>
        <w:tc>
          <w:tcPr>
            <w:tcW w:type="dxa" w:w="2197"/>
            <w:shd w:fill="F5F7FA" w:val="clear"/>
          </w:tcPr>
          <w:p>
            <w:r/>
            <w:r>
              <w:rPr>
                <w:rFonts w:ascii="Calibri" w:hAnsi="Calibri"/>
                <w:sz w:val="19"/>
              </w:rPr>
              <w:t>^4.2.1 / ^1.4.1</w:t>
            </w:r>
          </w:p>
        </w:tc>
        <w:tc>
          <w:tcPr>
            <w:tcW w:type="dxa" w:w="2197"/>
            <w:shd w:fill="F5F7FA" w:val="clear"/>
          </w:tcPr>
          <w:p>
            <w:r/>
            <w:r>
              <w:rPr>
                <w:rFonts w:ascii="Calibri" w:hAnsi="Calibri"/>
                <w:sz w:val="19"/>
              </w:rPr>
              <w:t>Presupuestos</w:t>
            </w:r>
          </w:p>
        </w:tc>
      </w:tr>
      <w:tr>
        <w:tc>
          <w:tcPr>
            <w:tcW w:type="dxa" w:w="2197"/>
          </w:tcPr>
          <w:p>
            <w:r/>
            <w:r>
              <w:rPr>
                <w:rFonts w:ascii="Calibri" w:hAnsi="Calibri"/>
                <w:sz w:val="19"/>
              </w:rPr>
              <w:t>Scraping</w:t>
            </w:r>
          </w:p>
        </w:tc>
        <w:tc>
          <w:tcPr>
            <w:tcW w:type="dxa" w:w="2197"/>
          </w:tcPr>
          <w:p>
            <w:r/>
            <w:r>
              <w:rPr>
                <w:rFonts w:ascii="Calibri" w:hAnsi="Calibri"/>
                <w:sz w:val="19"/>
              </w:rPr>
              <w:t>Crawlee + Camoufox</w:t>
            </w:r>
          </w:p>
        </w:tc>
        <w:tc>
          <w:tcPr>
            <w:tcW w:type="dxa" w:w="2197"/>
          </w:tcPr>
          <w:p>
            <w:r/>
            <w:r>
              <w:rPr>
                <w:rFonts w:ascii="Calibri" w:hAnsi="Calibri"/>
                <w:sz w:val="19"/>
              </w:rPr>
              <w:t>-</w:t>
            </w:r>
          </w:p>
        </w:tc>
        <w:tc>
          <w:tcPr>
            <w:tcW w:type="dxa" w:w="2197"/>
          </w:tcPr>
          <w:p>
            <w:r/>
            <w:r>
              <w:rPr>
                <w:rFonts w:ascii="Calibri" w:hAnsi="Calibri"/>
                <w:sz w:val="19"/>
              </w:rPr>
              <w:t>Catálogo 400K</w:t>
            </w:r>
          </w:p>
        </w:tc>
      </w:tr>
      <w:tr>
        <w:tc>
          <w:tcPr>
            <w:tcW w:type="dxa" w:w="2197"/>
            <w:shd w:fill="F5F7FA" w:val="clear"/>
          </w:tcPr>
          <w:p>
            <w:r/>
            <w:r>
              <w:rPr>
                <w:rFonts w:ascii="Calibri" w:hAnsi="Calibri"/>
                <w:sz w:val="19"/>
              </w:rPr>
              <w:t>Tests unitarios</w:t>
            </w:r>
          </w:p>
        </w:tc>
        <w:tc>
          <w:tcPr>
            <w:tcW w:type="dxa" w:w="2197"/>
            <w:shd w:fill="F5F7FA" w:val="clear"/>
          </w:tcPr>
          <w:p>
            <w:r/>
            <w:r>
              <w:rPr>
                <w:rFonts w:ascii="Calibri" w:hAnsi="Calibri"/>
                <w:sz w:val="19"/>
              </w:rPr>
              <w:t>Vitest + Testing Library</w:t>
            </w:r>
          </w:p>
        </w:tc>
        <w:tc>
          <w:tcPr>
            <w:tcW w:type="dxa" w:w="2197"/>
            <w:shd w:fill="F5F7FA" w:val="clear"/>
          </w:tcPr>
          <w:p>
            <w:r/>
            <w:r>
              <w:rPr>
                <w:rFonts w:ascii="Calibri" w:hAnsi="Calibri"/>
                <w:sz w:val="19"/>
              </w:rPr>
              <w:t>^4.1.7 / ^16.3.2</w:t>
            </w:r>
          </w:p>
        </w:tc>
        <w:tc>
          <w:tcPr>
            <w:tcW w:type="dxa" w:w="2197"/>
            <w:shd w:fill="F5F7FA" w:val="clear"/>
          </w:tcPr>
          <w:p>
            <w:r/>
            <w:r>
              <w:rPr>
                <w:rFonts w:ascii="Calibri" w:hAnsi="Calibri"/>
                <w:sz w:val="19"/>
              </w:rPr>
              <w:t>Coverage</w:t>
            </w:r>
          </w:p>
        </w:tc>
      </w:tr>
      <w:tr>
        <w:tc>
          <w:tcPr>
            <w:tcW w:type="dxa" w:w="2197"/>
          </w:tcPr>
          <w:p>
            <w:r/>
            <w:r>
              <w:rPr>
                <w:rFonts w:ascii="Calibri" w:hAnsi="Calibri"/>
                <w:sz w:val="19"/>
              </w:rPr>
              <w:t>Tests E2E</w:t>
            </w:r>
          </w:p>
        </w:tc>
        <w:tc>
          <w:tcPr>
            <w:tcW w:type="dxa" w:w="2197"/>
          </w:tcPr>
          <w:p>
            <w:r/>
            <w:r>
              <w:rPr>
                <w:rFonts w:ascii="Calibri" w:hAnsi="Calibri"/>
                <w:sz w:val="19"/>
              </w:rPr>
              <w:t>Playwright</w:t>
            </w:r>
          </w:p>
        </w:tc>
        <w:tc>
          <w:tcPr>
            <w:tcW w:type="dxa" w:w="2197"/>
          </w:tcPr>
          <w:p>
            <w:r/>
            <w:r>
              <w:rPr>
                <w:rFonts w:ascii="Calibri" w:hAnsi="Calibri"/>
                <w:sz w:val="19"/>
              </w:rPr>
              <w:t>^1.60.0</w:t>
            </w:r>
          </w:p>
        </w:tc>
        <w:tc>
          <w:tcPr>
            <w:tcW w:type="dxa" w:w="2197"/>
          </w:tcPr>
          <w:p>
            <w:r/>
            <w:r>
              <w:rPr>
                <w:rFonts w:ascii="Calibri" w:hAnsi="Calibri"/>
                <w:sz w:val="19"/>
              </w:rPr>
              <w:t>Integración</w:t>
            </w:r>
          </w:p>
        </w:tc>
      </w:tr>
      <w:tr>
        <w:tc>
          <w:tcPr>
            <w:tcW w:type="dxa" w:w="2197"/>
            <w:shd w:fill="F5F7FA" w:val="clear"/>
          </w:tcPr>
          <w:p>
            <w:r/>
            <w:r>
              <w:rPr>
                <w:rFonts w:ascii="Calibri" w:hAnsi="Calibri"/>
                <w:sz w:val="19"/>
              </w:rPr>
              <w:t>Linting</w:t>
            </w:r>
          </w:p>
        </w:tc>
        <w:tc>
          <w:tcPr>
            <w:tcW w:type="dxa" w:w="2197"/>
            <w:shd w:fill="F5F7FA" w:val="clear"/>
          </w:tcPr>
          <w:p>
            <w:r/>
            <w:r>
              <w:rPr>
                <w:rFonts w:ascii="Calibri" w:hAnsi="Calibri"/>
                <w:sz w:val="19"/>
              </w:rPr>
              <w:t>ESLint (flat config)</w:t>
            </w:r>
          </w:p>
        </w:tc>
        <w:tc>
          <w:tcPr>
            <w:tcW w:type="dxa" w:w="2197"/>
            <w:shd w:fill="F5F7FA" w:val="clear"/>
          </w:tcPr>
          <w:p>
            <w:r/>
            <w:r>
              <w:rPr>
                <w:rFonts w:ascii="Calibri" w:hAnsi="Calibri"/>
                <w:sz w:val="19"/>
              </w:rPr>
              <w:t>^9.39.1</w:t>
            </w:r>
          </w:p>
        </w:tc>
        <w:tc>
          <w:tcPr>
            <w:tcW w:type="dxa" w:w="2197"/>
            <w:shd w:fill="F5F7FA" w:val="clear"/>
          </w:tcPr>
          <w:p>
            <w:r/>
            <w:r>
              <w:rPr>
                <w:rFonts w:ascii="Calibri" w:hAnsi="Calibri"/>
                <w:sz w:val="19"/>
              </w:rPr>
              <w:t>Calidad</w:t>
            </w:r>
          </w:p>
        </w:tc>
      </w:tr>
    </w:tbl>
    <w:p/>
    <w:p>
      <w:pPr>
        <w:pStyle w:val="Heading2"/>
      </w:pPr>
      <w:r>
        <w:rPr>
          <w:color w:val="004B8D"/>
        </w:rPr>
        <w:t>4.3 — Flujo de navegación (Fichas Técnicas)</w:t>
      </w:r>
    </w:p>
    <w:p>
      <w:pPr/>
      <w:r>
        <w:t>DIAGRAMA DE FLUJO:</w:t>
      </w:r>
    </w:p>
    <w:p>
      <w:pPr/>
      <w:r>
        <w:t>(Ver diagrama: /diagrams/flujo-navegacion-fichas.svg)</w:t>
      </w:r>
    </w:p>
    <w:p>
      <w:pPr/>
      <w:r>
        <w:t>Flujo paso a paso:</w:t>
      </w:r>
    </w:p>
    <w:p>
      <w:pPr>
        <w:pStyle w:val="ListBullet"/>
      </w:pPr>
      <w:r>
        <w:t>1. Usuario selecciona categoría (ej: POTENCIA)</w:t>
      </w:r>
    </w:p>
    <w:p>
      <w:pPr>
        <w:pStyle w:val="ListBullet"/>
      </w:pPr>
      <w:r>
        <w:t>2. React llama a getMarcasPorCategoria() → Supabase SQL: SELECT DISTINCT marca WHERE familia=$1</w:t>
      </w:r>
    </w:p>
    <w:p>
      <w:pPr>
        <w:pStyle w:val="ListBullet"/>
      </w:pPr>
      <w:r>
        <w:t>3. Usuario selecciona marca (ej: Schneider) → getGamasPorMarcaYCategoria()</w:t>
      </w:r>
    </w:p>
    <w:p>
      <w:pPr>
        <w:pStyle w:val="ListBullet"/>
      </w:pPr>
      <w:r>
        <w:t>4. Usuario selecciona gama (ej: Acti9) → getTiposPorGamaMarcaYFamilia()</w:t>
      </w:r>
    </w:p>
    <w:p>
      <w:pPr>
        <w:pStyle w:val="ListBullet"/>
      </w:pPr>
      <w:r>
        <w:t>5. Usuario selecciona tipo (ej: IC60N) → getProductos() con paginación 1000/página</w:t>
      </w:r>
    </w:p>
    <w:p>
      <w:pPr>
        <w:pStyle w:val="ListBullet"/>
      </w:pPr>
      <w:r>
        <w:t>6. Usuario clic en producto → navega a /fichas/:ref con ficha completa + PDF</w:t>
      </w:r>
    </w:p>
    <w:p>
      <w:pPr>
        <w:pStyle w:val="ListBullet"/>
      </w:pPr>
      <w:r>
        <w:rPr>
          <w:b/>
        </w:rPr>
        <w:t>7. Caché:</w:t>
      </w:r>
      <w:r>
        <w:t xml:space="preserve"> marcas se almacenan en memoria Map&lt;categoria, Brand[]&gt; con TTL 5 min</w:t>
      </w:r>
    </w:p>
    <w:p>
      <w:pPr>
        <w:pStyle w:val="Heading2"/>
      </w:pPr>
      <w:r>
        <w:rPr>
          <w:color w:val="004B8D"/>
        </w:rPr>
        <w:t>4.4 — Modelo de datos (PostgreSQL)</w:t>
      </w:r>
    </w:p>
    <w:p>
      <w:pPr>
        <w:pStyle w:val="Heading3"/>
      </w:pPr>
      <w:r>
        <w:rPr>
          <w:color w:val="004B8D"/>
        </w:rPr>
        <w:t>Tabla: products (400.000+ registros)</w:t>
      </w:r>
    </w:p>
    <w:p>
      <w:pPr/>
      <w:r>
        <w:t>Columnas: id (BIGSERIAL PK), ref_fabricante (TEXT INDEX), name (TEXT), marca (TEXT INDEX), familia (TEXT INDEX), subfamilia (TEXT INDEX), tipo (TEXT INDEX), Gama (TEXT INDEX), Subgama (TEXT INDEX), precio (NUMERIC), imagen (TEXT), pdf_url (TEXT), brand_id (INTEGER FK)</w:t>
      </w:r>
    </w:p>
    <w:p>
      <w:pPr/>
      <w:r>
        <w:t>Índices B-tree en: ref_fabricante, marca, familia, subfamilia, tipo, Gama, Subgama</w:t>
      </w:r>
    </w:p>
    <w:p>
      <w:pPr>
        <w:pStyle w:val="Heading3"/>
      </w:pPr>
      <w:r>
        <w:rPr>
          <w:color w:val="004B8D"/>
        </w:rPr>
        <w:t>Tabla: brands (38 marcas mapeadas)</w:t>
      </w:r>
    </w:p>
    <w:p>
      <w:pPr/>
      <w:r>
        <w:t>id (SERIAL PK), name (TEXT), website_url (TEXT). Logos en /logos/*.png con brandLogoService.js (178L)</w:t>
      </w:r>
    </w:p>
    <w:p>
      <w:pPr>
        <w:pStyle w:val="Heading3"/>
      </w:pPr>
      <w:r>
        <w:rPr>
          <w:color w:val="004B8D"/>
        </w:rPr>
        <w:t>Tabla: testimonios (públicos)</w:t>
      </w:r>
    </w:p>
    <w:p>
      <w:pPr/>
      <w:r>
        <w:t>RLS: SELECT público, INSERT público, UPDATE/DELETE solo autor. Columnas: id, user_id, nombre, email, texto, rating (CHECK 1-5), created_at</w:t>
      </w:r>
    </w:p>
    <w:p>
      <w:pPr>
        <w:pStyle w:val="Heading3"/>
      </w:pPr>
      <w:r>
        <w:rPr>
          <w:color w:val="004B8D"/>
        </w:rPr>
        <w:t>Tabla: user_data (clave-valor genérico)</w:t>
      </w:r>
    </w:p>
    <w:p>
      <w:pPr/>
      <w:r>
        <w:t>UNIQUE(user_id, module, key). RLS: solo propio usuario. Usado por: ThemeContext, memoria usuario, presupuestos guardados.</w:t>
      </w:r>
    </w:p>
    <w:p>
      <w:pPr>
        <w:pStyle w:val="Heading2"/>
      </w:pPr>
      <w:r>
        <w:rPr>
          <w:color w:val="004B8D"/>
        </w:rPr>
        <w:t>4.5 — Servicios backend</w:t>
      </w:r>
    </w:p>
    <w:p>
      <w:pPr>
        <w:spacing w:after="40"/>
      </w:pPr>
      <w:r>
        <w:rPr>
          <w:b/>
          <w:color w:val="666666"/>
          <w:sz w:val="18"/>
        </w:rPr>
        <w:t>Tabla 10.</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Servicio</w:t>
            </w:r>
          </w:p>
        </w:tc>
        <w:tc>
          <w:tcPr>
            <w:tcW w:type="dxa" w:w="2929"/>
            <w:shd w:fill="004B8D" w:val="clear"/>
          </w:tcPr>
          <w:p>
            <w:pPr>
              <w:jc w:val="center"/>
            </w:pPr>
            <w:r/>
            <w:r>
              <w:rPr>
                <w:rFonts w:ascii="Calibri" w:hAnsi="Calibri"/>
                <w:b/>
                <w:color w:val="FFFFFF"/>
                <w:sz w:val="20"/>
              </w:rPr>
              <w:t>Líneas</w:t>
            </w:r>
          </w:p>
        </w:tc>
        <w:tc>
          <w:tcPr>
            <w:tcW w:type="dxa" w:w="2929"/>
            <w:shd w:fill="004B8D" w:val="clear"/>
          </w:tcPr>
          <w:p>
            <w:pPr>
              <w:jc w:val="center"/>
            </w:pPr>
            <w:r/>
            <w:r>
              <w:rPr>
                <w:rFonts w:ascii="Calibri" w:hAnsi="Calibri"/>
                <w:b/>
                <w:color w:val="FFFFFF"/>
                <w:sz w:val="20"/>
              </w:rPr>
              <w:t>Funciones clave</w:t>
            </w:r>
          </w:p>
        </w:tc>
      </w:tr>
      <w:tr>
        <w:tc>
          <w:tcPr>
            <w:tcW w:type="dxa" w:w="2929"/>
            <w:shd w:fill="F5F7FA" w:val="clear"/>
          </w:tcPr>
          <w:p>
            <w:r/>
            <w:r>
              <w:rPr>
                <w:rFonts w:ascii="Calibri" w:hAnsi="Calibri"/>
                <w:sz w:val="19"/>
              </w:rPr>
              <w:t>catalogService.ts</w:t>
            </w:r>
          </w:p>
        </w:tc>
        <w:tc>
          <w:tcPr>
            <w:tcW w:type="dxa" w:w="2929"/>
            <w:shd w:fill="F5F7FA" w:val="clear"/>
          </w:tcPr>
          <w:p>
            <w:r/>
            <w:r>
              <w:rPr>
                <w:rFonts w:ascii="Calibri" w:hAnsi="Calibri"/>
                <w:sz w:val="19"/>
              </w:rPr>
              <w:t>626</w:t>
            </w:r>
          </w:p>
        </w:tc>
        <w:tc>
          <w:tcPr>
            <w:tcW w:type="dxa" w:w="2929"/>
            <w:shd w:fill="F5F7FA" w:val="clear"/>
          </w:tcPr>
          <w:p>
            <w:r/>
            <w:r>
              <w:rPr>
                <w:rFonts w:ascii="Calibri" w:hAnsi="Calibri"/>
                <w:sz w:val="19"/>
              </w:rPr>
              <w:t>getCategorias, getMarcasPorCategoria, getGamasPorMarcaYCategoria, getTiposPorGamaMarcaYFamilia, buscarProductos, getProductoPorRef</w:t>
            </w:r>
          </w:p>
        </w:tc>
      </w:tr>
      <w:tr>
        <w:tc>
          <w:tcPr>
            <w:tcW w:type="dxa" w:w="2929"/>
          </w:tcPr>
          <w:p>
            <w:r/>
            <w:r>
              <w:rPr>
                <w:rFonts w:ascii="Calibri" w:hAnsi="Calibri"/>
                <w:sz w:val="19"/>
              </w:rPr>
              <w:t>anthropicService.ts</w:t>
            </w:r>
          </w:p>
        </w:tc>
        <w:tc>
          <w:tcPr>
            <w:tcW w:type="dxa" w:w="2929"/>
          </w:tcPr>
          <w:p>
            <w:r/>
            <w:r>
              <w:rPr>
                <w:rFonts w:ascii="Calibri" w:hAnsi="Calibri"/>
                <w:sz w:val="19"/>
              </w:rPr>
              <w:t>195</w:t>
            </w:r>
          </w:p>
        </w:tc>
        <w:tc>
          <w:tcPr>
            <w:tcW w:type="dxa" w:w="2929"/>
          </w:tcPr>
          <w:p>
            <w:r/>
            <w:r>
              <w:rPr>
                <w:rFonts w:ascii="Calibri" w:hAnsi="Calibri"/>
                <w:sz w:val="19"/>
              </w:rPr>
              <w:t>callAnthropicAI (no-stream), callAnthropicAIStream (callbacks onChunk/onDone), rate limiting (20/min)</w:t>
            </w:r>
          </w:p>
        </w:tc>
      </w:tr>
      <w:tr>
        <w:tc>
          <w:tcPr>
            <w:tcW w:type="dxa" w:w="2929"/>
            <w:shd w:fill="F5F7FA" w:val="clear"/>
          </w:tcPr>
          <w:p>
            <w:r/>
            <w:r>
              <w:rPr>
                <w:rFonts w:ascii="Calibri" w:hAnsi="Calibri"/>
                <w:sz w:val="19"/>
              </w:rPr>
              <w:t>brandLogoService.js</w:t>
            </w:r>
          </w:p>
        </w:tc>
        <w:tc>
          <w:tcPr>
            <w:tcW w:type="dxa" w:w="2929"/>
            <w:shd w:fill="F5F7FA" w:val="clear"/>
          </w:tcPr>
          <w:p>
            <w:r/>
            <w:r>
              <w:rPr>
                <w:rFonts w:ascii="Calibri" w:hAnsi="Calibri"/>
                <w:sz w:val="19"/>
              </w:rPr>
              <w:t>178</w:t>
            </w:r>
          </w:p>
        </w:tc>
        <w:tc>
          <w:tcPr>
            <w:tcW w:type="dxa" w:w="2929"/>
            <w:shd w:fill="F5F7FA" w:val="clear"/>
          </w:tcPr>
          <w:p>
            <w:r/>
            <w:r>
              <w:rPr>
                <w:rFonts w:ascii="Calibri" w:hAnsi="Calibri"/>
                <w:sz w:val="19"/>
              </w:rPr>
              <w:t>38 logos mapeados, avatar generado con gradiente si no hay logo</w:t>
            </w:r>
          </w:p>
        </w:tc>
      </w:tr>
    </w:tbl>
    <w:p/>
    <w:p>
      <w:pPr>
        <w:pStyle w:val="Heading2"/>
      </w:pPr>
      <w:r>
        <w:rPr>
          <w:color w:val="004B8D"/>
        </w:rPr>
        <w:t>4.6 — Componentes React</w:t>
      </w:r>
    </w:p>
    <w:p>
      <w:pPr>
        <w:spacing w:after="40"/>
      </w:pPr>
      <w:r>
        <w:rPr>
          <w:b/>
          <w:color w:val="666666"/>
          <w:sz w:val="18"/>
        </w:rPr>
        <w:t>Tabla 11.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Categoría</w:t>
            </w:r>
          </w:p>
        </w:tc>
        <w:tc>
          <w:tcPr>
            <w:tcW w:type="dxa" w:w="2929"/>
            <w:shd w:fill="004B8D" w:val="clear"/>
          </w:tcPr>
          <w:p>
            <w:pPr>
              <w:jc w:val="center"/>
            </w:pPr>
            <w:r/>
            <w:r>
              <w:rPr>
                <w:rFonts w:ascii="Calibri" w:hAnsi="Calibri"/>
                <w:b/>
                <w:color w:val="FFFFFF"/>
                <w:sz w:val="20"/>
              </w:rPr>
              <w:t>Cantidad</w:t>
            </w:r>
          </w:p>
        </w:tc>
        <w:tc>
          <w:tcPr>
            <w:tcW w:type="dxa" w:w="2929"/>
            <w:shd w:fill="004B8D" w:val="clear"/>
          </w:tcPr>
          <w:p>
            <w:pPr>
              <w:jc w:val="center"/>
            </w:pPr>
            <w:r/>
            <w:r>
              <w:rPr>
                <w:rFonts w:ascii="Calibri" w:hAnsi="Calibri"/>
                <w:b/>
                <w:color w:val="FFFFFF"/>
                <w:sz w:val="20"/>
              </w:rPr>
              <w:t>Descripción</w:t>
            </w:r>
          </w:p>
        </w:tc>
      </w:tr>
      <w:tr>
        <w:tc>
          <w:tcPr>
            <w:tcW w:type="dxa" w:w="2929"/>
            <w:shd w:fill="F5F7FA" w:val="clear"/>
          </w:tcPr>
          <w:p>
            <w:r/>
            <w:r>
              <w:rPr>
                <w:rFonts w:ascii="Calibri" w:hAnsi="Calibri"/>
                <w:sz w:val="19"/>
              </w:rPr>
              <w:t>Herramientas</w:t>
            </w:r>
          </w:p>
        </w:tc>
        <w:tc>
          <w:tcPr>
            <w:tcW w:type="dxa" w:w="2929"/>
            <w:shd w:fill="F5F7FA" w:val="clear"/>
          </w:tcPr>
          <w:p>
            <w:r/>
            <w:r>
              <w:rPr>
                <w:rFonts w:ascii="Calibri" w:hAnsi="Calibri"/>
                <w:sz w:val="19"/>
              </w:rPr>
              <w:t>7</w:t>
            </w:r>
          </w:p>
        </w:tc>
        <w:tc>
          <w:tcPr>
            <w:tcW w:type="dxa" w:w="2929"/>
            <w:shd w:fill="F5F7FA" w:val="clear"/>
          </w:tcPr>
          <w:p>
            <w:r/>
            <w:r>
              <w:rPr>
                <w:rFonts w:ascii="Calibri" w:hAnsi="Calibri"/>
                <w:sz w:val="19"/>
              </w:rPr>
              <w:t>Fichas, SONEX, Presupuestos, KPI, Simulador, Incidencias, Formación</w:t>
            </w:r>
          </w:p>
        </w:tc>
      </w:tr>
      <w:tr>
        <w:tc>
          <w:tcPr>
            <w:tcW w:type="dxa" w:w="2929"/>
          </w:tcPr>
          <w:p>
            <w:r/>
            <w:r>
              <w:rPr>
                <w:rFonts w:ascii="Calibri" w:hAnsi="Calibri"/>
                <w:sz w:val="19"/>
              </w:rPr>
              <w:t>Hooks</w:t>
            </w:r>
          </w:p>
        </w:tc>
        <w:tc>
          <w:tcPr>
            <w:tcW w:type="dxa" w:w="2929"/>
          </w:tcPr>
          <w:p>
            <w:r/>
            <w:r>
              <w:rPr>
                <w:rFonts w:ascii="Calibri" w:hAnsi="Calibri"/>
                <w:sz w:val="19"/>
              </w:rPr>
              <w:t>13</w:t>
            </w:r>
          </w:p>
        </w:tc>
        <w:tc>
          <w:tcPr>
            <w:tcW w:type="dxa" w:w="2929"/>
          </w:tcPr>
          <w:p>
            <w:r/>
            <w:r>
              <w:rPr>
                <w:rFonts w:ascii="Calibri" w:hAnsi="Calibri"/>
                <w:sz w:val="19"/>
              </w:rPr>
              <w:t>useNavegacionFichas (715L), useProductTable (352L), useSonex (204L)...</w:t>
            </w:r>
          </w:p>
        </w:tc>
      </w:tr>
      <w:tr>
        <w:tc>
          <w:tcPr>
            <w:tcW w:type="dxa" w:w="2929"/>
            <w:shd w:fill="F5F7FA" w:val="clear"/>
          </w:tcPr>
          <w:p>
            <w:r/>
            <w:r>
              <w:rPr>
                <w:rFonts w:ascii="Calibri" w:hAnsi="Calibri"/>
                <w:sz w:val="19"/>
              </w:rPr>
              <w:t>Contextos</w:t>
            </w:r>
          </w:p>
        </w:tc>
        <w:tc>
          <w:tcPr>
            <w:tcW w:type="dxa" w:w="2929"/>
            <w:shd w:fill="F5F7FA" w:val="clear"/>
          </w:tcPr>
          <w:p>
            <w:r/>
            <w:r>
              <w:rPr>
                <w:rFonts w:ascii="Calibri" w:hAnsi="Calibri"/>
                <w:sz w:val="19"/>
              </w:rPr>
              <w:t>3</w:t>
            </w:r>
          </w:p>
        </w:tc>
        <w:tc>
          <w:tcPr>
            <w:tcW w:type="dxa" w:w="2929"/>
            <w:shd w:fill="F5F7FA" w:val="clear"/>
          </w:tcPr>
          <w:p>
            <w:r/>
            <w:r>
              <w:rPr>
                <w:rFonts w:ascii="Calibri" w:hAnsi="Calibri"/>
                <w:sz w:val="19"/>
              </w:rPr>
              <w:t>AuthContext, ThemeContext, ToastContext</w:t>
            </w:r>
          </w:p>
        </w:tc>
      </w:tr>
      <w:tr>
        <w:tc>
          <w:tcPr>
            <w:tcW w:type="dxa" w:w="2929"/>
          </w:tcPr>
          <w:p>
            <w:r/>
            <w:r>
              <w:rPr>
                <w:rFonts w:ascii="Calibri" w:hAnsi="Calibri"/>
                <w:sz w:val="19"/>
              </w:rPr>
              <w:t>Componentes UI</w:t>
            </w:r>
          </w:p>
        </w:tc>
        <w:tc>
          <w:tcPr>
            <w:tcW w:type="dxa" w:w="2929"/>
          </w:tcPr>
          <w:p>
            <w:r/>
            <w:r>
              <w:rPr>
                <w:rFonts w:ascii="Calibri" w:hAnsi="Calibri"/>
                <w:sz w:val="19"/>
              </w:rPr>
              <w:t>64</w:t>
            </w:r>
          </w:p>
        </w:tc>
        <w:tc>
          <w:tcPr>
            <w:tcW w:type="dxa" w:w="2929"/>
          </w:tcPr>
          <w:p>
            <w:r/>
            <w:r>
              <w:rPr>
                <w:rFonts w:ascii="Calibri" w:hAnsi="Calibri"/>
                <w:sz w:val="19"/>
              </w:rPr>
              <w:t>Reutilizables: tarjetas, tabs, modales, formularios</w:t>
            </w:r>
          </w:p>
        </w:tc>
      </w:tr>
      <w:tr>
        <w:tc>
          <w:tcPr>
            <w:tcW w:type="dxa" w:w="2929"/>
            <w:shd w:fill="F5F7FA" w:val="clear"/>
          </w:tcPr>
          <w:p>
            <w:r/>
            <w:r>
              <w:rPr>
                <w:rFonts w:ascii="Calibri" w:hAnsi="Calibri"/>
                <w:sz w:val="19"/>
              </w:rPr>
              <w:t>Servicios</w:t>
            </w:r>
          </w:p>
        </w:tc>
        <w:tc>
          <w:tcPr>
            <w:tcW w:type="dxa" w:w="2929"/>
            <w:shd w:fill="F5F7FA" w:val="clear"/>
          </w:tcPr>
          <w:p>
            <w:r/>
            <w:r>
              <w:rPr>
                <w:rFonts w:ascii="Calibri" w:hAnsi="Calibri"/>
                <w:sz w:val="19"/>
              </w:rPr>
              <w:t>3</w:t>
            </w:r>
          </w:p>
        </w:tc>
        <w:tc>
          <w:tcPr>
            <w:tcW w:type="dxa" w:w="2929"/>
            <w:shd w:fill="F5F7FA" w:val="clear"/>
          </w:tcPr>
          <w:p>
            <w:r/>
            <w:r>
              <w:rPr>
                <w:rFonts w:ascii="Calibri" w:hAnsi="Calibri"/>
                <w:sz w:val="19"/>
              </w:rPr>
              <w:t>catalogService, anthropicService, brandLogoService</w:t>
            </w:r>
          </w:p>
        </w:tc>
      </w:tr>
    </w:tbl>
    <w:p/>
    <w:p>
      <w:pPr>
        <w:pStyle w:val="Heading2"/>
      </w:pPr>
      <w:r>
        <w:rPr>
          <w:color w:val="004B8D"/>
        </w:rPr>
        <w:t>4.7 — Estrategia de bundles (code-splitting)</w:t>
      </w:r>
    </w:p>
    <w:p>
      <w:pPr>
        <w:spacing w:after="40"/>
      </w:pPr>
      <w:r>
        <w:rPr>
          <w:b/>
          <w:color w:val="666666"/>
          <w:sz w:val="18"/>
        </w:rPr>
        <w:t>Tabla 12.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Chunk</w:t>
            </w:r>
          </w:p>
        </w:tc>
        <w:tc>
          <w:tcPr>
            <w:tcW w:type="dxa" w:w="2929"/>
            <w:shd w:fill="004B8D" w:val="clear"/>
          </w:tcPr>
          <w:p>
            <w:pPr>
              <w:jc w:val="center"/>
            </w:pPr>
            <w:r/>
            <w:r>
              <w:rPr>
                <w:rFonts w:ascii="Calibri" w:hAnsi="Calibri"/>
                <w:b/>
                <w:color w:val="FFFFFF"/>
                <w:sz w:val="20"/>
              </w:rPr>
              <w:t>Tamaño (gzip)</w:t>
            </w:r>
          </w:p>
        </w:tc>
        <w:tc>
          <w:tcPr>
            <w:tcW w:type="dxa" w:w="2929"/>
            <w:shd w:fill="004B8D" w:val="clear"/>
          </w:tcPr>
          <w:p>
            <w:pPr>
              <w:jc w:val="center"/>
            </w:pPr>
            <w:r/>
            <w:r>
              <w:rPr>
                <w:rFonts w:ascii="Calibri" w:hAnsi="Calibri"/>
                <w:b/>
                <w:color w:val="FFFFFF"/>
                <w:sz w:val="20"/>
              </w:rPr>
              <w:t>Carga</w:t>
            </w:r>
          </w:p>
        </w:tc>
      </w:tr>
      <w:tr>
        <w:tc>
          <w:tcPr>
            <w:tcW w:type="dxa" w:w="2929"/>
            <w:shd w:fill="F5F7FA" w:val="clear"/>
          </w:tcPr>
          <w:p>
            <w:r/>
            <w:r>
              <w:rPr>
                <w:rFonts w:ascii="Calibri" w:hAnsi="Calibri"/>
                <w:sz w:val="19"/>
              </w:rPr>
              <w:t>vendor-react</w:t>
            </w:r>
          </w:p>
        </w:tc>
        <w:tc>
          <w:tcPr>
            <w:tcW w:type="dxa" w:w="2929"/>
            <w:shd w:fill="F5F7FA" w:val="clear"/>
          </w:tcPr>
          <w:p>
            <w:r/>
            <w:r>
              <w:rPr>
                <w:rFonts w:ascii="Calibri" w:hAnsi="Calibri"/>
                <w:sz w:val="19"/>
              </w:rPr>
              <w:t>73.71 KB</w:t>
            </w:r>
          </w:p>
        </w:tc>
        <w:tc>
          <w:tcPr>
            <w:tcW w:type="dxa" w:w="2929"/>
            <w:shd w:fill="F5F7FA" w:val="clear"/>
          </w:tcPr>
          <w:p>
            <w:r/>
            <w:r>
              <w:rPr>
                <w:rFonts w:ascii="Calibri" w:hAnsi="Calibri"/>
                <w:sz w:val="19"/>
              </w:rPr>
              <w:t>Inmediata</w:t>
            </w:r>
          </w:p>
        </w:tc>
      </w:tr>
      <w:tr>
        <w:tc>
          <w:tcPr>
            <w:tcW w:type="dxa" w:w="2929"/>
          </w:tcPr>
          <w:p>
            <w:r/>
            <w:r>
              <w:rPr>
                <w:rFonts w:ascii="Calibri" w:hAnsi="Calibri"/>
                <w:sz w:val="19"/>
              </w:rPr>
              <w:t>vendor-animations</w:t>
            </w:r>
          </w:p>
        </w:tc>
        <w:tc>
          <w:tcPr>
            <w:tcW w:type="dxa" w:w="2929"/>
          </w:tcPr>
          <w:p>
            <w:r/>
            <w:r>
              <w:rPr>
                <w:rFonts w:ascii="Calibri" w:hAnsi="Calibri"/>
                <w:sz w:val="19"/>
              </w:rPr>
              <w:t>43.59 KB</w:t>
            </w:r>
          </w:p>
        </w:tc>
        <w:tc>
          <w:tcPr>
            <w:tcW w:type="dxa" w:w="2929"/>
          </w:tcPr>
          <w:p>
            <w:r/>
            <w:r>
              <w:rPr>
                <w:rFonts w:ascii="Calibri" w:hAnsi="Calibri"/>
                <w:sz w:val="19"/>
              </w:rPr>
              <w:t>Inmediata</w:t>
            </w:r>
          </w:p>
        </w:tc>
      </w:tr>
      <w:tr>
        <w:tc>
          <w:tcPr>
            <w:tcW w:type="dxa" w:w="2929"/>
            <w:shd w:fill="F5F7FA" w:val="clear"/>
          </w:tcPr>
          <w:p>
            <w:r/>
            <w:r>
              <w:rPr>
                <w:rFonts w:ascii="Calibri" w:hAnsi="Calibri"/>
                <w:sz w:val="19"/>
              </w:rPr>
              <w:t>vendor-charts</w:t>
            </w:r>
          </w:p>
        </w:tc>
        <w:tc>
          <w:tcPr>
            <w:tcW w:type="dxa" w:w="2929"/>
            <w:shd w:fill="F5F7FA" w:val="clear"/>
          </w:tcPr>
          <w:p>
            <w:r/>
            <w:r>
              <w:rPr>
                <w:rFonts w:ascii="Calibri" w:hAnsi="Calibri"/>
                <w:sz w:val="19"/>
              </w:rPr>
              <w:t>103.87 KB</w:t>
            </w:r>
          </w:p>
        </w:tc>
        <w:tc>
          <w:tcPr>
            <w:tcW w:type="dxa" w:w="2929"/>
            <w:shd w:fill="F5F7FA" w:val="clear"/>
          </w:tcPr>
          <w:p>
            <w:r/>
            <w:r>
              <w:rPr>
                <w:rFonts w:ascii="Calibri" w:hAnsi="Calibri"/>
                <w:sz w:val="19"/>
              </w:rPr>
              <w:t>Inmediata</w:t>
            </w:r>
          </w:p>
        </w:tc>
      </w:tr>
      <w:tr>
        <w:tc>
          <w:tcPr>
            <w:tcW w:type="dxa" w:w="2929"/>
          </w:tcPr>
          <w:p>
            <w:r/>
            <w:r>
              <w:rPr>
                <w:rFonts w:ascii="Calibri" w:hAnsi="Calibri"/>
                <w:sz w:val="19"/>
              </w:rPr>
              <w:t>vendor-icons</w:t>
            </w:r>
          </w:p>
        </w:tc>
        <w:tc>
          <w:tcPr>
            <w:tcW w:type="dxa" w:w="2929"/>
          </w:tcPr>
          <w:p>
            <w:r/>
            <w:r>
              <w:rPr>
                <w:rFonts w:ascii="Calibri" w:hAnsi="Calibri"/>
                <w:sz w:val="19"/>
              </w:rPr>
              <w:t>4.89 KB</w:t>
            </w:r>
          </w:p>
        </w:tc>
        <w:tc>
          <w:tcPr>
            <w:tcW w:type="dxa" w:w="2929"/>
          </w:tcPr>
          <w:p>
            <w:r/>
            <w:r>
              <w:rPr>
                <w:rFonts w:ascii="Calibri" w:hAnsi="Calibri"/>
                <w:sz w:val="19"/>
              </w:rPr>
              <w:t>Inmediata</w:t>
            </w:r>
          </w:p>
        </w:tc>
      </w:tr>
      <w:tr>
        <w:tc>
          <w:tcPr>
            <w:tcW w:type="dxa" w:w="2929"/>
            <w:shd w:fill="F5F7FA" w:val="clear"/>
          </w:tcPr>
          <w:p>
            <w:r/>
            <w:r>
              <w:rPr>
                <w:rFonts w:ascii="Calibri" w:hAnsi="Calibri"/>
                <w:sz w:val="19"/>
              </w:rPr>
              <w:t>vendor-pdf</w:t>
            </w:r>
          </w:p>
        </w:tc>
        <w:tc>
          <w:tcPr>
            <w:tcW w:type="dxa" w:w="2929"/>
            <w:shd w:fill="F5F7FA" w:val="clear"/>
          </w:tcPr>
          <w:p>
            <w:r/>
            <w:r>
              <w:rPr>
                <w:rFonts w:ascii="Calibri" w:hAnsi="Calibri"/>
                <w:sz w:val="19"/>
              </w:rPr>
              <w:t>174.44 KB</w:t>
            </w:r>
          </w:p>
        </w:tc>
        <w:tc>
          <w:tcPr>
            <w:tcW w:type="dxa" w:w="2929"/>
            <w:shd w:fill="F5F7FA" w:val="clear"/>
          </w:tcPr>
          <w:p>
            <w:r/>
            <w:r>
              <w:rPr>
                <w:rFonts w:ascii="Calibri" w:hAnsi="Calibri"/>
                <w:sz w:val="19"/>
              </w:rPr>
              <w:t>Lazy (solo presupuestos)</w:t>
            </w:r>
          </w:p>
        </w:tc>
      </w:tr>
      <w:tr>
        <w:tc>
          <w:tcPr>
            <w:tcW w:type="dxa" w:w="2929"/>
          </w:tcPr>
          <w:p>
            <w:r/>
            <w:r>
              <w:rPr>
                <w:rFonts w:ascii="Calibri" w:hAnsi="Calibri"/>
                <w:sz w:val="19"/>
              </w:rPr>
              <w:t>FichasTecnicas (lazy)</w:t>
            </w:r>
          </w:p>
        </w:tc>
        <w:tc>
          <w:tcPr>
            <w:tcW w:type="dxa" w:w="2929"/>
          </w:tcPr>
          <w:p>
            <w:r/>
            <w:r>
              <w:rPr>
                <w:rFonts w:ascii="Calibri" w:hAnsi="Calibri"/>
                <w:sz w:val="19"/>
              </w:rPr>
              <w:t>19.23 KB</w:t>
            </w:r>
          </w:p>
        </w:tc>
        <w:tc>
          <w:tcPr>
            <w:tcW w:type="dxa" w:w="2929"/>
          </w:tcPr>
          <w:p>
            <w:r/>
            <w:r>
              <w:rPr>
                <w:rFonts w:ascii="Calibri" w:hAnsi="Calibri"/>
                <w:sz w:val="19"/>
              </w:rPr>
              <w:t>A demanda</w:t>
            </w:r>
          </w:p>
        </w:tc>
      </w:tr>
      <w:tr>
        <w:tc>
          <w:tcPr>
            <w:tcW w:type="dxa" w:w="2929"/>
            <w:shd w:fill="F5F7FA" w:val="clear"/>
          </w:tcPr>
          <w:p>
            <w:r/>
            <w:r>
              <w:rPr>
                <w:rFonts w:ascii="Calibri" w:hAnsi="Calibri"/>
                <w:sz w:val="19"/>
              </w:rPr>
              <w:t>Sonex (lazy)</w:t>
            </w:r>
          </w:p>
        </w:tc>
        <w:tc>
          <w:tcPr>
            <w:tcW w:type="dxa" w:w="2929"/>
            <w:shd w:fill="F5F7FA" w:val="clear"/>
          </w:tcPr>
          <w:p>
            <w:r/>
            <w:r>
              <w:rPr>
                <w:rFonts w:ascii="Calibri" w:hAnsi="Calibri"/>
                <w:sz w:val="19"/>
              </w:rPr>
              <w:t>6.24 KB</w:t>
            </w:r>
          </w:p>
        </w:tc>
        <w:tc>
          <w:tcPr>
            <w:tcW w:type="dxa" w:w="2929"/>
            <w:shd w:fill="F5F7FA" w:val="clear"/>
          </w:tcPr>
          <w:p>
            <w:r/>
            <w:r>
              <w:rPr>
                <w:rFonts w:ascii="Calibri" w:hAnsi="Calibri"/>
                <w:sz w:val="19"/>
              </w:rPr>
              <w:t>A demanda</w:t>
            </w:r>
          </w:p>
        </w:tc>
      </w:tr>
    </w:tbl>
    <w:p/>
    <w:p>
      <w:pPr/>
      <w:r>
        <w:t>Build total: 9.7s, 69 entradas PWA precacheadas, 3.455 KB totales en dist/</w:t>
      </w:r>
    </w:p>
    <w:p>
      <w:pPr>
        <w:pStyle w:val="Heading2"/>
      </w:pPr>
      <w:r>
        <w:rPr>
          <w:color w:val="004B8D"/>
        </w:rPr>
        <w:t>4.8 — PWA (Progressive Web App)</w:t>
      </w:r>
    </w:p>
    <w:p>
      <w:pPr>
        <w:spacing w:after="40"/>
      </w:pPr>
      <w:r>
        <w:rPr>
          <w:b/>
          <w:color w:val="666666"/>
          <w:sz w:val="18"/>
        </w:rPr>
        <w:t>Tabla 13.</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Propiedad</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Register type</w:t>
            </w:r>
          </w:p>
        </w:tc>
        <w:tc>
          <w:tcPr>
            <w:tcW w:type="dxa" w:w="4394"/>
            <w:shd w:fill="F5F7FA" w:val="clear"/>
          </w:tcPr>
          <w:p>
            <w:r/>
            <w:r>
              <w:rPr>
                <w:rFonts w:ascii="Calibri" w:hAnsi="Calibri"/>
                <w:sz w:val="19"/>
              </w:rPr>
              <w:t>autoUpdate</w:t>
            </w:r>
          </w:p>
        </w:tc>
      </w:tr>
      <w:tr>
        <w:tc>
          <w:tcPr>
            <w:tcW w:type="dxa" w:w="4394"/>
          </w:tcPr>
          <w:p>
            <w:r/>
            <w:r>
              <w:rPr>
                <w:rFonts w:ascii="Calibri" w:hAnsi="Calibri"/>
                <w:sz w:val="19"/>
              </w:rPr>
              <w:t>Display</w:t>
            </w:r>
          </w:p>
        </w:tc>
        <w:tc>
          <w:tcPr>
            <w:tcW w:type="dxa" w:w="4394"/>
          </w:tcPr>
          <w:p>
            <w:r/>
            <w:r>
              <w:rPr>
                <w:rFonts w:ascii="Calibri" w:hAnsi="Calibri"/>
                <w:sz w:val="19"/>
              </w:rPr>
              <w:t>standalone</w:t>
            </w:r>
          </w:p>
        </w:tc>
      </w:tr>
      <w:tr>
        <w:tc>
          <w:tcPr>
            <w:tcW w:type="dxa" w:w="4394"/>
            <w:shd w:fill="F5F7FA" w:val="clear"/>
          </w:tcPr>
          <w:p>
            <w:r/>
            <w:r>
              <w:rPr>
                <w:rFonts w:ascii="Calibri" w:hAnsi="Calibri"/>
                <w:sz w:val="19"/>
              </w:rPr>
              <w:t>Theme color</w:t>
            </w:r>
          </w:p>
        </w:tc>
        <w:tc>
          <w:tcPr>
            <w:tcW w:type="dxa" w:w="4394"/>
            <w:shd w:fill="F5F7FA" w:val="clear"/>
          </w:tcPr>
          <w:p>
            <w:r/>
            <w:r>
              <w:rPr>
                <w:rFonts w:ascii="Calibri" w:hAnsi="Calibri"/>
                <w:sz w:val="19"/>
              </w:rPr>
              <w:t>#0072CE</w:t>
            </w:r>
          </w:p>
        </w:tc>
      </w:tr>
      <w:tr>
        <w:tc>
          <w:tcPr>
            <w:tcW w:type="dxa" w:w="4394"/>
          </w:tcPr>
          <w:p>
            <w:r/>
            <w:r>
              <w:rPr>
                <w:rFonts w:ascii="Calibri" w:hAnsi="Calibri"/>
                <w:sz w:val="19"/>
              </w:rPr>
              <w:t>Service Worker</w:t>
            </w:r>
          </w:p>
        </w:tc>
        <w:tc>
          <w:tcPr>
            <w:tcW w:type="dxa" w:w="4394"/>
          </w:tcPr>
          <w:p>
            <w:r/>
            <w:r>
              <w:rPr>
                <w:rFonts w:ascii="Calibri" w:hAnsi="Calibri"/>
                <w:sz w:val="19"/>
              </w:rPr>
              <w:t>Workbox con globPatterns</w:t>
            </w:r>
          </w:p>
        </w:tc>
      </w:tr>
      <w:tr>
        <w:tc>
          <w:tcPr>
            <w:tcW w:type="dxa" w:w="4394"/>
            <w:shd w:fill="F5F7FA" w:val="clear"/>
          </w:tcPr>
          <w:p>
            <w:r/>
            <w:r>
              <w:rPr>
                <w:rFonts w:ascii="Calibri" w:hAnsi="Calibri"/>
                <w:sz w:val="19"/>
              </w:rPr>
              <w:t>Precache</w:t>
            </w:r>
          </w:p>
        </w:tc>
        <w:tc>
          <w:tcPr>
            <w:tcW w:type="dxa" w:w="4394"/>
            <w:shd w:fill="F5F7FA" w:val="clear"/>
          </w:tcPr>
          <w:p>
            <w:r/>
            <w:r>
              <w:rPr>
                <w:rFonts w:ascii="Calibri" w:hAnsi="Calibri"/>
                <w:sz w:val="19"/>
              </w:rPr>
              <w:t>69 archivos (3455 KB)</w:t>
            </w:r>
          </w:p>
        </w:tc>
      </w:tr>
      <w:tr>
        <w:tc>
          <w:tcPr>
            <w:tcW w:type="dxa" w:w="4394"/>
          </w:tcPr>
          <w:p>
            <w:r/>
            <w:r>
              <w:rPr>
                <w:rFonts w:ascii="Calibri" w:hAnsi="Calibri"/>
                <w:sz w:val="19"/>
              </w:rPr>
              <w:t>Runtime caching</w:t>
            </w:r>
          </w:p>
        </w:tc>
        <w:tc>
          <w:tcPr>
            <w:tcW w:type="dxa" w:w="4394"/>
          </w:tcPr>
          <w:p>
            <w:r/>
            <w:r>
              <w:rPr>
                <w:rFonts w:ascii="Calibri" w:hAnsi="Calibri"/>
                <w:sz w:val="19"/>
              </w:rPr>
              <w:t>Google Fonts CacheFirst (1 año)</w:t>
            </w:r>
          </w:p>
        </w:tc>
      </w:tr>
      <w:tr>
        <w:tc>
          <w:tcPr>
            <w:tcW w:type="dxa" w:w="4394"/>
            <w:shd w:fill="F5F7FA" w:val="clear"/>
          </w:tcPr>
          <w:p>
            <w:r/>
            <w:r>
              <w:rPr>
                <w:rFonts w:ascii="Calibri" w:hAnsi="Calibri"/>
                <w:sz w:val="19"/>
              </w:rPr>
              <w:t>Icons</w:t>
            </w:r>
          </w:p>
        </w:tc>
        <w:tc>
          <w:tcPr>
            <w:tcW w:type="dxa" w:w="4394"/>
            <w:shd w:fill="F5F7FA" w:val="clear"/>
          </w:tcPr>
          <w:p>
            <w:r/>
            <w:r>
              <w:rPr>
                <w:rFonts w:ascii="Calibri" w:hAnsi="Calibri"/>
                <w:sz w:val="19"/>
              </w:rPr>
              <w:t>SVG 192x192 y 512x512</w:t>
            </w:r>
          </w:p>
        </w:tc>
      </w:tr>
    </w:tbl>
    <w:p/>
    <w:p>
      <w:pPr>
        <w:pStyle w:val="Heading2"/>
      </w:pPr>
      <w:r>
        <w:rPr>
          <w:color w:val="004B8D"/>
        </w:rPr>
        <w:t>4.9 — Diseño UI/UX y sistema de color</w:t>
      </w:r>
    </w:p>
    <w:p>
      <w:pPr>
        <w:spacing w:after="40"/>
      </w:pPr>
      <w:r>
        <w:rPr>
          <w:b/>
          <w:color w:val="666666"/>
          <w:sz w:val="18"/>
        </w:rPr>
        <w:t>Tabla 14.</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Variable</w:t>
            </w:r>
          </w:p>
        </w:tc>
        <w:tc>
          <w:tcPr>
            <w:tcW w:type="dxa" w:w="2929"/>
            <w:shd w:fill="004B8D" w:val="clear"/>
          </w:tcPr>
          <w:p>
            <w:pPr>
              <w:jc w:val="center"/>
            </w:pPr>
            <w:r/>
            <w:r>
              <w:rPr>
                <w:rFonts w:ascii="Calibri" w:hAnsi="Calibri"/>
                <w:b/>
                <w:color w:val="FFFFFF"/>
                <w:sz w:val="20"/>
              </w:rPr>
              <w:t>Valor</w:t>
            </w:r>
          </w:p>
        </w:tc>
        <w:tc>
          <w:tcPr>
            <w:tcW w:type="dxa" w:w="2929"/>
            <w:shd w:fill="004B8D" w:val="clear"/>
          </w:tcPr>
          <w:p>
            <w:pPr>
              <w:jc w:val="center"/>
            </w:pPr>
            <w:r/>
            <w:r>
              <w:rPr>
                <w:rFonts w:ascii="Calibri" w:hAnsi="Calibri"/>
                <w:b/>
                <w:color w:val="FFFFFF"/>
                <w:sz w:val="20"/>
              </w:rPr>
              <w:t>Uso</w:t>
            </w:r>
          </w:p>
        </w:tc>
      </w:tr>
      <w:tr>
        <w:tc>
          <w:tcPr>
            <w:tcW w:type="dxa" w:w="2929"/>
            <w:shd w:fill="F5F7FA" w:val="clear"/>
          </w:tcPr>
          <w:p>
            <w:r/>
            <w:r>
              <w:rPr>
                <w:rFonts w:ascii="Calibri" w:hAnsi="Calibri"/>
                <w:sz w:val="19"/>
              </w:rPr>
              <w:t>--color-primary</w:t>
            </w:r>
          </w:p>
        </w:tc>
        <w:tc>
          <w:tcPr>
            <w:tcW w:type="dxa" w:w="2929"/>
            <w:shd w:fill="F5F7FA" w:val="clear"/>
          </w:tcPr>
          <w:p>
            <w:r/>
            <w:r>
              <w:rPr>
                <w:rFonts w:ascii="Calibri" w:hAnsi="Calibri"/>
                <w:sz w:val="19"/>
              </w:rPr>
              <w:t>#004B8D</w:t>
            </w:r>
          </w:p>
        </w:tc>
        <w:tc>
          <w:tcPr>
            <w:tcW w:type="dxa" w:w="2929"/>
            <w:shd w:fill="F5F7FA" w:val="clear"/>
          </w:tcPr>
          <w:p>
            <w:r/>
            <w:r>
              <w:rPr>
                <w:rFonts w:ascii="Calibri" w:hAnsi="Calibri"/>
                <w:sz w:val="19"/>
              </w:rPr>
              <w:t>Botones, links, headings</w:t>
            </w:r>
          </w:p>
        </w:tc>
      </w:tr>
      <w:tr>
        <w:tc>
          <w:tcPr>
            <w:tcW w:type="dxa" w:w="2929"/>
          </w:tcPr>
          <w:p>
            <w:r/>
            <w:r>
              <w:rPr>
                <w:rFonts w:ascii="Calibri" w:hAnsi="Calibri"/>
                <w:sz w:val="19"/>
              </w:rPr>
              <w:t>--color-primary-light</w:t>
            </w:r>
          </w:p>
        </w:tc>
        <w:tc>
          <w:tcPr>
            <w:tcW w:type="dxa" w:w="2929"/>
          </w:tcPr>
          <w:p>
            <w:r/>
            <w:r>
              <w:rPr>
                <w:rFonts w:ascii="Calibri" w:hAnsi="Calibri"/>
                <w:sz w:val="19"/>
              </w:rPr>
              <w:t>#4A90D9</w:t>
            </w:r>
          </w:p>
        </w:tc>
        <w:tc>
          <w:tcPr>
            <w:tcW w:type="dxa" w:w="2929"/>
          </w:tcPr>
          <w:p>
            <w:r/>
            <w:r>
              <w:rPr>
                <w:rFonts w:ascii="Calibri" w:hAnsi="Calibri"/>
                <w:sz w:val="19"/>
              </w:rPr>
              <w:t>Hover, acentos</w:t>
            </w:r>
          </w:p>
        </w:tc>
      </w:tr>
      <w:tr>
        <w:tc>
          <w:tcPr>
            <w:tcW w:type="dxa" w:w="2929"/>
            <w:shd w:fill="F5F7FA" w:val="clear"/>
          </w:tcPr>
          <w:p>
            <w:r/>
            <w:r>
              <w:rPr>
                <w:rFonts w:ascii="Calibri" w:hAnsi="Calibri"/>
                <w:sz w:val="19"/>
              </w:rPr>
              <w:t>--color-success</w:t>
            </w:r>
          </w:p>
        </w:tc>
        <w:tc>
          <w:tcPr>
            <w:tcW w:type="dxa" w:w="2929"/>
            <w:shd w:fill="F5F7FA" w:val="clear"/>
          </w:tcPr>
          <w:p>
            <w:r/>
            <w:r>
              <w:rPr>
                <w:rFonts w:ascii="Calibri" w:hAnsi="Calibri"/>
                <w:sz w:val="19"/>
              </w:rPr>
              <w:t>#28A745</w:t>
            </w:r>
          </w:p>
        </w:tc>
        <w:tc>
          <w:tcPr>
            <w:tcW w:type="dxa" w:w="2929"/>
            <w:shd w:fill="F5F7FA" w:val="clear"/>
          </w:tcPr>
          <w:p>
            <w:r/>
            <w:r>
              <w:rPr>
                <w:rFonts w:ascii="Calibri" w:hAnsi="Calibri"/>
                <w:sz w:val="19"/>
              </w:rPr>
              <w:t>Éxito, badges</w:t>
            </w:r>
          </w:p>
        </w:tc>
      </w:tr>
      <w:tr>
        <w:tc>
          <w:tcPr>
            <w:tcW w:type="dxa" w:w="2929"/>
          </w:tcPr>
          <w:p>
            <w:r/>
            <w:r>
              <w:rPr>
                <w:rFonts w:ascii="Calibri" w:hAnsi="Calibri"/>
                <w:sz w:val="19"/>
              </w:rPr>
              <w:t>--color-warning</w:t>
            </w:r>
          </w:p>
        </w:tc>
        <w:tc>
          <w:tcPr>
            <w:tcW w:type="dxa" w:w="2929"/>
          </w:tcPr>
          <w:p>
            <w:r/>
            <w:r>
              <w:rPr>
                <w:rFonts w:ascii="Calibri" w:hAnsi="Calibri"/>
                <w:sz w:val="19"/>
              </w:rPr>
              <w:t>#FFC107</w:t>
            </w:r>
          </w:p>
        </w:tc>
        <w:tc>
          <w:tcPr>
            <w:tcW w:type="dxa" w:w="2929"/>
          </w:tcPr>
          <w:p>
            <w:r/>
            <w:r>
              <w:rPr>
                <w:rFonts w:ascii="Calibri" w:hAnsi="Calibri"/>
                <w:sz w:val="19"/>
              </w:rPr>
              <w:t>Alertas</w:t>
            </w:r>
          </w:p>
        </w:tc>
      </w:tr>
      <w:tr>
        <w:tc>
          <w:tcPr>
            <w:tcW w:type="dxa" w:w="2929"/>
            <w:shd w:fill="F5F7FA" w:val="clear"/>
          </w:tcPr>
          <w:p>
            <w:r/>
            <w:r>
              <w:rPr>
                <w:rFonts w:ascii="Calibri" w:hAnsi="Calibri"/>
                <w:sz w:val="19"/>
              </w:rPr>
              <w:t>--color-error</w:t>
            </w:r>
          </w:p>
        </w:tc>
        <w:tc>
          <w:tcPr>
            <w:tcW w:type="dxa" w:w="2929"/>
            <w:shd w:fill="F5F7FA" w:val="clear"/>
          </w:tcPr>
          <w:p>
            <w:r/>
            <w:r>
              <w:rPr>
                <w:rFonts w:ascii="Calibri" w:hAnsi="Calibri"/>
                <w:sz w:val="19"/>
              </w:rPr>
              <w:t>#DC3545</w:t>
            </w:r>
          </w:p>
        </w:tc>
        <w:tc>
          <w:tcPr>
            <w:tcW w:type="dxa" w:w="2929"/>
            <w:shd w:fill="F5F7FA" w:val="clear"/>
          </w:tcPr>
          <w:p>
            <w:r/>
            <w:r>
              <w:rPr>
                <w:rFonts w:ascii="Calibri" w:hAnsi="Calibri"/>
                <w:sz w:val="19"/>
              </w:rPr>
              <w:t>Errores</w:t>
            </w:r>
          </w:p>
        </w:tc>
      </w:tr>
      <w:tr>
        <w:tc>
          <w:tcPr>
            <w:tcW w:type="dxa" w:w="2929"/>
          </w:tcPr>
          <w:p>
            <w:r/>
            <w:r>
              <w:rPr>
                <w:rFonts w:ascii="Calibri" w:hAnsi="Calibri"/>
                <w:sz w:val="19"/>
              </w:rPr>
              <w:t>--color-bg</w:t>
            </w:r>
          </w:p>
        </w:tc>
        <w:tc>
          <w:tcPr>
            <w:tcW w:type="dxa" w:w="2929"/>
          </w:tcPr>
          <w:p>
            <w:r/>
            <w:r>
              <w:rPr>
                <w:rFonts w:ascii="Calibri" w:hAnsi="Calibri"/>
                <w:sz w:val="19"/>
              </w:rPr>
              <w:t>#F5F7FA</w:t>
            </w:r>
          </w:p>
        </w:tc>
        <w:tc>
          <w:tcPr>
            <w:tcW w:type="dxa" w:w="2929"/>
          </w:tcPr>
          <w:p>
            <w:r/>
            <w:r>
              <w:rPr>
                <w:rFonts w:ascii="Calibri" w:hAnsi="Calibri"/>
                <w:sz w:val="19"/>
              </w:rPr>
              <w:t>Fondo light</w:t>
            </w:r>
          </w:p>
        </w:tc>
      </w:tr>
      <w:tr>
        <w:tc>
          <w:tcPr>
            <w:tcW w:type="dxa" w:w="2929"/>
            <w:shd w:fill="F5F7FA" w:val="clear"/>
          </w:tcPr>
          <w:p>
            <w:r/>
            <w:r>
              <w:rPr>
                <w:rFonts w:ascii="Calibri" w:hAnsi="Calibri"/>
                <w:sz w:val="19"/>
              </w:rPr>
              <w:t>--color-dark-bg</w:t>
            </w:r>
          </w:p>
        </w:tc>
        <w:tc>
          <w:tcPr>
            <w:tcW w:type="dxa" w:w="2929"/>
            <w:shd w:fill="F5F7FA" w:val="clear"/>
          </w:tcPr>
          <w:p>
            <w:r/>
            <w:r>
              <w:rPr>
                <w:rFonts w:ascii="Calibri" w:hAnsi="Calibri"/>
                <w:sz w:val="19"/>
              </w:rPr>
              <w:t>#1A1A2E</w:t>
            </w:r>
          </w:p>
        </w:tc>
        <w:tc>
          <w:tcPr>
            <w:tcW w:type="dxa" w:w="2929"/>
            <w:shd w:fill="F5F7FA" w:val="clear"/>
          </w:tcPr>
          <w:p>
            <w:r/>
            <w:r>
              <w:rPr>
                <w:rFonts w:ascii="Calibri" w:hAnsi="Calibri"/>
                <w:sz w:val="19"/>
              </w:rPr>
              <w:t>Fondo dark</w:t>
            </w:r>
          </w:p>
        </w:tc>
      </w:tr>
    </w:tbl>
    <w:p/>
    <w:p>
      <w:pPr/>
      <w:r>
        <w:t>Tipografía: Calibri. Tamaños: 24px (h1), 20px (h2), 18px (h3), 16px (cuerpo), 14px (secundario), 12px (metadata)</w:t>
      </w:r>
    </w:p>
    <w:p>
      <w:pPr>
        <w:pStyle w:val="Heading1"/>
      </w:pPr>
      <w:r>
        <w:rPr>
          <w:color w:val="004B8D"/>
        </w:rPr>
        <w:t>5. PROCESO DE DESARROLLO</w:t>
      </w:r>
    </w:p>
    <w:p>
      <w:pPr>
        <w:pStyle w:val="Heading2"/>
      </w:pPr>
      <w:r>
        <w:rPr>
          <w:color w:val="004B8D"/>
        </w:rPr>
        <w:t>5.1 — Metodología: 4 fases con IA</w:t>
      </w:r>
    </w:p>
    <w:p>
      <w:pPr>
        <w:pStyle w:val="Heading3"/>
      </w:pPr>
      <w:r>
        <w:rPr>
          <w:color w:val="004B8D"/>
        </w:rPr>
        <w:t>Fase 1 — Prototipado rápido (Marzo 2026)</w:t>
      </w:r>
    </w:p>
    <w:p>
      <w:pPr/>
      <w:r>
        <w:t>Componentes JSX independientes abiertos directamente en navegador con scripts CDN. Validación de ideas sin overhead de build.</w:t>
      </w:r>
    </w:p>
    <w:p>
      <w:pPr>
        <w:pStyle w:val="Heading3"/>
      </w:pPr>
      <w:r>
        <w:rPr>
          <w:color w:val="004B8D"/>
        </w:rPr>
        <w:t>Fase 2 — Migración a SPA (Abril 2026)</w:t>
      </w:r>
    </w:p>
    <w:p>
      <w:pPr/>
      <w:r>
        <w:t>Migración a Vite + React + React Router. Configuración PWA, migración Firebase→Supabase, separación lazy-loaded de cada herramienta.</w:t>
      </w:r>
    </w:p>
    <w:p>
      <w:pPr>
        <w:pStyle w:val="Heading3"/>
      </w:pPr>
      <w:r>
        <w:rPr>
          <w:color w:val="004B8D"/>
        </w:rPr>
        <w:t>Fase 3 — Estabilización (Mayo 2026)</w:t>
      </w:r>
    </w:p>
    <w:p>
      <w:pPr/>
      <w:r>
        <w:t>Contextos (Auth, Theme, Toast), tests Vitest, Supabase RLS, corrección de stale closures y deps useEffect.</w:t>
      </w:r>
    </w:p>
    <w:p>
      <w:pPr>
        <w:pStyle w:val="Heading3"/>
      </w:pPr>
      <w:r>
        <w:rPr>
          <w:color w:val="004B8D"/>
        </w:rPr>
        <w:t>Fase 4 — Auditoría y Plan Phase 3 (Mayo 2026)</w:t>
      </w:r>
    </w:p>
    <w:p>
      <w:pPr/>
      <w:r>
        <w:t>CTO audit completo: 31 hallazgos (4 críticos, 7 altos, 11 medios, 9 bajos). Plan priorizado generado.</w:t>
      </w:r>
    </w:p>
    <w:p>
      <w:pPr>
        <w:pStyle w:val="Heading2"/>
      </w:pPr>
      <w:r>
        <w:rPr>
          <w:color w:val="004B8D"/>
        </w:rPr>
        <w:t>5.2 — Workflow de prompting documentado</w:t>
      </w:r>
    </w:p>
    <w:p>
      <w:pPr>
        <w:pStyle w:val="ListBullet"/>
      </w:pPr>
      <w:r>
        <w:rPr>
          <w:b/>
        </w:rPr>
        <w:t>Entender antes de pedir:</w:t>
      </w:r>
      <w:r>
        <w:t xml:space="preserve"> leer código existente antes de generar</w:t>
      </w:r>
    </w:p>
    <w:p>
      <w:pPr>
        <w:pStyle w:val="ListBullet"/>
      </w:pPr>
      <w:r>
        <w:rPr>
          <w:b/>
        </w:rPr>
        <w:t>Ser específico:</w:t>
      </w:r>
      <w:r>
        <w:t xml:space="preserve"> inputs, outputs, tecnología y restricciones exactas</w:t>
      </w:r>
    </w:p>
    <w:p>
      <w:pPr>
        <w:pStyle w:val="ListBullet"/>
      </w:pPr>
      <w:r>
        <w:rPr>
          <w:b/>
        </w:rPr>
        <w:t>Revisar siempre:</w:t>
      </w:r>
      <w:r>
        <w:t xml:space="preserve"> verificar código generado antes de commit</w:t>
      </w:r>
    </w:p>
    <w:p>
      <w:pPr>
        <w:pStyle w:val="ListBullet"/>
      </w:pPr>
      <w:r>
        <w:rPr>
          <w:b/>
        </w:rPr>
        <w:t>Iterar rápido:</w:t>
      </w:r>
      <w:r>
        <w:t xml:space="preserve"> si falla, explicar error y pedir corrección</w:t>
      </w:r>
    </w:p>
    <w:p>
      <w:pPr>
        <w:pStyle w:val="ListBullet"/>
      </w:pPr>
      <w:r>
        <w:rPr>
          <w:b/>
        </w:rPr>
        <w:t>Documentar después:</w:t>
      </w:r>
      <w:r>
        <w:t xml:space="preserve"> actualizar EVOLUCION.md con cambios</w:t>
      </w:r>
    </w:p>
    <w:p>
      <w:pPr>
        <w:pStyle w:val="Heading2"/>
      </w:pPr>
      <w:r>
        <w:rPr>
          <w:color w:val="004B8D"/>
        </w:rPr>
        <w:t>5.3 — Lo que funcionó</w:t>
      </w:r>
    </w:p>
    <w:p>
      <w:pPr>
        <w:pStyle w:val="ListBullet"/>
      </w:pPr>
      <w:r>
        <w:rPr>
          <w:b/>
        </w:rPr>
        <w:t>Empezar simple:</w:t>
      </w:r>
      <w:r>
        <w:t xml:space="preserve"> artefactos JSX independientes, no SPA desde el día 1</w:t>
      </w:r>
    </w:p>
    <w:p>
      <w:pPr>
        <w:pStyle w:val="ListBullet"/>
      </w:pPr>
      <w:r>
        <w:rPr>
          <w:b/>
        </w:rPr>
        <w:t>Iterar rápido:</w:t>
      </w:r>
      <w:r>
        <w:t xml:space="preserve"> versión nueva funcional cada día, aunque imperfecta</w:t>
      </w:r>
    </w:p>
    <w:p>
      <w:pPr>
        <w:pStyle w:val="ListBullet"/>
      </w:pPr>
      <w:r>
        <w:rPr>
          <w:b/>
        </w:rPr>
        <w:t>Documentar mientras trabajas:</w:t>
      </w:r>
      <w:r>
        <w:t xml:space="preserve"> EVOLUCION.md actualizado en cada sesión</w:t>
      </w:r>
    </w:p>
    <w:p>
      <w:pPr>
        <w:pStyle w:val="ListBullet"/>
      </w:pPr>
      <w:r>
        <w:rPr>
          <w:b/>
        </w:rPr>
        <w:t>Usar herramientas gratuitas:</w:t>
      </w:r>
      <w:r>
        <w:t xml:space="preserve"> nunca pagar por desarrollo</w:t>
      </w:r>
    </w:p>
    <w:p>
      <w:pPr>
        <w:pStyle w:val="Heading2"/>
      </w:pPr>
      <w:r>
        <w:rPr>
          <w:color w:val="004B8D"/>
        </w:rPr>
        <w:t>5.4 — Lo que se podría mejorar (Phase 3)</w:t>
      </w:r>
    </w:p>
    <w:p>
      <w:pPr>
        <w:pStyle w:val="ListBullet"/>
      </w:pPr>
      <w:r>
        <w:rPr>
          <w:b/>
        </w:rPr>
        <w:t>Tests desde el principio:</w:t>
      </w:r>
      <w:r>
        <w:t xml:space="preserve"> añadir tests E2E antes de refactorizar</w:t>
      </w:r>
    </w:p>
    <w:p>
      <w:pPr>
        <w:pStyle w:val="ListBullet"/>
      </w:pPr>
      <w:r>
        <w:t>Validación con usuarios reales: probar con técnicos Sonepar durante desarrollo</w:t>
      </w:r>
    </w:p>
    <w:p>
      <w:pPr>
        <w:pStyle w:val="ListBullet"/>
      </w:pPr>
      <w:r>
        <w:rPr>
          <w:b/>
        </w:rPr>
        <w:t>CI/CD:</w:t>
      </w:r>
      <w:r>
        <w:t xml:space="preserve"> GitHub Actions para build y tests automáticos</w:t>
      </w:r>
    </w:p>
    <w:p>
      <w:pPr>
        <w:pStyle w:val="ListBullet"/>
      </w:pPr>
      <w:r>
        <w:rPr>
          <w:b/>
        </w:rPr>
        <w:t>Arquitectura:</w:t>
      </w:r>
      <w:r>
        <w:t xml:space="preserve"> useReducer para useNavegacionFichas (715L, 17 useState)</w:t>
      </w:r>
    </w:p>
    <w:p>
      <w:pPr>
        <w:pStyle w:val="Heading1"/>
      </w:pPr>
      <w:r>
        <w:rPr>
          <w:color w:val="004B8D"/>
        </w:rPr>
        <w:t>6. HERRAMIENTAS DE IA UTILIZADAS</w:t>
      </w:r>
    </w:p>
    <w:p>
      <w:pPr/>
      <w:r>
        <w:t>Se documentan 15+ herramientas de IA utilizadas durante el desarrollo, ordenadas por frecuencia de uso:</w:t>
      </w:r>
    </w:p>
    <w:p>
      <w:pPr>
        <w:spacing w:after="40"/>
      </w:pPr>
      <w:r>
        <w:rPr>
          <w:b/>
          <w:color w:val="666666"/>
          <w:sz w:val="18"/>
        </w:rPr>
        <w:t>Tabla 15.</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Herramienta</w:t>
            </w:r>
          </w:p>
        </w:tc>
        <w:tc>
          <w:tcPr>
            <w:tcW w:type="dxa" w:w="2197"/>
            <w:shd w:fill="004B8D" w:val="clear"/>
          </w:tcPr>
          <w:p>
            <w:pPr>
              <w:jc w:val="center"/>
            </w:pPr>
            <w:r/>
            <w:r>
              <w:rPr>
                <w:rFonts w:ascii="Calibri" w:hAnsi="Calibri"/>
                <w:b/>
                <w:color w:val="FFFFFF"/>
                <w:sz w:val="20"/>
              </w:rPr>
              <w:t>Uso principal</w:t>
            </w:r>
          </w:p>
        </w:tc>
        <w:tc>
          <w:tcPr>
            <w:tcW w:type="dxa" w:w="2197"/>
            <w:shd w:fill="004B8D" w:val="clear"/>
          </w:tcPr>
          <w:p>
            <w:pPr>
              <w:jc w:val="center"/>
            </w:pPr>
            <w:r/>
            <w:r>
              <w:rPr>
                <w:rFonts w:ascii="Calibri" w:hAnsi="Calibri"/>
                <w:b/>
                <w:color w:val="FFFFFF"/>
                <w:sz w:val="20"/>
              </w:rPr>
              <w:t>Coste</w:t>
            </w:r>
          </w:p>
        </w:tc>
        <w:tc>
          <w:tcPr>
            <w:tcW w:type="dxa" w:w="2197"/>
            <w:shd w:fill="004B8D" w:val="clear"/>
          </w:tcPr>
          <w:p>
            <w:pPr>
              <w:jc w:val="center"/>
            </w:pPr>
            <w:r/>
            <w:r>
              <w:rPr>
                <w:rFonts w:ascii="Calibri" w:hAnsi="Calibri"/>
                <w:b/>
                <w:color w:val="FFFFFF"/>
                <w:sz w:val="20"/>
              </w:rPr>
              <w:t>Notas</w:t>
            </w:r>
          </w:p>
        </w:tc>
      </w:tr>
      <w:tr>
        <w:tc>
          <w:tcPr>
            <w:tcW w:type="dxa" w:w="2197"/>
            <w:shd w:fill="F5F7FA" w:val="clear"/>
          </w:tcPr>
          <w:p>
            <w:r/>
            <w:r>
              <w:rPr>
                <w:rFonts w:ascii="Calibri" w:hAnsi="Calibri"/>
                <w:sz w:val="19"/>
              </w:rPr>
              <w:t>Claude Web (Anthropic)</w:t>
            </w:r>
          </w:p>
        </w:tc>
        <w:tc>
          <w:tcPr>
            <w:tcW w:type="dxa" w:w="2197"/>
            <w:shd w:fill="F5F7FA" w:val="clear"/>
          </w:tcPr>
          <w:p>
            <w:r/>
            <w:r>
              <w:rPr>
                <w:rFonts w:ascii="Calibri" w:hAnsi="Calibri"/>
                <w:sz w:val="19"/>
              </w:rPr>
              <w:t>Generación componentes React desde descripciones</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Mejor para componentes complejos</w:t>
            </w:r>
          </w:p>
        </w:tc>
      </w:tr>
      <w:tr>
        <w:tc>
          <w:tcPr>
            <w:tcW w:type="dxa" w:w="2197"/>
          </w:tcPr>
          <w:p>
            <w:r/>
            <w:r>
              <w:rPr>
                <w:rFonts w:ascii="Calibri" w:hAnsi="Calibri"/>
                <w:sz w:val="19"/>
              </w:rPr>
              <w:t>GitHub Copilot</w:t>
            </w:r>
          </w:p>
        </w:tc>
        <w:tc>
          <w:tcPr>
            <w:tcW w:type="dxa" w:w="2197"/>
          </w:tcPr>
          <w:p>
            <w:r/>
            <w:r>
              <w:rPr>
                <w:rFonts w:ascii="Calibri" w:hAnsi="Calibri"/>
                <w:sz w:val="19"/>
              </w:rPr>
              <w:t>Autocompletado en VS Code</w:t>
            </w:r>
          </w:p>
        </w:tc>
        <w:tc>
          <w:tcPr>
            <w:tcW w:type="dxa" w:w="2197"/>
          </w:tcPr>
          <w:p>
            <w:r/>
            <w:r>
              <w:rPr>
                <w:rFonts w:ascii="Calibri" w:hAnsi="Calibri"/>
                <w:sz w:val="19"/>
              </w:rPr>
              <w:t>Gratuito (estudiante)</w:t>
            </w:r>
          </w:p>
        </w:tc>
        <w:tc>
          <w:tcPr>
            <w:tcW w:type="dxa" w:w="2197"/>
          </w:tcPr>
          <w:p>
            <w:r/>
            <w:r>
              <w:rPr>
                <w:rFonts w:ascii="Calibri" w:hAnsi="Calibri"/>
                <w:sz w:val="19"/>
              </w:rPr>
              <w:t>Aceptar/rechazar sugerencias</w:t>
            </w:r>
          </w:p>
        </w:tc>
      </w:tr>
      <w:tr>
        <w:tc>
          <w:tcPr>
            <w:tcW w:type="dxa" w:w="2197"/>
            <w:shd w:fill="F5F7FA" w:val="clear"/>
          </w:tcPr>
          <w:p>
            <w:r/>
            <w:r>
              <w:rPr>
                <w:rFonts w:ascii="Calibri" w:hAnsi="Calibri"/>
                <w:sz w:val="19"/>
              </w:rPr>
              <w:t>Vercel AI SDK</w:t>
            </w:r>
          </w:p>
        </w:tc>
        <w:tc>
          <w:tcPr>
            <w:tcW w:type="dxa" w:w="2197"/>
            <w:shd w:fill="F5F7FA" w:val="clear"/>
          </w:tcPr>
          <w:p>
            <w:r/>
            <w:r>
              <w:rPr>
                <w:rFonts w:ascii="Calibri" w:hAnsi="Calibri"/>
                <w:sz w:val="19"/>
              </w:rPr>
              <w:t>Proxy /api/ai para streaming</w:t>
            </w:r>
          </w:p>
        </w:tc>
        <w:tc>
          <w:tcPr>
            <w:tcW w:type="dxa" w:w="2197"/>
            <w:shd w:fill="F5F7FA" w:val="clear"/>
          </w:tcPr>
          <w:p>
            <w:r/>
            <w:r>
              <w:rPr>
                <w:rFonts w:ascii="Calibri" w:hAnsi="Calibri"/>
                <w:sz w:val="19"/>
              </w:rPr>
              <w:t>0€ (free tier)</w:t>
            </w:r>
          </w:p>
        </w:tc>
        <w:tc>
          <w:tcPr>
            <w:tcW w:type="dxa" w:w="2197"/>
            <w:shd w:fill="F5F7FA" w:val="clear"/>
          </w:tcPr>
          <w:p>
            <w:r/>
            <w:r>
              <w:rPr>
                <w:rFonts w:ascii="Calibri" w:hAnsi="Calibri"/>
                <w:sz w:val="19"/>
              </w:rPr>
              <w:t>Rate limiting 20 llamadas/min</w:t>
            </w:r>
          </w:p>
        </w:tc>
      </w:tr>
      <w:tr>
        <w:tc>
          <w:tcPr>
            <w:tcW w:type="dxa" w:w="2197"/>
          </w:tcPr>
          <w:p>
            <w:r/>
            <w:r>
              <w:rPr>
                <w:rFonts w:ascii="Calibri" w:hAnsi="Calibri"/>
                <w:sz w:val="19"/>
              </w:rPr>
              <w:t>OpenRouter</w:t>
            </w:r>
          </w:p>
        </w:tc>
        <w:tc>
          <w:tcPr>
            <w:tcW w:type="dxa" w:w="2197"/>
          </w:tcPr>
          <w:p>
            <w:r/>
            <w:r>
              <w:rPr>
                <w:rFonts w:ascii="Calibri" w:hAnsi="Calibri"/>
                <w:sz w:val="19"/>
              </w:rPr>
              <w:t>Agregador de modelos IA</w:t>
            </w:r>
          </w:p>
        </w:tc>
        <w:tc>
          <w:tcPr>
            <w:tcW w:type="dxa" w:w="2197"/>
          </w:tcPr>
          <w:p>
            <w:r/>
            <w:r>
              <w:rPr>
                <w:rFonts w:ascii="Calibri" w:hAnsi="Calibri"/>
                <w:sz w:val="19"/>
              </w:rPr>
              <w:t>0€ (modelos gratis)</w:t>
            </w:r>
          </w:p>
        </w:tc>
        <w:tc>
          <w:tcPr>
            <w:tcW w:type="dxa" w:w="2197"/>
          </w:tcPr>
          <w:p>
            <w:r/>
            <w:r>
              <w:rPr>
                <w:rFonts w:ascii="Calibri" w:hAnsi="Calibri"/>
                <w:sz w:val="19"/>
              </w:rPr>
              <w:t>Claude 3.5 Sonnet + Haiku</w:t>
            </w:r>
          </w:p>
        </w:tc>
      </w:tr>
      <w:tr>
        <w:tc>
          <w:tcPr>
            <w:tcW w:type="dxa" w:w="2197"/>
            <w:shd w:fill="F5F7FA" w:val="clear"/>
          </w:tcPr>
          <w:p>
            <w:r/>
            <w:r>
              <w:rPr>
                <w:rFonts w:ascii="Calibri" w:hAnsi="Calibri"/>
                <w:sz w:val="19"/>
              </w:rPr>
              <w:t>Windsurf IDE</w:t>
            </w:r>
          </w:p>
        </w:tc>
        <w:tc>
          <w:tcPr>
            <w:tcW w:type="dxa" w:w="2197"/>
            <w:shd w:fill="F5F7FA" w:val="clear"/>
          </w:tcPr>
          <w:p>
            <w:r/>
            <w:r>
              <w:rPr>
                <w:rFonts w:ascii="Calibri" w:hAnsi="Calibri"/>
                <w:sz w:val="19"/>
              </w:rPr>
              <w:t>IDE con Cascade AI</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Chat context-aware</w:t>
            </w:r>
          </w:p>
        </w:tc>
      </w:tr>
      <w:tr>
        <w:tc>
          <w:tcPr>
            <w:tcW w:type="dxa" w:w="2197"/>
          </w:tcPr>
          <w:p>
            <w:r/>
            <w:r>
              <w:rPr>
                <w:rFonts w:ascii="Calibri" w:hAnsi="Calibri"/>
                <w:sz w:val="19"/>
              </w:rPr>
              <w:t>Qwen CLI</w:t>
            </w:r>
          </w:p>
        </w:tc>
        <w:tc>
          <w:tcPr>
            <w:tcW w:type="dxa" w:w="2197"/>
          </w:tcPr>
          <w:p>
            <w:r/>
            <w:r>
              <w:rPr>
                <w:rFonts w:ascii="Calibri" w:hAnsi="Calibri"/>
                <w:sz w:val="19"/>
              </w:rPr>
              <w:t>Tareas en terminal</w:t>
            </w:r>
          </w:p>
        </w:tc>
        <w:tc>
          <w:tcPr>
            <w:tcW w:type="dxa" w:w="2197"/>
          </w:tcPr>
          <w:p>
            <w:r/>
            <w:r>
              <w:rPr>
                <w:rFonts w:ascii="Calibri" w:hAnsi="Calibri"/>
                <w:sz w:val="19"/>
              </w:rPr>
              <w:t>Gratuito</w:t>
            </w:r>
          </w:p>
        </w:tc>
        <w:tc>
          <w:tcPr>
            <w:tcW w:type="dxa" w:w="2197"/>
          </w:tcPr>
          <w:p>
            <w:r/>
            <w:r>
              <w:rPr>
                <w:rFonts w:ascii="Calibri" w:hAnsi="Calibri"/>
                <w:sz w:val="19"/>
              </w:rPr>
              <w:t>Ejecuta acciones filesystem</w:t>
            </w:r>
          </w:p>
        </w:tc>
      </w:tr>
      <w:tr>
        <w:tc>
          <w:tcPr>
            <w:tcW w:type="dxa" w:w="2197"/>
            <w:shd w:fill="F5F7FA" w:val="clear"/>
          </w:tcPr>
          <w:p>
            <w:r/>
            <w:r>
              <w:rPr>
                <w:rFonts w:ascii="Calibri" w:hAnsi="Calibri"/>
                <w:sz w:val="19"/>
              </w:rPr>
              <w:t>Gemini CLI</w:t>
            </w:r>
          </w:p>
        </w:tc>
        <w:tc>
          <w:tcPr>
            <w:tcW w:type="dxa" w:w="2197"/>
            <w:shd w:fill="F5F7FA" w:val="clear"/>
          </w:tcPr>
          <w:p>
            <w:r/>
            <w:r>
              <w:rPr>
                <w:rFonts w:ascii="Calibri" w:hAnsi="Calibri"/>
                <w:sz w:val="19"/>
              </w:rPr>
              <w:t>Tareas en terminal</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Similar a Qwen</w:t>
            </w:r>
          </w:p>
        </w:tc>
      </w:tr>
      <w:tr>
        <w:tc>
          <w:tcPr>
            <w:tcW w:type="dxa" w:w="2197"/>
          </w:tcPr>
          <w:p>
            <w:r/>
            <w:r>
              <w:rPr>
                <w:rFonts w:ascii="Calibri" w:hAnsi="Calibri"/>
                <w:sz w:val="19"/>
              </w:rPr>
              <w:t>OpenCode CLI</w:t>
            </w:r>
          </w:p>
        </w:tc>
        <w:tc>
          <w:tcPr>
            <w:tcW w:type="dxa" w:w="2197"/>
          </w:tcPr>
          <w:p>
            <w:r/>
            <w:r>
              <w:rPr>
                <w:rFonts w:ascii="Calibri" w:hAnsi="Calibri"/>
                <w:sz w:val="19"/>
              </w:rPr>
              <w:t>Agente coding en terminal</w:t>
            </w:r>
          </w:p>
        </w:tc>
        <w:tc>
          <w:tcPr>
            <w:tcW w:type="dxa" w:w="2197"/>
          </w:tcPr>
          <w:p>
            <w:r/>
            <w:r>
              <w:rPr>
                <w:rFonts w:ascii="Calibri" w:hAnsi="Calibri"/>
                <w:sz w:val="19"/>
              </w:rPr>
              <w:t>Gratuito</w:t>
            </w:r>
          </w:p>
        </w:tc>
        <w:tc>
          <w:tcPr>
            <w:tcW w:type="dxa" w:w="2197"/>
          </w:tcPr>
          <w:p>
            <w:r/>
            <w:r>
              <w:rPr>
                <w:rFonts w:ascii="Calibri" w:hAnsi="Calibri"/>
                <w:sz w:val="19"/>
              </w:rPr>
              <w:t>Filesystem + comandos</w:t>
            </w:r>
          </w:p>
        </w:tc>
      </w:tr>
      <w:tr>
        <w:tc>
          <w:tcPr>
            <w:tcW w:type="dxa" w:w="2197"/>
            <w:shd w:fill="F5F7FA" w:val="clear"/>
          </w:tcPr>
          <w:p>
            <w:r/>
            <w:r>
              <w:rPr>
                <w:rFonts w:ascii="Calibri" w:hAnsi="Calibri"/>
                <w:sz w:val="19"/>
              </w:rPr>
              <w:t>Claude CLI</w:t>
            </w:r>
          </w:p>
        </w:tc>
        <w:tc>
          <w:tcPr>
            <w:tcW w:type="dxa" w:w="2197"/>
            <w:shd w:fill="F5F7FA" w:val="clear"/>
          </w:tcPr>
          <w:p>
            <w:r/>
            <w:r>
              <w:rPr>
                <w:rFonts w:ascii="Calibri" w:hAnsi="Calibri"/>
                <w:sz w:val="19"/>
              </w:rPr>
              <w:t>Agente coding completo</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Proyectos complejos</w:t>
            </w:r>
          </w:p>
        </w:tc>
      </w:tr>
      <w:tr>
        <w:tc>
          <w:tcPr>
            <w:tcW w:type="dxa" w:w="2197"/>
          </w:tcPr>
          <w:p>
            <w:r/>
            <w:r>
              <w:rPr>
                <w:rFonts w:ascii="Calibri" w:hAnsi="Calibri"/>
                <w:sz w:val="19"/>
              </w:rPr>
              <w:t>Cursor</w:t>
            </w:r>
          </w:p>
        </w:tc>
        <w:tc>
          <w:tcPr>
            <w:tcW w:type="dxa" w:w="2197"/>
          </w:tcPr>
          <w:p>
            <w:r/>
            <w:r>
              <w:rPr>
                <w:rFonts w:ascii="Calibri" w:hAnsi="Calibri"/>
                <w:sz w:val="19"/>
              </w:rPr>
              <w:t>IDE con IA multi-modelo</w:t>
            </w:r>
          </w:p>
        </w:tc>
        <w:tc>
          <w:tcPr>
            <w:tcW w:type="dxa" w:w="2197"/>
          </w:tcPr>
          <w:p>
            <w:r/>
            <w:r>
              <w:rPr>
                <w:rFonts w:ascii="Calibri" w:hAnsi="Calibri"/>
                <w:sz w:val="19"/>
              </w:rPr>
              <w:t>Gratuito</w:t>
            </w:r>
          </w:p>
        </w:tc>
        <w:tc>
          <w:tcPr>
            <w:tcW w:type="dxa" w:w="2197"/>
          </w:tcPr>
          <w:p>
            <w:r/>
            <w:r>
              <w:rPr>
                <w:rFonts w:ascii="Calibri" w:hAnsi="Calibri"/>
                <w:sz w:val="19"/>
              </w:rPr>
              <w:t>Alternativa a Windsurf</w:t>
            </w:r>
          </w:p>
        </w:tc>
      </w:tr>
      <w:tr>
        <w:tc>
          <w:tcPr>
            <w:tcW w:type="dxa" w:w="2197"/>
            <w:shd w:fill="F5F7FA" w:val="clear"/>
          </w:tcPr>
          <w:p>
            <w:r/>
            <w:r>
              <w:rPr>
                <w:rFonts w:ascii="Calibri" w:hAnsi="Calibri"/>
                <w:sz w:val="19"/>
              </w:rPr>
              <w:t>ChatGPT (GPT-4o)</w:t>
            </w:r>
          </w:p>
        </w:tc>
        <w:tc>
          <w:tcPr>
            <w:tcW w:type="dxa" w:w="2197"/>
            <w:shd w:fill="F5F7FA" w:val="clear"/>
          </w:tcPr>
          <w:p>
            <w:r/>
            <w:r>
              <w:rPr>
                <w:rFonts w:ascii="Calibri" w:hAnsi="Calibri"/>
                <w:sz w:val="19"/>
              </w:rPr>
              <w:t>Dudas generales, debugging</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Consultas rápidas</w:t>
            </w:r>
          </w:p>
        </w:tc>
      </w:tr>
      <w:tr>
        <w:tc>
          <w:tcPr>
            <w:tcW w:type="dxa" w:w="2197"/>
          </w:tcPr>
          <w:p>
            <w:r/>
            <w:r>
              <w:rPr>
                <w:rFonts w:ascii="Calibri" w:hAnsi="Calibri"/>
                <w:sz w:val="19"/>
              </w:rPr>
              <w:t>Supabase AI SQL</w:t>
            </w:r>
          </w:p>
        </w:tc>
        <w:tc>
          <w:tcPr>
            <w:tcW w:type="dxa" w:w="2197"/>
          </w:tcPr>
          <w:p>
            <w:r/>
            <w:r>
              <w:rPr>
                <w:rFonts w:ascii="Calibri" w:hAnsi="Calibri"/>
                <w:sz w:val="19"/>
              </w:rPr>
              <w:t>Generación de queries RLS</w:t>
            </w:r>
          </w:p>
        </w:tc>
        <w:tc>
          <w:tcPr>
            <w:tcW w:type="dxa" w:w="2197"/>
          </w:tcPr>
          <w:p>
            <w:r/>
            <w:r>
              <w:rPr>
                <w:rFonts w:ascii="Calibri" w:hAnsi="Calibri"/>
                <w:sz w:val="19"/>
              </w:rPr>
              <w:t>Gratuito</w:t>
            </w:r>
          </w:p>
        </w:tc>
        <w:tc>
          <w:tcPr>
            <w:tcW w:type="dxa" w:w="2197"/>
          </w:tcPr>
          <w:p>
            <w:r/>
            <w:r>
              <w:rPr>
                <w:rFonts w:ascii="Calibri" w:hAnsi="Calibri"/>
                <w:sz w:val="19"/>
              </w:rPr>
              <w:t>Políticas de seguridad</w:t>
            </w:r>
          </w:p>
        </w:tc>
      </w:tr>
      <w:tr>
        <w:tc>
          <w:tcPr>
            <w:tcW w:type="dxa" w:w="2197"/>
            <w:shd w:fill="F5F7FA" w:val="clear"/>
          </w:tcPr>
          <w:p>
            <w:r/>
            <w:r>
              <w:rPr>
                <w:rFonts w:ascii="Calibri" w:hAnsi="Calibri"/>
                <w:sz w:val="19"/>
              </w:rPr>
              <w:t>Playwright Codegen</w:t>
            </w:r>
          </w:p>
        </w:tc>
        <w:tc>
          <w:tcPr>
            <w:tcW w:type="dxa" w:w="2197"/>
            <w:shd w:fill="F5F7FA" w:val="clear"/>
          </w:tcPr>
          <w:p>
            <w:r/>
            <w:r>
              <w:rPr>
                <w:rFonts w:ascii="Calibri" w:hAnsi="Calibri"/>
                <w:sz w:val="19"/>
              </w:rPr>
              <w:t>Generación de tests E2E</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Grabar interacciones</w:t>
            </w:r>
          </w:p>
        </w:tc>
      </w:tr>
      <w:tr>
        <w:tc>
          <w:tcPr>
            <w:tcW w:type="dxa" w:w="2197"/>
          </w:tcPr>
          <w:p>
            <w:r/>
            <w:r>
              <w:rPr>
                <w:rFonts w:ascii="Calibri" w:hAnsi="Calibri"/>
                <w:sz w:val="19"/>
              </w:rPr>
              <w:t>NVIDIA NIM</w:t>
            </w:r>
          </w:p>
        </w:tc>
        <w:tc>
          <w:tcPr>
            <w:tcW w:type="dxa" w:w="2197"/>
          </w:tcPr>
          <w:p>
            <w:r/>
            <w:r>
              <w:rPr>
                <w:rFonts w:ascii="Calibri" w:hAnsi="Calibri"/>
                <w:sz w:val="19"/>
              </w:rPr>
              <w:t>Modelos abiertos (Nemotron)</w:t>
            </w:r>
          </w:p>
        </w:tc>
        <w:tc>
          <w:tcPr>
            <w:tcW w:type="dxa" w:w="2197"/>
          </w:tcPr>
          <w:p>
            <w:r/>
            <w:r>
              <w:rPr>
                <w:rFonts w:ascii="Calibri" w:hAnsi="Calibri"/>
                <w:sz w:val="19"/>
              </w:rPr>
              <w:t>Gratuito</w:t>
            </w:r>
          </w:p>
        </w:tc>
        <w:tc>
          <w:tcPr>
            <w:tcW w:type="dxa" w:w="2197"/>
          </w:tcPr>
          <w:p>
            <w:r/>
            <w:r>
              <w:rPr>
                <w:rFonts w:ascii="Calibri" w:hAnsi="Calibri"/>
                <w:sz w:val="19"/>
              </w:rPr>
              <w:t>Alternativa a Claude</w:t>
            </w:r>
          </w:p>
        </w:tc>
      </w:tr>
    </w:tbl>
    <w:p/>
    <w:p>
      <w:pPr>
        <w:pStyle w:val="Heading2"/>
      </w:pPr>
      <w:r>
        <w:rPr>
          <w:color w:val="004B8D"/>
        </w:rPr>
        <w:t>6.1 — Coste total en herramientas IA: 0€</w:t>
      </w:r>
    </w:p>
    <w:p>
      <w:pPr/>
      <w:r>
        <w:t>Todas las herramientas usadas tienen tier gratuito. El proyecto demuestra que es posible desarrollar software profesional de calidad sin inversión inicial en herramientas.</w:t>
      </w:r>
    </w:p>
    <w:p>
      <w:pPr>
        <w:pStyle w:val="Heading1"/>
      </w:pPr>
      <w:r>
        <w:rPr>
          <w:color w:val="004B8D"/>
        </w:rPr>
        <w:t>7. MANUALES DE USO</w:t>
      </w:r>
    </w:p>
    <w:p>
      <w:pPr/>
      <w:r>
        <w:t>Guías detalladas paso a paso para cada uno de los 7 módulos. Cada manual incluye: objetivo, instrucciones, ejemplos de uso y solución de problemas comunes.</w:t>
      </w:r>
    </w:p>
    <w:p>
      <w:pPr>
        <w:pStyle w:val="Heading2"/>
      </w:pPr>
      <w:r>
        <w:rPr>
          <w:color w:val="004B8D"/>
        </w:rPr>
        <w:t>7.1 — Fichas Técnicas</w:t>
      </w:r>
    </w:p>
    <w:p>
      <w:pPr>
        <w:pStyle w:val="Heading3"/>
      </w:pPr>
      <w:r>
        <w:rPr>
          <w:color w:val="004B8D"/>
        </w:rPr>
        <w:t>Objetivo</w:t>
      </w:r>
    </w:p>
    <w:p>
      <w:pPr/>
      <w:r>
        <w:t>Navegar por un catálogo de &gt;400.000 productos eléctricos de forma jerárquica, buscar referencias específicas, visualizar fichas completas con PDF y transferir productos al módulo de Presupuestos.</w:t>
      </w:r>
    </w:p>
    <w:p>
      <w:pPr>
        <w:pStyle w:val="Heading3"/>
      </w:pPr>
      <w:r>
        <w:rPr>
          <w:color w:val="004B8D"/>
        </w:rPr>
        <w:t>Estructura de navegación</w:t>
      </w:r>
    </w:p>
    <w:p>
      <w:pPr/>
      <w:r>
        <w:t>La navegación tiene 5 niveles progresivos:</w:t>
      </w:r>
    </w:p>
    <w:p>
      <w:pPr>
        <w:pStyle w:val="ListBullet"/>
      </w:pPr>
      <w:r>
        <w:rPr>
          <w:b/>
        </w:rPr>
        <w:t>Nivel 1:</w:t>
      </w:r>
      <w:r>
        <w:t xml:space="preserve"> Familia/Categoría (8 totales) — CABLES, POTENCIA, PROTECCIÓN, MANIOBRA, CADRASA, ILUMINACIÓN, AUTOMATISMO, CONEXIÓN</w:t>
      </w:r>
    </w:p>
    <w:p>
      <w:pPr>
        <w:pStyle w:val="ListBullet"/>
      </w:pPr>
      <w:r>
        <w:rPr>
          <w:b/>
        </w:rPr>
        <w:t>Nivel 2:</w:t>
      </w:r>
      <w:r>
        <w:t xml:space="preserve"> Marca (38 marcas) — Schneider Electric, ABB, Siemens, Hager, Legrand, Eaton, Phoenix Contact...</w:t>
      </w:r>
    </w:p>
    <w:p>
      <w:pPr>
        <w:pStyle w:val="ListBullet"/>
      </w:pPr>
      <w:r>
        <w:rPr>
          <w:b/>
        </w:rPr>
        <w:t>Nivel 3:</w:t>
      </w:r>
      <w:r>
        <w:t xml:space="preserve"> Gama — Línea de producto (Acti9, Multi9, TeSys para Schneider)</w:t>
      </w:r>
    </w:p>
    <w:p>
      <w:pPr>
        <w:pStyle w:val="ListBullet"/>
      </w:pPr>
      <w:r>
        <w:rPr>
          <w:b/>
        </w:rPr>
        <w:t>Nivel 4:</w:t>
      </w:r>
      <w:r>
        <w:t xml:space="preserve"> Tipo — Categoría técnica (IC60N, C60N, NG125)</w:t>
      </w:r>
    </w:p>
    <w:p>
      <w:pPr>
        <w:pStyle w:val="ListBullet"/>
      </w:pPr>
      <w:r>
        <w:rPr>
          <w:b/>
        </w:rPr>
        <w:t>Nivel 5:</w:t>
      </w:r>
      <w:r>
        <w:t xml:space="preserve"> Productos — Lista con imagen, precio, stock, botones de acción</w:t>
      </w:r>
    </w:p>
    <w:p>
      <w:pPr>
        <w:pStyle w:val="Heading3"/>
      </w:pPr>
      <w:r>
        <w:rPr>
          <w:color w:val="004B8D"/>
        </w:rPr>
        <w:t>Caso de uso 1: Encontrar magnetotérmico Schneider Acti9 IC60N 3P 16A</w:t>
      </w:r>
    </w:p>
    <w:p>
      <w:pPr>
        <w:pStyle w:val="ListBullet"/>
      </w:pPr>
      <w:r>
        <w:rPr>
          <w:b/>
        </w:rPr>
        <w:t>Paso 1:</w:t>
      </w:r>
      <w:r>
        <w:t xml:space="preserve"> Pantalla principal → clic en "POTENCIA" (categoría)</w:t>
      </w:r>
    </w:p>
    <w:p>
      <w:pPr>
        <w:pStyle w:val="ListBullet"/>
      </w:pPr>
      <w:r>
        <w:rPr>
          <w:b/>
        </w:rPr>
        <w:t>Paso 2:</w:t>
      </w:r>
      <w:r>
        <w:t xml:space="preserve"> Grella de marcas → clic en logo "Schneider Electric"</w:t>
      </w:r>
    </w:p>
    <w:p>
      <w:pPr>
        <w:pStyle w:val="ListBullet"/>
      </w:pPr>
      <w:r>
        <w:rPr>
          <w:b/>
        </w:rPr>
        <w:t>Paso 3:</w:t>
      </w:r>
      <w:r>
        <w:t xml:space="preserve"> Seleccionar gama "Acti9" (gama industrial premium)</w:t>
      </w:r>
    </w:p>
    <w:p>
      <w:pPr>
        <w:pStyle w:val="ListBullet"/>
      </w:pPr>
      <w:r>
        <w:rPr>
          <w:b/>
        </w:rPr>
        <w:t>Paso 4:</w:t>
      </w:r>
      <w:r>
        <w:t xml:space="preserve"> Seleccionar tipo "IC60N" (magnetotérmicos compactos)</w:t>
      </w:r>
    </w:p>
    <w:p>
      <w:pPr>
        <w:pStyle w:val="ListBullet"/>
      </w:pPr>
      <w:r>
        <w:rPr>
          <w:b/>
        </w:rPr>
        <w:t>Paso 5:</w:t>
      </w:r>
      <w:r>
        <w:t xml:space="preserve"> 847 referencias IC60N mostradas. Filtrar: Polos=3P, Calibre=16A, Curva=C</w:t>
      </w:r>
    </w:p>
    <w:p>
      <w:pPr>
        <w:pStyle w:val="ListBullet"/>
      </w:pPr>
      <w:r>
        <w:rPr>
          <w:b/>
        </w:rPr>
        <w:t>Paso 6:</w:t>
      </w:r>
      <w:r>
        <w:t xml:space="preserve"> 3 resultados. Clic en A9F75316 → ficha completa</w:t>
      </w:r>
    </w:p>
    <w:p>
      <w:pPr>
        <w:pStyle w:val="ListBullet"/>
      </w:pPr>
      <w:r>
        <w:rPr>
          <w:b/>
        </w:rPr>
        <w:t>Paso 7:</w:t>
      </w:r>
      <w:r>
        <w:t xml:space="preserve"> Ficha con imagen, precio, PDF, botón "Añadir a presupuesto"</w:t>
      </w:r>
    </w:p>
    <w:p>
      <w:pPr>
        <w:pStyle w:val="Heading3"/>
      </w:pPr>
      <w:r>
        <w:rPr>
          <w:color w:val="004B8D"/>
        </w:rPr>
        <w:t>Caso de uso 2: Búsqueda directa por referencia</w:t>
      </w:r>
    </w:p>
    <w:p>
      <w:pPr>
        <w:pStyle w:val="ListBullet"/>
      </w:pPr>
      <w:r>
        <w:rPr>
          <w:b/>
        </w:rPr>
        <w:t>Paso 1:</w:t>
      </w:r>
      <w:r>
        <w:t xml:space="preserve"> Barra superior → escribir "A9F75316" o "ic60n 16a"</w:t>
      </w:r>
    </w:p>
    <w:p>
      <w:pPr>
        <w:pStyle w:val="ListBullet"/>
      </w:pPr>
      <w:r>
        <w:rPr>
          <w:b/>
        </w:rPr>
        <w:t>Paso 2:</w:t>
      </w:r>
      <w:r>
        <w:t xml:space="preserve"> Enter o clic en lupa</w:t>
      </w:r>
    </w:p>
    <w:p>
      <w:pPr>
        <w:pStyle w:val="ListBullet"/>
      </w:pPr>
      <w:r>
        <w:rPr>
          <w:b/>
        </w:rPr>
        <w:t>Paso 3:</w:t>
      </w:r>
      <w:r>
        <w:t xml:space="preserve"> SQL: SELECT * FROM products WHERE ref_fabricante ILIKE '%a9f75316%' LIMIT 50</w:t>
      </w:r>
    </w:p>
    <w:p>
      <w:pPr>
        <w:pStyle w:val="ListBullet"/>
      </w:pPr>
      <w:r>
        <w:rPr>
          <w:b/>
        </w:rPr>
        <w:t>Paso 4:</w:t>
      </w:r>
      <w:r>
        <w:t xml:space="preserve"> Tarjetas de resultados. Clic en la deseada → ficha completa</w:t>
      </w:r>
    </w:p>
    <w:p>
      <w:pPr>
        <w:pStyle w:val="Heading3"/>
      </w:pPr>
      <w:r>
        <w:rPr>
          <w:color w:val="004B8D"/>
        </w:rPr>
        <w:t>Funcionalidades de la ficha de producto</w:t>
      </w:r>
    </w:p>
    <w:p>
      <w:pPr>
        <w:pStyle w:val="ListBullet"/>
      </w:pPr>
      <w:r>
        <w:t>Imagen del producto (CDN fabricante o generada)</w:t>
      </w:r>
    </w:p>
    <w:p>
      <w:pPr>
        <w:pStyle w:val="ListBullet"/>
      </w:pPr>
      <w:r>
        <w:rPr>
          <w:b/>
        </w:rPr>
        <w:t>Referencia destacada (ej:</w:t>
      </w:r>
      <w:r>
        <w:t xml:space="preserve"> A9F75316) + nombre comercial</w:t>
      </w:r>
    </w:p>
    <w:p>
      <w:pPr>
        <w:pStyle w:val="ListBullet"/>
      </w:pPr>
      <w:r>
        <w:t>Marca con logo (38 mapeados en brandLogoService) + precio</w:t>
      </w:r>
    </w:p>
    <w:p>
      <w:pPr>
        <w:pStyle w:val="ListBullet"/>
      </w:pPr>
      <w:r>
        <w:rPr>
          <w:b/>
        </w:rPr>
        <w:t>Pestañas:</w:t>
      </w:r>
      <w:r>
        <w:t xml:space="preserve"> "Características", "Documentación", "Compatibilidades"</w:t>
      </w:r>
    </w:p>
    <w:p>
      <w:pPr>
        <w:pStyle w:val="ListBullet"/>
      </w:pPr>
      <w:r>
        <w:rPr>
          <w:b/>
        </w:rPr>
        <w:t>PDF datasheet:</w:t>
      </w:r>
      <w:r>
        <w:t xml:space="preserve"> botón "Ver PDF" → nueva pestaña</w:t>
      </w:r>
    </w:p>
    <w:p>
      <w:pPr>
        <w:pStyle w:val="ListBullet"/>
      </w:pPr>
      <w:r>
        <w:t>Botón primario "Añadir a presupuesto" → transferencia al wizard</w:t>
      </w:r>
    </w:p>
    <w:p>
      <w:pPr>
        <w:pStyle w:val="Heading3"/>
      </w:pPr>
      <w:r>
        <w:rPr>
          <w:color w:val="004B8D"/>
        </w:rPr>
        <w:t>Atajos de teclado</w:t>
      </w:r>
    </w:p>
    <w:p>
      <w:pPr>
        <w:pStyle w:val="ListBullet"/>
      </w:pPr>
      <w:r>
        <w:rPr>
          <w:b/>
        </w:rPr>
        <w:t>Ctrl+K:</w:t>
      </w:r>
      <w:r>
        <w:t xml:space="preserve"> enfocar barra de búsqueda desde cualquier pantalla</w:t>
      </w:r>
    </w:p>
    <w:p>
      <w:pPr>
        <w:pStyle w:val="ListBullet"/>
      </w:pPr>
      <w:r>
        <w:rPr>
          <w:b/>
        </w:rPr>
        <w:t>Esc:</w:t>
      </w:r>
      <w:r>
        <w:t xml:space="preserve"> limpiar filtros y volver al inicio</w:t>
      </w:r>
    </w:p>
    <w:p>
      <w:pPr>
        <w:pStyle w:val="ListBullet"/>
      </w:pPr>
      <w:r>
        <w:rPr>
          <w:b/>
        </w:rPr>
        <w:t>Enter:</w:t>
      </w:r>
      <w:r>
        <w:t xml:space="preserve"> ejecutar búsqueda</w:t>
      </w:r>
    </w:p>
    <w:p>
      <w:pPr>
        <w:pStyle w:val="Heading3"/>
      </w:pPr>
      <w:r>
        <w:rPr>
          <w:color w:val="004B8D"/>
        </w:rPr>
        <w:t>Problemas comunes</w:t>
      </w:r>
    </w:p>
    <w:p>
      <w:pPr>
        <w:spacing w:after="40"/>
      </w:pPr>
      <w:r>
        <w:rPr>
          <w:b/>
          <w:color w:val="666666"/>
          <w:sz w:val="18"/>
        </w:rPr>
        <w:t>Tabla 16.</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Causa</w:t>
            </w:r>
          </w:p>
        </w:tc>
        <w:tc>
          <w:tcPr>
            <w:tcW w:type="dxa" w:w="2929"/>
            <w:shd w:fill="004B8D" w:val="clear"/>
          </w:tcPr>
          <w:p>
            <w:pPr>
              <w:jc w:val="center"/>
            </w:pPr>
            <w:r/>
            <w:r>
              <w:rPr>
                <w:rFonts w:ascii="Calibri" w:hAnsi="Calibri"/>
                <w:b/>
                <w:color w:val="FFFFFF"/>
                <w:sz w:val="20"/>
              </w:rPr>
              <w:t>Solución</w:t>
            </w:r>
          </w:p>
        </w:tc>
      </w:tr>
      <w:tr>
        <w:tc>
          <w:tcPr>
            <w:tcW w:type="dxa" w:w="2929"/>
            <w:shd w:fill="F5F7FA" w:val="clear"/>
          </w:tcPr>
          <w:p>
            <w:r/>
            <w:r>
              <w:rPr>
                <w:rFonts w:ascii="Calibri" w:hAnsi="Calibri"/>
                <w:sz w:val="19"/>
              </w:rPr>
              <w:t>No aparecen productos</w:t>
            </w:r>
          </w:p>
        </w:tc>
        <w:tc>
          <w:tcPr>
            <w:tcW w:type="dxa" w:w="2929"/>
            <w:shd w:fill="F5F7FA" w:val="clear"/>
          </w:tcPr>
          <w:p>
            <w:r/>
            <w:r>
              <w:rPr>
                <w:rFonts w:ascii="Calibri" w:hAnsi="Calibri"/>
                <w:sz w:val="19"/>
              </w:rPr>
              <w:t>Filtros muy restrictivos</w:t>
            </w:r>
          </w:p>
        </w:tc>
        <w:tc>
          <w:tcPr>
            <w:tcW w:type="dxa" w:w="2929"/>
            <w:shd w:fill="F5F7FA" w:val="clear"/>
          </w:tcPr>
          <w:p>
            <w:r/>
            <w:r>
              <w:rPr>
                <w:rFonts w:ascii="Calibri" w:hAnsi="Calibri"/>
                <w:sz w:val="19"/>
              </w:rPr>
              <w:t>Botón "Resetear"</w:t>
            </w:r>
          </w:p>
        </w:tc>
      </w:tr>
      <w:tr>
        <w:tc>
          <w:tcPr>
            <w:tcW w:type="dxa" w:w="2929"/>
          </w:tcPr>
          <w:p>
            <w:r/>
            <w:r>
              <w:rPr>
                <w:rFonts w:ascii="Calibri" w:hAnsi="Calibri"/>
                <w:sz w:val="19"/>
              </w:rPr>
              <w:t>PDF no carga</w:t>
            </w:r>
          </w:p>
        </w:tc>
        <w:tc>
          <w:tcPr>
            <w:tcW w:type="dxa" w:w="2929"/>
          </w:tcPr>
          <w:p>
            <w:r/>
            <w:r>
              <w:rPr>
                <w:rFonts w:ascii="Calibri" w:hAnsi="Calibri"/>
                <w:sz w:val="19"/>
              </w:rPr>
              <w:t>URL rota del fabricante</w:t>
            </w:r>
          </w:p>
        </w:tc>
        <w:tc>
          <w:tcPr>
            <w:tcW w:type="dxa" w:w="2929"/>
          </w:tcPr>
          <w:p>
            <w:r/>
            <w:r>
              <w:rPr>
                <w:rFonts w:ascii="Calibri" w:hAnsi="Calibri"/>
                <w:sz w:val="19"/>
              </w:rPr>
              <w:t>Botón "Solicitar ficha"</w:t>
            </w:r>
          </w:p>
        </w:tc>
      </w:tr>
      <w:tr>
        <w:tc>
          <w:tcPr>
            <w:tcW w:type="dxa" w:w="2929"/>
            <w:shd w:fill="F5F7FA" w:val="clear"/>
          </w:tcPr>
          <w:p>
            <w:r/>
            <w:r>
              <w:rPr>
                <w:rFonts w:ascii="Calibri" w:hAnsi="Calibri"/>
                <w:sz w:val="19"/>
              </w:rPr>
              <w:t>Logo no aparece</w:t>
            </w:r>
          </w:p>
        </w:tc>
        <w:tc>
          <w:tcPr>
            <w:tcW w:type="dxa" w:w="2929"/>
            <w:shd w:fill="F5F7FA" w:val="clear"/>
          </w:tcPr>
          <w:p>
            <w:r/>
            <w:r>
              <w:rPr>
                <w:rFonts w:ascii="Calibri" w:hAnsi="Calibri"/>
                <w:sz w:val="19"/>
              </w:rPr>
              <w:t>Marca sin mapear</w:t>
            </w:r>
          </w:p>
        </w:tc>
        <w:tc>
          <w:tcPr>
            <w:tcW w:type="dxa" w:w="2929"/>
            <w:shd w:fill="F5F7FA" w:val="clear"/>
          </w:tcPr>
          <w:p>
            <w:r/>
            <w:r>
              <w:rPr>
                <w:rFonts w:ascii="Calibri" w:hAnsi="Calibri"/>
                <w:sz w:val="19"/>
              </w:rPr>
              <w:t>Avatar gradiente genérico</w:t>
            </w:r>
          </w:p>
        </w:tc>
      </w:tr>
      <w:tr>
        <w:tc>
          <w:tcPr>
            <w:tcW w:type="dxa" w:w="2929"/>
          </w:tcPr>
          <w:p>
            <w:r/>
            <w:r>
              <w:rPr>
                <w:rFonts w:ascii="Calibri" w:hAnsi="Calibri"/>
                <w:sz w:val="19"/>
              </w:rPr>
              <w:t>Búsqueda sin resultados</w:t>
            </w:r>
          </w:p>
        </w:tc>
        <w:tc>
          <w:tcPr>
            <w:tcW w:type="dxa" w:w="2929"/>
          </w:tcPr>
          <w:p>
            <w:r/>
            <w:r>
              <w:rPr>
                <w:rFonts w:ascii="Calibri" w:hAnsi="Calibri"/>
                <w:sz w:val="19"/>
              </w:rPr>
              <w:t>Error tipográfico</w:t>
            </w:r>
          </w:p>
        </w:tc>
        <w:tc>
          <w:tcPr>
            <w:tcW w:type="dxa" w:w="2929"/>
          </w:tcPr>
          <w:p>
            <w:r/>
            <w:r>
              <w:rPr>
                <w:rFonts w:ascii="Calibri" w:hAnsi="Calibri"/>
                <w:sz w:val="19"/>
              </w:rPr>
              <w:t>Usar navegación jerárquica</w:t>
            </w:r>
          </w:p>
        </w:tc>
      </w:tr>
    </w:tbl>
    <w:p/>
    <w:p>
      <w:pPr>
        <w:pStyle w:val="Heading2"/>
      </w:pPr>
      <w:r>
        <w:rPr>
          <w:color w:val="004B8D"/>
        </w:rPr>
        <w:t>7.2 — SONEX: Asistente Técnico con IA</w:t>
      </w:r>
    </w:p>
    <w:p>
      <w:pPr>
        <w:pStyle w:val="Heading3"/>
      </w:pPr>
      <w:r>
        <w:rPr>
          <w:color w:val="004B8D"/>
        </w:rPr>
        <w:t>Objetivo</w:t>
      </w:r>
    </w:p>
    <w:p>
      <w:pPr/>
      <w:r>
        <w:t>Asistente conversacional basado en IA (Anthropic Claude) especializado en productos eléctricos y mantenimiento industrial. Consultas en lenguaje natural con extracción automática de referencias.</w:t>
      </w:r>
    </w:p>
    <w:p>
      <w:pPr>
        <w:pStyle w:val="Heading3"/>
      </w:pPr>
      <w:r>
        <w:rPr>
          <w:color w:val="004B8D"/>
        </w:rPr>
        <w:t>Caso de uso: Dimensionar protección para motor 15kW</w:t>
      </w:r>
    </w:p>
    <w:p>
      <w:pPr>
        <w:pStyle w:val="ListBullet"/>
      </w:pPr>
      <w:r>
        <w:rPr>
          <w:b/>
        </w:rPr>
        <w:t>Paso 1:</w:t>
      </w:r>
      <w:r>
        <w:t xml:space="preserve"> Escribir "Necesito proteger un motor trifásico de 15kW a 400V. ¿Qué magnetotérmico uso?"</w:t>
      </w:r>
    </w:p>
    <w:p>
      <w:pPr>
        <w:pStyle w:val="ListBullet"/>
      </w:pPr>
      <w:r>
        <w:rPr>
          <w:b/>
        </w:rPr>
        <w:t>Paso 2:</w:t>
      </w:r>
      <w:r>
        <w:t xml:space="preserve"> Enter. Pregunta → /api/ai (Vercel Serverless) → OpenRouter → Claude</w:t>
      </w:r>
    </w:p>
    <w:p>
      <w:pPr>
        <w:pStyle w:val="ListBullet"/>
      </w:pPr>
      <w:r>
        <w:rPr>
          <w:b/>
        </w:rPr>
        <w:t>Paso 3:</w:t>
      </w:r>
      <w:r>
        <w:t xml:space="preserve"> Streaming: los tokens aparecen progresivamente en pantalla</w:t>
      </w:r>
    </w:p>
    <w:p>
      <w:pPr>
        <w:pStyle w:val="ListBullet"/>
      </w:pPr>
      <w:r>
        <w:rPr>
          <w:b/>
        </w:rPr>
        <w:t>Paso 4:</w:t>
      </w:r>
      <w:r>
        <w:t xml:space="preserve"> Respuesta IA: "I=15kW/(√3×400×0.85)≈25.5A. Recomiendo: magnetotérmico 32A Curva D. Referencias: Schneider GV2ME32, ABB MS132-32"</w:t>
      </w:r>
    </w:p>
    <w:p>
      <w:pPr>
        <w:pStyle w:val="ListBullet"/>
      </w:pPr>
      <w:r>
        <w:rPr>
          <w:b/>
        </w:rPr>
        <w:t>Paso 5:</w:t>
      </w:r>
      <w:r>
        <w:t xml:space="preserve"> Frontend detecta referencias (GV2ME32, MS132-32) con regex</w:t>
      </w:r>
    </w:p>
    <w:p>
      <w:pPr>
        <w:pStyle w:val="ListBullet"/>
      </w:pPr>
      <w:r>
        <w:rPr>
          <w:b/>
        </w:rPr>
        <w:t>Paso 6:</w:t>
      </w:r>
      <w:r>
        <w:t xml:space="preserve"> Botones interactivos: [Ver GV2ME32] [Ver MS132-32]</w:t>
      </w:r>
    </w:p>
    <w:p>
      <w:pPr>
        <w:pStyle w:val="ListBullet"/>
      </w:pPr>
      <w:r>
        <w:rPr>
          <w:b/>
        </w:rPr>
        <w:t>Paso 7:</w:t>
      </w:r>
      <w:r>
        <w:t xml:space="preserve"> Clic en botón → navega directamente a la ficha técnica</w:t>
      </w:r>
    </w:p>
    <w:p>
      <w:pPr>
        <w:pStyle w:val="Heading3"/>
      </w:pPr>
      <w:r>
        <w:rPr>
          <w:color w:val="004B8D"/>
        </w:rPr>
        <w:t>Funcionalidades adicionales</w:t>
      </w:r>
    </w:p>
    <w:p>
      <w:pPr>
        <w:pStyle w:val="ListBullet"/>
      </w:pPr>
      <w:r>
        <w:rPr>
          <w:b/>
        </w:rPr>
        <w:t>Exportar conversación:</w:t>
      </w:r>
      <w:r>
        <w:t xml:space="preserve"> botón " PDF" genera documento con el historial</w:t>
      </w:r>
    </w:p>
    <w:p>
      <w:pPr>
        <w:pStyle w:val="ListBullet"/>
      </w:pPr>
      <w:r>
        <w:rPr>
          <w:b/>
        </w:rPr>
        <w:t>Limpiar historial:</w:t>
      </w:r>
      <w:r>
        <w:t xml:space="preserve"> botón "" borra conversación local</w:t>
      </w:r>
    </w:p>
    <w:p>
      <w:pPr>
        <w:pStyle w:val="ListBullet"/>
      </w:pPr>
      <w:r>
        <w:rPr>
          <w:b/>
        </w:rPr>
        <w:t>Feedback:</w:t>
      </w:r>
      <w:r>
        <w:t xml:space="preserve"> botones / para validar calidad de respuesta</w:t>
      </w:r>
    </w:p>
    <w:p>
      <w:pPr>
        <w:pStyle w:val="ListBullet"/>
      </w:pPr>
      <w:r>
        <w:rPr>
          <w:b/>
        </w:rPr>
        <w:t>Rate limiting:</w:t>
      </w:r>
      <w:r>
        <w:t xml:space="preserve"> máximo 20 consultas/minuto</w:t>
      </w:r>
    </w:p>
    <w:p>
      <w:pPr>
        <w:pStyle w:val="ListBullet"/>
      </w:pPr>
      <w:r>
        <w:rPr>
          <w:b/>
        </w:rPr>
        <w:t>Contexto persistente:</w:t>
      </w:r>
      <w:r>
        <w:t xml:space="preserve"> la IA recuerda la conversación en la misma sesión</w:t>
      </w:r>
    </w:p>
    <w:p>
      <w:pPr>
        <w:pStyle w:val="Heading3"/>
      </w:pPr>
      <w:r>
        <w:rPr>
          <w:color w:val="004B8D"/>
        </w:rPr>
        <w:t>Mejores prácticas para prompts</w:t>
      </w:r>
    </w:p>
    <w:p>
      <w:pPr>
        <w:pStyle w:val="ListBullet"/>
      </w:pPr>
      <w:r>
        <w:rPr>
          <w:b/>
        </w:rPr>
        <w:t>Ser específico:</w:t>
      </w:r>
      <w:r>
        <w:t xml:space="preserve"> "¿Disyuntor 3P 40A Schneider?" en vez de "¿Disyuntor 40A?"</w:t>
      </w:r>
    </w:p>
    <w:p>
      <w:pPr>
        <w:pStyle w:val="ListBullet"/>
      </w:pPr>
      <w:r>
        <w:rPr>
          <w:b/>
        </w:rPr>
        <w:t>Incluir contexto:</w:t>
      </w:r>
      <w:r>
        <w:t xml:space="preserve"> "Trifásico 400V" mejor que solo "40A"</w:t>
      </w:r>
    </w:p>
    <w:p>
      <w:pPr>
        <w:pStyle w:val="ListBullet"/>
      </w:pPr>
      <w:r>
        <w:rPr>
          <w:b/>
        </w:rPr>
        <w:t>Pedir referencias:</w:t>
      </w:r>
      <w:r>
        <w:t xml:space="preserve"> añadir "dame referencias concretas"</w:t>
      </w:r>
    </w:p>
    <w:p>
      <w:pPr>
        <w:pStyle w:val="ListBullet"/>
      </w:pPr>
      <w:r>
        <w:rPr>
          <w:b/>
        </w:rPr>
        <w:t>Evitar ambigüedades:</w:t>
      </w:r>
      <w:r>
        <w:t xml:space="preserve"> "el mejor disyuntor" es subjetivo</w:t>
      </w:r>
    </w:p>
    <w:p>
      <w:pPr>
        <w:pStyle w:val="Heading3"/>
      </w:pPr>
      <w:r>
        <w:rPr>
          <w:color w:val="004B8D"/>
        </w:rPr>
        <w:t>Limitaciones</w:t>
      </w:r>
    </w:p>
    <w:p>
      <w:pPr>
        <w:pStyle w:val="ListBullet"/>
      </w:pPr>
      <w:r>
        <w:t>Puede alucinar referencias inexistentes → verificar en ficha técnica</w:t>
      </w:r>
    </w:p>
    <w:p>
      <w:pPr>
        <w:pStyle w:val="ListBullet"/>
      </w:pPr>
      <w:r>
        <w:t>Conocimiento cortado en 2025 → no conoce productos lanzados después</w:t>
      </w:r>
    </w:p>
    <w:p>
      <w:pPr>
        <w:pStyle w:val="ListBullet"/>
      </w:pPr>
      <w:r>
        <w:t>No sustituye ingeniería profesional → consultar técnico certificado</w:t>
      </w:r>
    </w:p>
    <w:p>
      <w:pPr>
        <w:pStyle w:val="ListBullet"/>
      </w:pPr>
      <w:r>
        <w:t>No tiene acceso a stock en tiempo real</w:t>
      </w:r>
    </w:p>
    <w:p>
      <w:pPr>
        <w:pStyle w:val="Heading2"/>
      </w:pPr>
      <w:r>
        <w:rPr>
          <w:color w:val="004B8D"/>
        </w:rPr>
        <w:t>7.3 — Presupuestos</w:t>
      </w:r>
    </w:p>
    <w:p>
      <w:pPr>
        <w:pStyle w:val="Heading3"/>
      </w:pPr>
      <w:r>
        <w:rPr>
          <w:color w:val="004B8D"/>
        </w:rPr>
        <w:t>Objetivo</w:t>
      </w:r>
    </w:p>
    <w:p>
      <w:pPr/>
      <w:r>
        <w:t>Crear presupuestos profesionales en 5 pasos con exportación a PDF, guardado en Supabase por usuario y posibilidad de compartir vía enlace.</w:t>
      </w:r>
    </w:p>
    <w:p>
      <w:pPr>
        <w:pStyle w:val="Heading3"/>
      </w:pPr>
      <w:r>
        <w:rPr>
          <w:color w:val="004B8D"/>
        </w:rPr>
        <w:t>Wizard de 5 pasos</w:t>
      </w:r>
    </w:p>
    <w:p>
      <w:pPr/>
      <w:r>
        <w:t>PASO 1: Datos del cliente</w:t>
      </w:r>
    </w:p>
    <w:p>
      <w:pPr>
        <w:pStyle w:val="ListBullet"/>
      </w:pPr>
      <w:r>
        <w:rPr>
          <w:b/>
        </w:rPr>
        <w:t>Número:</w:t>
      </w:r>
      <w:r>
        <w:t xml:space="preserve"> auto-generado (PRES-2026-00157) o manual</w:t>
      </w:r>
    </w:p>
    <w:p>
      <w:pPr>
        <w:pStyle w:val="ListBullet"/>
      </w:pPr>
      <w:r>
        <w:rPr>
          <w:b/>
        </w:rPr>
        <w:t>Cliente:</w:t>
      </w:r>
      <w:r>
        <w:t xml:space="preserve"> selector con autocompletado (guarda nuevos automáticamente)</w:t>
      </w:r>
    </w:p>
    <w:p>
      <w:pPr>
        <w:pStyle w:val="ListBullet"/>
      </w:pPr>
      <w:r>
        <w:rPr>
          <w:b/>
        </w:rPr>
        <w:t>NIF/CIF:</w:t>
      </w:r>
      <w:r>
        <w:t xml:space="preserve"> obligatorio para &gt;3000€</w:t>
      </w:r>
    </w:p>
    <w:p>
      <w:pPr>
        <w:pStyle w:val="ListBullet"/>
      </w:pPr>
      <w:r>
        <w:rPr>
          <w:b/>
        </w:rPr>
        <w:t>Validez:</w:t>
      </w:r>
      <w:r>
        <w:t xml:space="preserve"> 30 días por defecto</w:t>
      </w:r>
    </w:p>
    <w:p>
      <w:pPr/>
      <w:r>
        <w:t>PASO 2: Selección de productos</w:t>
      </w:r>
    </w:p>
    <w:p>
      <w:pPr>
        <w:pStyle w:val="ListBullet"/>
      </w:pPr>
      <w:r>
        <w:rPr>
          <w:b/>
        </w:rPr>
        <w:t>Opción A:</w:t>
      </w:r>
      <w:r>
        <w:t xml:space="preserve"> "Buscar en catálogo" → modal con Fichas Técnicas integrado</w:t>
      </w:r>
    </w:p>
    <w:p>
      <w:pPr>
        <w:pStyle w:val="ListBullet"/>
      </w:pPr>
      <w:r>
        <w:rPr>
          <w:b/>
        </w:rPr>
        <w:t>Opción B:</w:t>
      </w:r>
      <w:r>
        <w:t xml:space="preserve"> "Añadir manualmente" → formulario referencia, descripción, precio</w:t>
      </w:r>
    </w:p>
    <w:p>
      <w:pPr>
        <w:pStyle w:val="ListBullet"/>
      </w:pPr>
      <w:r>
        <w:rPr>
          <w:b/>
        </w:rPr>
        <w:t>Tabla editable:</w:t>
      </w:r>
      <w:r>
        <w:t xml:space="preserve"> cantidad (+/-), precio, descuento %, subtotal</w:t>
      </w:r>
    </w:p>
    <w:p>
      <w:pPr/>
      <w:r>
        <w:t>PASO 3: Revisión y ajustes</w:t>
      </w:r>
    </w:p>
    <w:p>
      <w:pPr>
        <w:pStyle w:val="ListBullet"/>
      </w:pPr>
      <w:r>
        <w:rPr>
          <w:b/>
        </w:rPr>
        <w:t>Resumen:</w:t>
      </w:r>
      <w:r>
        <w:t xml:space="preserve"> base imponible, descuento global, IVE, total</w:t>
      </w:r>
    </w:p>
    <w:p>
      <w:pPr>
        <w:pStyle w:val="ListBullet"/>
      </w:pPr>
      <w:r>
        <w:t>Reordenar productos (drag &amp; drop)</w:t>
      </w:r>
    </w:p>
    <w:p>
      <w:pPr>
        <w:pStyle w:val="ListBullet"/>
      </w:pPr>
      <w:r>
        <w:t>Notas por producto</w:t>
      </w:r>
    </w:p>
    <w:p>
      <w:pPr/>
      <w:r>
        <w:t>PASO 4: Condiciones</w:t>
      </w:r>
    </w:p>
    <w:p>
      <w:pPr>
        <w:pStyle w:val="ListBullet"/>
      </w:pPr>
      <w:r>
        <w:t>Plazo de entrega, forma de pago, garantía</w:t>
      </w:r>
    </w:p>
    <w:p>
      <w:pPr>
        <w:pStyle w:val="ListBullet"/>
      </w:pPr>
      <w:r>
        <w:t>Observaciones generales</w:t>
      </w:r>
    </w:p>
    <w:p>
      <w:pPr/>
      <w:r>
        <w:t>PASO 5: Exportar</w:t>
      </w:r>
    </w:p>
    <w:p>
      <w:pPr>
        <w:pStyle w:val="ListBullet"/>
      </w:pPr>
      <w:r>
        <w:t>PDF profesional con logo, cabecera, pie</w:t>
      </w:r>
    </w:p>
    <w:p>
      <w:pPr>
        <w:pStyle w:val="ListBullet"/>
      </w:pPr>
      <w:r>
        <w:t>Guardar en Supabase (asociado al usuario)</w:t>
      </w:r>
    </w:p>
    <w:p>
      <w:pPr>
        <w:pStyle w:val="ListBullet"/>
      </w:pPr>
      <w:r>
        <w:t>Compartir vía enlace o descargar</w:t>
      </w:r>
    </w:p>
    <w:p>
      <w:pPr>
        <w:pStyle w:val="Heading3"/>
      </w:pPr>
      <w:r>
        <w:rPr>
          <w:color w:val="004B8D"/>
        </w:rPr>
        <w:t>Problemas comunes</w:t>
      </w:r>
    </w:p>
    <w:p>
      <w:pPr>
        <w:spacing w:after="40"/>
      </w:pPr>
      <w:r>
        <w:rPr>
          <w:b/>
          <w:color w:val="666666"/>
          <w:sz w:val="18"/>
        </w:rPr>
        <w:t>Tabla 17.</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Causa</w:t>
            </w:r>
          </w:p>
        </w:tc>
        <w:tc>
          <w:tcPr>
            <w:tcW w:type="dxa" w:w="2929"/>
            <w:shd w:fill="004B8D" w:val="clear"/>
          </w:tcPr>
          <w:p>
            <w:pPr>
              <w:jc w:val="center"/>
            </w:pPr>
            <w:r/>
            <w:r>
              <w:rPr>
                <w:rFonts w:ascii="Calibri" w:hAnsi="Calibri"/>
                <w:b/>
                <w:color w:val="FFFFFF"/>
                <w:sz w:val="20"/>
              </w:rPr>
              <w:t>Solución</w:t>
            </w:r>
          </w:p>
        </w:tc>
      </w:tr>
      <w:tr>
        <w:tc>
          <w:tcPr>
            <w:tcW w:type="dxa" w:w="2929"/>
            <w:shd w:fill="F5F7FA" w:val="clear"/>
          </w:tcPr>
          <w:p>
            <w:r/>
            <w:r>
              <w:rPr>
                <w:rFonts w:ascii="Calibri" w:hAnsi="Calibri"/>
                <w:sz w:val="19"/>
              </w:rPr>
              <w:t>PDF no se genera</w:t>
            </w:r>
          </w:p>
        </w:tc>
        <w:tc>
          <w:tcPr>
            <w:tcW w:type="dxa" w:w="2929"/>
            <w:shd w:fill="F5F7FA" w:val="clear"/>
          </w:tcPr>
          <w:p>
            <w:r/>
            <w:r>
              <w:rPr>
                <w:rFonts w:ascii="Calibri" w:hAnsi="Calibri"/>
                <w:sz w:val="19"/>
              </w:rPr>
              <w:t>html2canvas bloqueado por CORS</w:t>
            </w:r>
          </w:p>
        </w:tc>
        <w:tc>
          <w:tcPr>
            <w:tcW w:type="dxa" w:w="2929"/>
            <w:shd w:fill="F5F7FA" w:val="clear"/>
          </w:tcPr>
          <w:p>
            <w:r/>
            <w:r>
              <w:rPr>
                <w:rFonts w:ascii="Calibri" w:hAnsi="Calibri"/>
                <w:sz w:val="19"/>
              </w:rPr>
              <w:t>Usar vista previa primero</w:t>
            </w:r>
          </w:p>
        </w:tc>
      </w:tr>
      <w:tr>
        <w:tc>
          <w:tcPr>
            <w:tcW w:type="dxa" w:w="2929"/>
          </w:tcPr>
          <w:p>
            <w:r/>
            <w:r>
              <w:rPr>
                <w:rFonts w:ascii="Calibri" w:hAnsi="Calibri"/>
                <w:sz w:val="19"/>
              </w:rPr>
              <w:t>Producto duplicado</w:t>
            </w:r>
          </w:p>
        </w:tc>
        <w:tc>
          <w:tcPr>
            <w:tcW w:type="dxa" w:w="2929"/>
          </w:tcPr>
          <w:p>
            <w:r/>
            <w:r>
              <w:rPr>
                <w:rFonts w:ascii="Calibri" w:hAnsi="Calibri"/>
                <w:sz w:val="19"/>
              </w:rPr>
              <w:t>Añadido dos veces</w:t>
            </w:r>
          </w:p>
        </w:tc>
        <w:tc>
          <w:tcPr>
            <w:tcW w:type="dxa" w:w="2929"/>
          </w:tcPr>
          <w:p>
            <w:r/>
            <w:r>
              <w:rPr>
                <w:rFonts w:ascii="Calibri" w:hAnsi="Calibri"/>
                <w:sz w:val="19"/>
              </w:rPr>
              <w:t>Eliminar desde tabla de revisión</w:t>
            </w:r>
          </w:p>
        </w:tc>
      </w:tr>
      <w:tr>
        <w:tc>
          <w:tcPr>
            <w:tcW w:type="dxa" w:w="2929"/>
            <w:shd w:fill="F5F7FA" w:val="clear"/>
          </w:tcPr>
          <w:p>
            <w:r/>
            <w:r>
              <w:rPr>
                <w:rFonts w:ascii="Calibri" w:hAnsi="Calibri"/>
                <w:sz w:val="19"/>
              </w:rPr>
              <w:t>No guarda en BD</w:t>
            </w:r>
          </w:p>
        </w:tc>
        <w:tc>
          <w:tcPr>
            <w:tcW w:type="dxa" w:w="2929"/>
            <w:shd w:fill="F5F7FA" w:val="clear"/>
          </w:tcPr>
          <w:p>
            <w:r/>
            <w:r>
              <w:rPr>
                <w:rFonts w:ascii="Calibri" w:hAnsi="Calibri"/>
                <w:sz w:val="19"/>
              </w:rPr>
              <w:t>Usuario no autenticado</w:t>
            </w:r>
          </w:p>
        </w:tc>
        <w:tc>
          <w:tcPr>
            <w:tcW w:type="dxa" w:w="2929"/>
            <w:shd w:fill="F5F7FA" w:val="clear"/>
          </w:tcPr>
          <w:p>
            <w:r/>
            <w:r>
              <w:rPr>
                <w:rFonts w:ascii="Calibri" w:hAnsi="Calibri"/>
                <w:sz w:val="19"/>
              </w:rPr>
              <w:t>Iniciar sesión con Google</w:t>
            </w:r>
          </w:p>
        </w:tc>
      </w:tr>
    </w:tbl>
    <w:p/>
    <w:p>
      <w:pPr>
        <w:pStyle w:val="Heading2"/>
      </w:pPr>
      <w:r>
        <w:rPr>
          <w:color w:val="004B8D"/>
        </w:rPr>
        <w:t>7.4 — KPI Logístico</w:t>
      </w:r>
    </w:p>
    <w:p>
      <w:pPr>
        <w:pStyle w:val="Heading3"/>
      </w:pPr>
      <w:r>
        <w:rPr>
          <w:color w:val="004B8D"/>
        </w:rPr>
        <w:t>Objetivo</w:t>
      </w:r>
    </w:p>
    <w:p>
      <w:pPr/>
      <w:r>
        <w:t>Dashboard con 6 indicadores clave de rendimiento logístico con gráficos interactivos y semáforos de estado.</w:t>
      </w:r>
    </w:p>
    <w:p>
      <w:pPr>
        <w:pStyle w:val="Heading3"/>
      </w:pPr>
      <w:r>
        <w:rPr>
          <w:color w:val="004B8D"/>
        </w:rPr>
        <w:t>KPIs implementados</w:t>
      </w:r>
    </w:p>
    <w:p>
      <w:pPr>
        <w:spacing w:after="40"/>
      </w:pPr>
      <w:r>
        <w:rPr>
          <w:b/>
          <w:color w:val="666666"/>
          <w:sz w:val="18"/>
        </w:rPr>
        <w:t>Tabla 18.</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KPI</w:t>
            </w:r>
          </w:p>
        </w:tc>
        <w:tc>
          <w:tcPr>
            <w:tcW w:type="dxa" w:w="2197"/>
            <w:shd w:fill="004B8D" w:val="clear"/>
          </w:tcPr>
          <w:p>
            <w:pPr>
              <w:jc w:val="center"/>
            </w:pPr>
            <w:r/>
            <w:r>
              <w:rPr>
                <w:rFonts w:ascii="Calibri" w:hAnsi="Calibri"/>
                <w:b/>
                <w:color w:val="FFFFFF"/>
                <w:sz w:val="20"/>
              </w:rPr>
              <w:t>Fórmula</w:t>
            </w:r>
          </w:p>
        </w:tc>
        <w:tc>
          <w:tcPr>
            <w:tcW w:type="dxa" w:w="2197"/>
            <w:shd w:fill="004B8D" w:val="clear"/>
          </w:tcPr>
          <w:p>
            <w:pPr>
              <w:jc w:val="center"/>
            </w:pPr>
            <w:r/>
            <w:r>
              <w:rPr>
                <w:rFonts w:ascii="Calibri" w:hAnsi="Calibri"/>
                <w:b/>
                <w:color w:val="FFFFFF"/>
                <w:sz w:val="20"/>
              </w:rPr>
              <w:t>Objetivo</w:t>
            </w:r>
          </w:p>
        </w:tc>
        <w:tc>
          <w:tcPr>
            <w:tcW w:type="dxa" w:w="2197"/>
            <w:shd w:fill="004B8D" w:val="clear"/>
          </w:tcPr>
          <w:p>
            <w:pPr>
              <w:jc w:val="center"/>
            </w:pPr>
            <w:r/>
            <w:r>
              <w:rPr>
                <w:rFonts w:ascii="Calibri" w:hAnsi="Calibri"/>
                <w:b/>
                <w:color w:val="FFFFFF"/>
                <w:sz w:val="20"/>
              </w:rPr>
              <w:t>Color</w:t>
            </w:r>
          </w:p>
        </w:tc>
      </w:tr>
      <w:tr>
        <w:tc>
          <w:tcPr>
            <w:tcW w:type="dxa" w:w="2197"/>
            <w:shd w:fill="F5F7FA" w:val="clear"/>
          </w:tcPr>
          <w:p>
            <w:r/>
            <w:r>
              <w:rPr>
                <w:rFonts w:ascii="Calibri" w:hAnsi="Calibri"/>
                <w:sz w:val="19"/>
              </w:rPr>
              <w:t>OEE</w:t>
            </w:r>
          </w:p>
        </w:tc>
        <w:tc>
          <w:tcPr>
            <w:tcW w:type="dxa" w:w="2197"/>
            <w:shd w:fill="F5F7FA" w:val="clear"/>
          </w:tcPr>
          <w:p>
            <w:r/>
            <w:r>
              <w:rPr>
                <w:rFonts w:ascii="Calibri" w:hAnsi="Calibri"/>
                <w:sz w:val="19"/>
              </w:rPr>
              <w:t>Disponibilidad × Rendimiento × Calidad</w:t>
            </w:r>
          </w:p>
        </w:tc>
        <w:tc>
          <w:tcPr>
            <w:tcW w:type="dxa" w:w="2197"/>
            <w:shd w:fill="F5F7FA" w:val="clear"/>
          </w:tcPr>
          <w:p>
            <w:r/>
            <w:r>
              <w:rPr>
                <w:rFonts w:ascii="Calibri" w:hAnsi="Calibri"/>
                <w:sz w:val="19"/>
              </w:rPr>
              <w:t>&gt;85%</w:t>
            </w:r>
          </w:p>
        </w:tc>
        <w:tc>
          <w:tcPr>
            <w:tcW w:type="dxa" w:w="2197"/>
            <w:shd w:fill="F5F7FA" w:val="clear"/>
          </w:tcPr>
          <w:p>
            <w:r/>
            <w:r>
              <w:rPr>
                <w:rFonts w:ascii="Calibri" w:hAnsi="Calibri"/>
                <w:sz w:val="19"/>
              </w:rPr>
              <w:t>Verde/Ámbar/Rojo</w:t>
            </w:r>
          </w:p>
        </w:tc>
      </w:tr>
      <w:tr>
        <w:tc>
          <w:tcPr>
            <w:tcW w:type="dxa" w:w="2197"/>
          </w:tcPr>
          <w:p>
            <w:r/>
            <w:r>
              <w:rPr>
                <w:rFonts w:ascii="Calibri" w:hAnsi="Calibri"/>
                <w:sz w:val="19"/>
              </w:rPr>
              <w:t>MTTR</w:t>
            </w:r>
          </w:p>
        </w:tc>
        <w:tc>
          <w:tcPr>
            <w:tcW w:type="dxa" w:w="2197"/>
          </w:tcPr>
          <w:p>
            <w:r/>
            <w:r>
              <w:rPr>
                <w:rFonts w:ascii="Calibri" w:hAnsi="Calibri"/>
                <w:sz w:val="19"/>
              </w:rPr>
              <w:t>Tiempo medio de reparación</w:t>
            </w:r>
          </w:p>
        </w:tc>
        <w:tc>
          <w:tcPr>
            <w:tcW w:type="dxa" w:w="2197"/>
          </w:tcPr>
          <w:p>
            <w:r/>
            <w:r>
              <w:rPr>
                <w:rFonts w:ascii="Calibri" w:hAnsi="Calibri"/>
                <w:sz w:val="19"/>
              </w:rPr>
              <w:t>&lt;2h</w:t>
            </w:r>
          </w:p>
        </w:tc>
        <w:tc>
          <w:tcPr>
            <w:tcW w:type="dxa" w:w="2197"/>
          </w:tcPr>
          <w:p>
            <w:r/>
            <w:r>
              <w:rPr>
                <w:rFonts w:ascii="Calibri" w:hAnsi="Calibri"/>
                <w:sz w:val="19"/>
              </w:rPr>
              <w:t>Verde &lt;2h</w:t>
            </w:r>
          </w:p>
        </w:tc>
      </w:tr>
      <w:tr>
        <w:tc>
          <w:tcPr>
            <w:tcW w:type="dxa" w:w="2197"/>
            <w:shd w:fill="F5F7FA" w:val="clear"/>
          </w:tcPr>
          <w:p>
            <w:r/>
            <w:r>
              <w:rPr>
                <w:rFonts w:ascii="Calibri" w:hAnsi="Calibri"/>
                <w:sz w:val="19"/>
              </w:rPr>
              <w:t>MTBF</w:t>
            </w:r>
          </w:p>
        </w:tc>
        <w:tc>
          <w:tcPr>
            <w:tcW w:type="dxa" w:w="2197"/>
            <w:shd w:fill="F5F7FA" w:val="clear"/>
          </w:tcPr>
          <w:p>
            <w:r/>
            <w:r>
              <w:rPr>
                <w:rFonts w:ascii="Calibri" w:hAnsi="Calibri"/>
                <w:sz w:val="19"/>
              </w:rPr>
              <w:t>Tiempo medio entre fallos</w:t>
            </w:r>
          </w:p>
        </w:tc>
        <w:tc>
          <w:tcPr>
            <w:tcW w:type="dxa" w:w="2197"/>
            <w:shd w:fill="F5F7FA" w:val="clear"/>
          </w:tcPr>
          <w:p>
            <w:r/>
            <w:r>
              <w:rPr>
                <w:rFonts w:ascii="Calibri" w:hAnsi="Calibri"/>
                <w:sz w:val="19"/>
              </w:rPr>
              <w:t>&gt;100h</w:t>
            </w:r>
          </w:p>
        </w:tc>
        <w:tc>
          <w:tcPr>
            <w:tcW w:type="dxa" w:w="2197"/>
            <w:shd w:fill="F5F7FA" w:val="clear"/>
          </w:tcPr>
          <w:p>
            <w:r/>
            <w:r>
              <w:rPr>
                <w:rFonts w:ascii="Calibri" w:hAnsi="Calibri"/>
                <w:sz w:val="19"/>
              </w:rPr>
              <w:t>Verde &gt;100h</w:t>
            </w:r>
          </w:p>
        </w:tc>
      </w:tr>
      <w:tr>
        <w:tc>
          <w:tcPr>
            <w:tcW w:type="dxa" w:w="2197"/>
          </w:tcPr>
          <w:p>
            <w:r/>
            <w:r>
              <w:rPr>
                <w:rFonts w:ascii="Calibri" w:hAnsi="Calibri"/>
                <w:sz w:val="19"/>
              </w:rPr>
              <w:t>Fill Rate</w:t>
            </w:r>
          </w:p>
        </w:tc>
        <w:tc>
          <w:tcPr>
            <w:tcW w:type="dxa" w:w="2197"/>
          </w:tcPr>
          <w:p>
            <w:r/>
            <w:r>
              <w:rPr>
                <w:rFonts w:ascii="Calibri" w:hAnsi="Calibri"/>
                <w:sz w:val="19"/>
              </w:rPr>
              <w:t>Pedidos completos / total</w:t>
            </w:r>
          </w:p>
        </w:tc>
        <w:tc>
          <w:tcPr>
            <w:tcW w:type="dxa" w:w="2197"/>
          </w:tcPr>
          <w:p>
            <w:r/>
            <w:r>
              <w:rPr>
                <w:rFonts w:ascii="Calibri" w:hAnsi="Calibri"/>
                <w:sz w:val="19"/>
              </w:rPr>
              <w:t>&gt;95%</w:t>
            </w:r>
          </w:p>
        </w:tc>
        <w:tc>
          <w:tcPr>
            <w:tcW w:type="dxa" w:w="2197"/>
          </w:tcPr>
          <w:p>
            <w:r/>
            <w:r>
              <w:rPr>
                <w:rFonts w:ascii="Calibri" w:hAnsi="Calibri"/>
                <w:sz w:val="19"/>
              </w:rPr>
              <w:t>Verde &gt;95%</w:t>
            </w:r>
          </w:p>
        </w:tc>
      </w:tr>
      <w:tr>
        <w:tc>
          <w:tcPr>
            <w:tcW w:type="dxa" w:w="2197"/>
            <w:shd w:fill="F5F7FA" w:val="clear"/>
          </w:tcPr>
          <w:p>
            <w:r/>
            <w:r>
              <w:rPr>
                <w:rFonts w:ascii="Calibri" w:hAnsi="Calibri"/>
                <w:sz w:val="19"/>
              </w:rPr>
              <w:t>Rotación stock</w:t>
            </w:r>
          </w:p>
        </w:tc>
        <w:tc>
          <w:tcPr>
            <w:tcW w:type="dxa" w:w="2197"/>
            <w:shd w:fill="F5F7FA" w:val="clear"/>
          </w:tcPr>
          <w:p>
            <w:r/>
            <w:r>
              <w:rPr>
                <w:rFonts w:ascii="Calibri" w:hAnsi="Calibri"/>
                <w:sz w:val="19"/>
              </w:rPr>
              <w:t>Salidas / stock medio</w:t>
            </w:r>
          </w:p>
        </w:tc>
        <w:tc>
          <w:tcPr>
            <w:tcW w:type="dxa" w:w="2197"/>
            <w:shd w:fill="F5F7FA" w:val="clear"/>
          </w:tcPr>
          <w:p>
            <w:r/>
            <w:r>
              <w:rPr>
                <w:rFonts w:ascii="Calibri" w:hAnsi="Calibri"/>
                <w:sz w:val="19"/>
              </w:rPr>
              <w:t>&gt;6/año</w:t>
            </w:r>
          </w:p>
        </w:tc>
        <w:tc>
          <w:tcPr>
            <w:tcW w:type="dxa" w:w="2197"/>
            <w:shd w:fill="F5F7FA" w:val="clear"/>
          </w:tcPr>
          <w:p>
            <w:r/>
            <w:r>
              <w:rPr>
                <w:rFonts w:ascii="Calibri" w:hAnsi="Calibri"/>
                <w:sz w:val="19"/>
              </w:rPr>
              <w:t>Verde &gt;6</w:t>
            </w:r>
          </w:p>
        </w:tc>
      </w:tr>
      <w:tr>
        <w:tc>
          <w:tcPr>
            <w:tcW w:type="dxa" w:w="2197"/>
          </w:tcPr>
          <w:p>
            <w:r/>
            <w:r>
              <w:rPr>
                <w:rFonts w:ascii="Calibri" w:hAnsi="Calibri"/>
                <w:sz w:val="19"/>
              </w:rPr>
              <w:t>Precisión inventario</w:t>
            </w:r>
          </w:p>
        </w:tc>
        <w:tc>
          <w:tcPr>
            <w:tcW w:type="dxa" w:w="2197"/>
          </w:tcPr>
          <w:p>
            <w:r/>
            <w:r>
              <w:rPr>
                <w:rFonts w:ascii="Calibri" w:hAnsi="Calibri"/>
                <w:sz w:val="19"/>
              </w:rPr>
              <w:t>Stock real / stock sistema</w:t>
            </w:r>
          </w:p>
        </w:tc>
        <w:tc>
          <w:tcPr>
            <w:tcW w:type="dxa" w:w="2197"/>
          </w:tcPr>
          <w:p>
            <w:r/>
            <w:r>
              <w:rPr>
                <w:rFonts w:ascii="Calibri" w:hAnsi="Calibri"/>
                <w:sz w:val="19"/>
              </w:rPr>
              <w:t>&gt;98%</w:t>
            </w:r>
          </w:p>
        </w:tc>
        <w:tc>
          <w:tcPr>
            <w:tcW w:type="dxa" w:w="2197"/>
          </w:tcPr>
          <w:p>
            <w:r/>
            <w:r>
              <w:rPr>
                <w:rFonts w:ascii="Calibri" w:hAnsi="Calibri"/>
                <w:sz w:val="19"/>
              </w:rPr>
              <w:t>Verde &gt;98%</w:t>
            </w:r>
          </w:p>
        </w:tc>
      </w:tr>
    </w:tbl>
    <w:p/>
    <w:p>
      <w:pPr>
        <w:pStyle w:val="Heading3"/>
      </w:pPr>
      <w:r>
        <w:rPr>
          <w:color w:val="004B8D"/>
        </w:rPr>
        <w:t>Funcionalidades</w:t>
      </w:r>
    </w:p>
    <w:p>
      <w:pPr>
        <w:pStyle w:val="ListBullet"/>
      </w:pPr>
      <w:r>
        <w:t>Gráficos interactivos con Recharts (barras, líneas, semáforos)</w:t>
      </w:r>
    </w:p>
    <w:p>
      <w:pPr>
        <w:pStyle w:val="ListBullet"/>
      </w:pPr>
      <w:r>
        <w:rPr>
          <w:b/>
        </w:rPr>
        <w:t>Filtro por período:</w:t>
      </w:r>
      <w:r>
        <w:t xml:space="preserve"> día, semana, mes, trimestre, año</w:t>
      </w:r>
    </w:p>
    <w:p>
      <w:pPr>
        <w:pStyle w:val="ListBullet"/>
      </w:pPr>
      <w:r>
        <w:t>Exportación a PNG del dashboard</w:t>
      </w:r>
    </w:p>
    <w:p>
      <w:pPr>
        <w:pStyle w:val="ListBullet"/>
      </w:pPr>
      <w:r>
        <w:t>Actualización en tiempo real con Supabase Realtime</w:t>
      </w:r>
    </w:p>
    <w:p>
      <w:pPr>
        <w:pStyle w:val="Heading2"/>
      </w:pPr>
      <w:r>
        <w:rPr>
          <w:color w:val="004B8D"/>
        </w:rPr>
        <w:t>7.5 — Simulador de Almacén</w:t>
      </w:r>
    </w:p>
    <w:p>
      <w:pPr>
        <w:pStyle w:val="Heading3"/>
      </w:pPr>
      <w:r>
        <w:rPr>
          <w:color w:val="004B8D"/>
        </w:rPr>
        <w:t>Objetivo</w:t>
      </w:r>
    </w:p>
    <w:p>
      <w:pPr/>
      <w:r>
        <w:t>Formación interactiva de nuevos empleados en procesos logísticos. 4 etapas secuenciales con escenarios de incidencias.</w:t>
      </w:r>
    </w:p>
    <w:p>
      <w:pPr>
        <w:pStyle w:val="Heading3"/>
      </w:pPr>
      <w:r>
        <w:rPr>
          <w:color w:val="004B8D"/>
        </w:rPr>
        <w:t>Las 4 etapas</w:t>
      </w:r>
    </w:p>
    <w:p>
      <w:pPr>
        <w:pStyle w:val="ListBullet"/>
      </w:pPr>
      <w:r>
        <w:rPr>
          <w:b/>
        </w:rPr>
        <w:t>Etapa 1 — Recepción:</w:t>
      </w:r>
      <w:r>
        <w:t xml:space="preserve"> Introducir datos del pedido recibido. Confirmar recepción. Sistema verifica coincidencia con albarán.</w:t>
      </w:r>
    </w:p>
    <w:p>
      <w:pPr>
        <w:pStyle w:val="ListBullet"/>
      </w:pPr>
      <w:r>
        <w:rPr>
          <w:b/>
        </w:rPr>
        <w:t>Etapa 2 — Almacenamiento:</w:t>
      </w:r>
      <w:r>
        <w:t xml:space="preserve"> Asignar ubicación a cada producto. Verificar capacidad del almacén. Sistema sugiere ubicación óptima.</w:t>
      </w:r>
    </w:p>
    <w:p>
      <w:pPr>
        <w:pStyle w:val="ListBullet"/>
      </w:pPr>
      <w:r>
        <w:rPr>
          <w:b/>
        </w:rPr>
        <w:t>Etapa 3</w:t>
      </w:r>
      <w:r>
        <w:t xml:space="preserve"> — Preparación de pedido: Introducir pedido cliente. Sistema verifica disponibilidad. Confirmar preparación. Generar picking list.</w:t>
      </w:r>
    </w:p>
    <w:p>
      <w:pPr>
        <w:pStyle w:val="ListBullet"/>
      </w:pPr>
      <w:r>
        <w:rPr>
          <w:b/>
        </w:rPr>
        <w:t>Etapa 4 — Expedición:</w:t>
      </w:r>
      <w:r>
        <w:t xml:space="preserve"> Confirmar productos preparados. Generar albarán. Registrar salida. Actualizar stock.</w:t>
      </w:r>
    </w:p>
    <w:p>
      <w:pPr>
        <w:pStyle w:val="Heading3"/>
      </w:pPr>
      <w:r>
        <w:rPr>
          <w:color w:val="004B8D"/>
        </w:rPr>
        <w:t>Escenarios de incidencias</w:t>
      </w:r>
    </w:p>
    <w:p>
      <w:pPr>
        <w:pStyle w:val="ListBullet"/>
      </w:pPr>
      <w:r>
        <w:rPr>
          <w:b/>
        </w:rPr>
        <w:t>Producto dañado en recepción:</w:t>
      </w:r>
      <w:r>
        <w:t xml:space="preserve"> el alumno debe decidir si rechazar o aceptar con descuento</w:t>
      </w:r>
    </w:p>
    <w:p>
      <w:pPr>
        <w:pStyle w:val="ListBullet"/>
      </w:pPr>
      <w:r>
        <w:rPr>
          <w:b/>
        </w:rPr>
        <w:t>Stock insuficiente:</w:t>
      </w:r>
      <w:r>
        <w:t xml:space="preserve"> el alumno debe sugerir alternativa al cliente</w:t>
      </w:r>
    </w:p>
    <w:p>
      <w:pPr>
        <w:pStyle w:val="ListBullet"/>
      </w:pPr>
      <w:r>
        <w:rPr>
          <w:b/>
        </w:rPr>
        <w:t>Ubicación incorrecta:</w:t>
      </w:r>
      <w:r>
        <w:t xml:space="preserve"> el alumno debe detectar y corregir</w:t>
      </w:r>
    </w:p>
    <w:p>
      <w:pPr>
        <w:pStyle w:val="ListBullet"/>
      </w:pPr>
      <w:r>
        <w:rPr>
          <w:b/>
        </w:rPr>
        <w:t>Pedido urgente:</w:t>
      </w:r>
      <w:r>
        <w:t xml:space="preserve"> priorizar sobre pedidos normales</w:t>
      </w:r>
    </w:p>
    <w:p>
      <w:pPr>
        <w:pStyle w:val="Heading2"/>
      </w:pPr>
      <w:r>
        <w:rPr>
          <w:color w:val="004B8D"/>
        </w:rPr>
        <w:t>7.6 — Incidencias</w:t>
      </w:r>
    </w:p>
    <w:p>
      <w:pPr>
        <w:pStyle w:val="Heading3"/>
      </w:pPr>
      <w:r>
        <w:rPr>
          <w:color w:val="004B8D"/>
        </w:rPr>
        <w:t>Objetivo</w:t>
      </w:r>
    </w:p>
    <w:p>
      <w:pPr/>
      <w:r>
        <w:t>Registro y diagnóstico estructurado de incidencias técnicas con asistencia de IA.</w:t>
      </w:r>
    </w:p>
    <w:p>
      <w:pPr>
        <w:pStyle w:val="Heading3"/>
      </w:pPr>
      <w:r>
        <w:rPr>
          <w:color w:val="004B8D"/>
        </w:rPr>
        <w:t>Funcionalidades</w:t>
      </w:r>
    </w:p>
    <w:p>
      <w:pPr>
        <w:pStyle w:val="ListBullet"/>
      </w:pPr>
      <w:r>
        <w:rPr>
          <w:b/>
        </w:rPr>
        <w:t>CRUD completo:</w:t>
      </w:r>
      <w:r>
        <w:t xml:space="preserve"> crear, leer, actualizar, eliminar incidencias</w:t>
      </w:r>
    </w:p>
    <w:p>
      <w:pPr>
        <w:pStyle w:val="ListBullet"/>
      </w:pPr>
      <w:r>
        <w:rPr>
          <w:b/>
        </w:rPr>
        <w:t>Campos:</w:t>
      </w:r>
      <w:r>
        <w:t xml:space="preserve"> título, descripción, categoría, prioridad (baja/media/alta/crítica), estado, fecha</w:t>
      </w:r>
    </w:p>
    <w:p>
      <w:pPr>
        <w:pStyle w:val="ListBullet"/>
      </w:pPr>
      <w:r>
        <w:rPr>
          <w:b/>
        </w:rPr>
        <w:t>Diagnóstico IA:</w:t>
      </w:r>
      <w:r>
        <w:t xml:space="preserve"> botón "Diagnosticar con IA" → llama a SONEX con contexto de la incidencia</w:t>
      </w:r>
    </w:p>
    <w:p>
      <w:pPr>
        <w:pStyle w:val="ListBullet"/>
      </w:pPr>
      <w:r>
        <w:rPr>
          <w:b/>
        </w:rPr>
        <w:t>Historial de cambios:</w:t>
      </w:r>
      <w:r>
        <w:t xml:space="preserve"> tracking de estado y asignaciones</w:t>
      </w:r>
    </w:p>
    <w:p>
      <w:pPr>
        <w:pStyle w:val="ListBullet"/>
      </w:pPr>
      <w:r>
        <w:t>Filtros por estado, prioridad, categoría, fecha</w:t>
      </w:r>
    </w:p>
    <w:p>
      <w:pPr>
        <w:pStyle w:val="Heading2"/>
      </w:pPr>
      <w:r>
        <w:rPr>
          <w:color w:val="004B8D"/>
        </w:rPr>
        <w:t>7.7 — Formación</w:t>
      </w:r>
    </w:p>
    <w:p>
      <w:pPr>
        <w:pStyle w:val="Heading3"/>
      </w:pPr>
      <w:r>
        <w:rPr>
          <w:color w:val="004B8D"/>
        </w:rPr>
        <w:t>Objetivo</w:t>
      </w:r>
    </w:p>
    <w:p>
      <w:pPr/>
      <w:r>
        <w:t>Matriz de formación por empleado y módulo con KPIs de progreso.</w:t>
      </w:r>
    </w:p>
    <w:p>
      <w:pPr>
        <w:pStyle w:val="Heading3"/>
      </w:pPr>
      <w:r>
        <w:rPr>
          <w:color w:val="004B8D"/>
        </w:rPr>
        <w:t>Funcionalidades</w:t>
      </w:r>
    </w:p>
    <w:p>
      <w:pPr>
        <w:pStyle w:val="ListBullet"/>
      </w:pPr>
      <w:r>
        <w:rPr>
          <w:b/>
        </w:rPr>
        <w:t>Matriz:</w:t>
      </w:r>
      <w:r>
        <w:t xml:space="preserve"> empleados × módulos formativos</w:t>
      </w:r>
    </w:p>
    <w:p>
      <w:pPr>
        <w:pStyle w:val="ListBullet"/>
      </w:pPr>
      <w:r>
        <w:rPr>
          <w:b/>
        </w:rPr>
        <w:t>Estados:</w:t>
      </w:r>
      <w:r>
        <w:t xml:space="preserve"> pendiente, en curso, completado, caducado</w:t>
      </w:r>
    </w:p>
    <w:p>
      <w:pPr>
        <w:pStyle w:val="ListBullet"/>
      </w:pPr>
      <w:r>
        <w:rPr>
          <w:b/>
        </w:rPr>
        <w:t>KPIs:</w:t>
      </w:r>
      <w:r>
        <w:t xml:space="preserve"> % completado por empleado, % completado por módulo</w:t>
      </w:r>
    </w:p>
    <w:p>
      <w:pPr>
        <w:pStyle w:val="ListBullet"/>
      </w:pPr>
      <w:r>
        <w:t>Alertas de caducidad (PRL, normativa)</w:t>
      </w:r>
    </w:p>
    <w:p>
      <w:pPr>
        <w:pStyle w:val="ListBullet"/>
      </w:pPr>
      <w:r>
        <w:t>Exportación a Excel para RRHH</w:t>
      </w:r>
    </w:p>
    <w:p>
      <w:pPr>
        <w:pStyle w:val="ListBullet"/>
      </w:pPr>
      <w:r>
        <w:rPr>
          <w:b/>
        </w:rPr>
        <w:t>Sin backend:</w:t>
      </w:r>
      <w:r>
        <w:t xml:space="preserve"> localStorage (datos no críticos)</w:t>
      </w:r>
    </w:p>
    <w:p>
      <w:pPr>
        <w:pStyle w:val="Heading1"/>
      </w:pPr>
      <w:r>
        <w:rPr>
          <w:color w:val="004B8D"/>
        </w:rPr>
        <w:t>8. RESULTADOS</w:t>
      </w:r>
    </w:p>
    <w:p>
      <w:pPr>
        <w:pStyle w:val="Heading2"/>
      </w:pPr>
      <w:r>
        <w:rPr>
          <w:color w:val="004B8D"/>
        </w:rPr>
        <w:t>8.1 — Resultados cualitativos</w:t>
      </w:r>
    </w:p>
    <w:p>
      <w:pPr>
        <w:spacing w:after="40"/>
      </w:pPr>
      <w:r>
        <w:rPr>
          <w:b/>
          <w:color w:val="666666"/>
          <w:sz w:val="18"/>
        </w:rPr>
        <w:t>Tabla 19.</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Módulo</w:t>
            </w:r>
          </w:p>
        </w:tc>
        <w:tc>
          <w:tcPr>
            <w:tcW w:type="dxa" w:w="4394"/>
            <w:shd w:fill="004B8D" w:val="clear"/>
          </w:tcPr>
          <w:p>
            <w:pPr>
              <w:jc w:val="center"/>
            </w:pPr>
            <w:r/>
            <w:r>
              <w:rPr>
                <w:rFonts w:ascii="Calibri" w:hAnsi="Calibri"/>
                <w:b/>
                <w:color w:val="FFFFFF"/>
                <w:sz w:val="20"/>
              </w:rPr>
              <w:t>Valor entregado</w:t>
            </w:r>
          </w:p>
        </w:tc>
      </w:tr>
      <w:tr>
        <w:tc>
          <w:tcPr>
            <w:tcW w:type="dxa" w:w="4394"/>
            <w:shd w:fill="F5F7FA" w:val="clear"/>
          </w:tcPr>
          <w:p>
            <w:r/>
            <w:r>
              <w:rPr>
                <w:rFonts w:ascii="Calibri" w:hAnsi="Calibri"/>
                <w:sz w:val="19"/>
              </w:rPr>
              <w:t>Fichas Técnicas</w:t>
            </w:r>
          </w:p>
        </w:tc>
        <w:tc>
          <w:tcPr>
            <w:tcW w:type="dxa" w:w="4394"/>
            <w:shd w:fill="F5F7FA" w:val="clear"/>
          </w:tcPr>
          <w:p>
            <w:r/>
            <w:r>
              <w:rPr>
                <w:rFonts w:ascii="Calibri" w:hAnsi="Calibri"/>
                <w:sz w:val="19"/>
              </w:rPr>
              <w:t>400K+ productos, navegación 8 familias, logo automático</w:t>
            </w:r>
          </w:p>
        </w:tc>
      </w:tr>
      <w:tr>
        <w:tc>
          <w:tcPr>
            <w:tcW w:type="dxa" w:w="4394"/>
          </w:tcPr>
          <w:p>
            <w:r/>
            <w:r>
              <w:rPr>
                <w:rFonts w:ascii="Calibri" w:hAnsi="Calibri"/>
                <w:sz w:val="19"/>
              </w:rPr>
              <w:t>SONEX</w:t>
            </w:r>
          </w:p>
        </w:tc>
        <w:tc>
          <w:tcPr>
            <w:tcW w:type="dxa" w:w="4394"/>
          </w:tcPr>
          <w:p>
            <w:r/>
            <w:r>
              <w:rPr>
                <w:rFonts w:ascii="Calibri" w:hAnsi="Calibri"/>
                <w:sz w:val="19"/>
              </w:rPr>
              <w:t>Streaming en tiempo real, extracción referencias, diagnóstico</w:t>
            </w:r>
          </w:p>
        </w:tc>
      </w:tr>
      <w:tr>
        <w:tc>
          <w:tcPr>
            <w:tcW w:type="dxa" w:w="4394"/>
            <w:shd w:fill="F5F7FA" w:val="clear"/>
          </w:tcPr>
          <w:p>
            <w:r/>
            <w:r>
              <w:rPr>
                <w:rFonts w:ascii="Calibri" w:hAnsi="Calibri"/>
                <w:sz w:val="19"/>
              </w:rPr>
              <w:t>Simulador</w:t>
            </w:r>
          </w:p>
        </w:tc>
        <w:tc>
          <w:tcPr>
            <w:tcW w:type="dxa" w:w="4394"/>
            <w:shd w:fill="F5F7FA" w:val="clear"/>
          </w:tcPr>
          <w:p>
            <w:r/>
            <w:r>
              <w:rPr>
                <w:rFonts w:ascii="Calibri" w:hAnsi="Calibri"/>
                <w:sz w:val="19"/>
              </w:rPr>
              <w:t>4 etapas con escenarios de incidencias</w:t>
            </w:r>
          </w:p>
        </w:tc>
      </w:tr>
      <w:tr>
        <w:tc>
          <w:tcPr>
            <w:tcW w:type="dxa" w:w="4394"/>
          </w:tcPr>
          <w:p>
            <w:r/>
            <w:r>
              <w:rPr>
                <w:rFonts w:ascii="Calibri" w:hAnsi="Calibri"/>
                <w:sz w:val="19"/>
              </w:rPr>
              <w:t>Presupuestos</w:t>
            </w:r>
          </w:p>
        </w:tc>
        <w:tc>
          <w:tcPr>
            <w:tcW w:type="dxa" w:w="4394"/>
          </w:tcPr>
          <w:p>
            <w:r/>
            <w:r>
              <w:rPr>
                <w:rFonts w:ascii="Calibri" w:hAnsi="Calibri"/>
                <w:sz w:val="19"/>
              </w:rPr>
              <w:t>Wizard 5 pasos, PDF profesional</w:t>
            </w:r>
          </w:p>
        </w:tc>
      </w:tr>
      <w:tr>
        <w:tc>
          <w:tcPr>
            <w:tcW w:type="dxa" w:w="4394"/>
            <w:shd w:fill="F5F7FA" w:val="clear"/>
          </w:tcPr>
          <w:p>
            <w:r/>
            <w:r>
              <w:rPr>
                <w:rFonts w:ascii="Calibri" w:hAnsi="Calibri"/>
                <w:sz w:val="19"/>
              </w:rPr>
              <w:t>Formación</w:t>
            </w:r>
          </w:p>
        </w:tc>
        <w:tc>
          <w:tcPr>
            <w:tcW w:type="dxa" w:w="4394"/>
            <w:shd w:fill="F5F7FA" w:val="clear"/>
          </w:tcPr>
          <w:p>
            <w:r/>
            <w:r>
              <w:rPr>
                <w:rFonts w:ascii="Calibri" w:hAnsi="Calibri"/>
                <w:sz w:val="19"/>
              </w:rPr>
              <w:t>Matriz por empleado y módulo, KPIs</w:t>
            </w:r>
          </w:p>
        </w:tc>
      </w:tr>
      <w:tr>
        <w:tc>
          <w:tcPr>
            <w:tcW w:type="dxa" w:w="4394"/>
          </w:tcPr>
          <w:p>
            <w:r/>
            <w:r>
              <w:rPr>
                <w:rFonts w:ascii="Calibri" w:hAnsi="Calibri"/>
                <w:sz w:val="19"/>
              </w:rPr>
              <w:t>Incidencias</w:t>
            </w:r>
          </w:p>
        </w:tc>
        <w:tc>
          <w:tcPr>
            <w:tcW w:type="dxa" w:w="4394"/>
          </w:tcPr>
          <w:p>
            <w:r/>
            <w:r>
              <w:rPr>
                <w:rFonts w:ascii="Calibri" w:hAnsi="Calibri"/>
                <w:sz w:val="19"/>
              </w:rPr>
              <w:t>CRUD completo, diagnóstico IA automático</w:t>
            </w:r>
          </w:p>
        </w:tc>
      </w:tr>
      <w:tr>
        <w:tc>
          <w:tcPr>
            <w:tcW w:type="dxa" w:w="4394"/>
            <w:shd w:fill="F5F7FA" w:val="clear"/>
          </w:tcPr>
          <w:p>
            <w:r/>
            <w:r>
              <w:rPr>
                <w:rFonts w:ascii="Calibri" w:hAnsi="Calibri"/>
                <w:sz w:val="19"/>
              </w:rPr>
              <w:t>KPI</w:t>
            </w:r>
          </w:p>
        </w:tc>
        <w:tc>
          <w:tcPr>
            <w:tcW w:type="dxa" w:w="4394"/>
            <w:shd w:fill="F5F7FA" w:val="clear"/>
          </w:tcPr>
          <w:p>
            <w:r/>
            <w:r>
              <w:rPr>
                <w:rFonts w:ascii="Calibri" w:hAnsi="Calibri"/>
                <w:sz w:val="19"/>
              </w:rPr>
              <w:t>6 KPIs con semáforos (OEE, MTTR, MTBF, Fill Rate, Rotación, Precisión)</w:t>
            </w:r>
          </w:p>
        </w:tc>
      </w:tr>
    </w:tbl>
    <w:p/>
    <w:p>
      <w:pPr>
        <w:pStyle w:val="Heading2"/>
      </w:pPr>
      <w:r>
        <w:rPr>
          <w:color w:val="004B8D"/>
        </w:rPr>
        <w:t>8.2 — Resultados cuantitativos</w:t>
      </w:r>
    </w:p>
    <w:p>
      <w:pPr>
        <w:spacing w:after="40"/>
      </w:pPr>
      <w:r>
        <w:rPr>
          <w:b/>
          <w:color w:val="666666"/>
          <w:sz w:val="18"/>
        </w:rPr>
        <w:t>Tabla 20.</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Métrica</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Líneas de código (src/)</w:t>
            </w:r>
          </w:p>
        </w:tc>
        <w:tc>
          <w:tcPr>
            <w:tcW w:type="dxa" w:w="4394"/>
            <w:shd w:fill="F5F7FA" w:val="clear"/>
          </w:tcPr>
          <w:p>
            <w:r/>
            <w:r>
              <w:rPr>
                <w:rFonts w:ascii="Calibri" w:hAnsi="Calibri"/>
                <w:sz w:val="19"/>
              </w:rPr>
              <w:t>15.721 en 123 archivos</w:t>
            </w:r>
          </w:p>
        </w:tc>
      </w:tr>
      <w:tr>
        <w:tc>
          <w:tcPr>
            <w:tcW w:type="dxa" w:w="4394"/>
          </w:tcPr>
          <w:p>
            <w:r/>
            <w:r>
              <w:rPr>
                <w:rFonts w:ascii="Calibri" w:hAnsi="Calibri"/>
                <w:sz w:val="19"/>
              </w:rPr>
              <w:t>Tests unitarios</w:t>
            </w:r>
          </w:p>
        </w:tc>
        <w:tc>
          <w:tcPr>
            <w:tcW w:type="dxa" w:w="4394"/>
          </w:tcPr>
          <w:p>
            <w:r/>
            <w:r>
              <w:rPr>
                <w:rFonts w:ascii="Calibri" w:hAnsi="Calibri"/>
                <w:sz w:val="19"/>
              </w:rPr>
              <w:t>272 pasando (12 test files)</w:t>
            </w:r>
          </w:p>
        </w:tc>
      </w:tr>
      <w:tr>
        <w:tc>
          <w:tcPr>
            <w:tcW w:type="dxa" w:w="4394"/>
            <w:shd w:fill="F5F7FA" w:val="clear"/>
          </w:tcPr>
          <w:p>
            <w:r/>
            <w:r>
              <w:rPr>
                <w:rFonts w:ascii="Calibri" w:hAnsi="Calibri"/>
                <w:sz w:val="19"/>
              </w:rPr>
              <w:t>Build time</w:t>
            </w:r>
          </w:p>
        </w:tc>
        <w:tc>
          <w:tcPr>
            <w:tcW w:type="dxa" w:w="4394"/>
            <w:shd w:fill="F5F7FA" w:val="clear"/>
          </w:tcPr>
          <w:p>
            <w:r/>
            <w:r>
              <w:rPr>
                <w:rFonts w:ascii="Calibri" w:hAnsi="Calibri"/>
                <w:sz w:val="19"/>
              </w:rPr>
              <w:t>9.7 segundos (Vercel con caché)</w:t>
            </w:r>
          </w:p>
        </w:tc>
      </w:tr>
      <w:tr>
        <w:tc>
          <w:tcPr>
            <w:tcW w:type="dxa" w:w="4394"/>
          </w:tcPr>
          <w:p>
            <w:r/>
            <w:r>
              <w:rPr>
                <w:rFonts w:ascii="Calibri" w:hAnsi="Calibri"/>
                <w:sz w:val="19"/>
              </w:rPr>
              <w:t>Dist size</w:t>
            </w:r>
          </w:p>
        </w:tc>
        <w:tc>
          <w:tcPr>
            <w:tcW w:type="dxa" w:w="4394"/>
          </w:tcPr>
          <w:p>
            <w:r/>
            <w:r>
              <w:rPr>
                <w:rFonts w:ascii="Calibri" w:hAnsi="Calibri"/>
                <w:sz w:val="19"/>
              </w:rPr>
              <w:t>3.455 KB (69 entradas PWA)</w:t>
            </w:r>
          </w:p>
        </w:tc>
      </w:tr>
      <w:tr>
        <w:tc>
          <w:tcPr>
            <w:tcW w:type="dxa" w:w="4394"/>
            <w:shd w:fill="F5F7FA" w:val="clear"/>
          </w:tcPr>
          <w:p>
            <w:r/>
            <w:r>
              <w:rPr>
                <w:rFonts w:ascii="Calibri" w:hAnsi="Calibri"/>
                <w:sz w:val="19"/>
              </w:rPr>
              <w:t>Vendor chunks</w:t>
            </w:r>
          </w:p>
        </w:tc>
        <w:tc>
          <w:tcPr>
            <w:tcW w:type="dxa" w:w="4394"/>
            <w:shd w:fill="F5F7FA" w:val="clear"/>
          </w:tcPr>
          <w:p>
            <w:r/>
            <w:r>
              <w:rPr>
                <w:rFonts w:ascii="Calibri" w:hAnsi="Calibri"/>
                <w:sz w:val="19"/>
              </w:rPr>
              <w:t>6 (React, animations, charts, icons, utils, pdf)</w:t>
            </w:r>
          </w:p>
        </w:tc>
      </w:tr>
      <w:tr>
        <w:tc>
          <w:tcPr>
            <w:tcW w:type="dxa" w:w="4394"/>
          </w:tcPr>
          <w:p>
            <w:r/>
            <w:r>
              <w:rPr>
                <w:rFonts w:ascii="Calibri" w:hAnsi="Calibri"/>
                <w:sz w:val="19"/>
              </w:rPr>
              <w:t>Coste total</w:t>
            </w:r>
          </w:p>
        </w:tc>
        <w:tc>
          <w:tcPr>
            <w:tcW w:type="dxa" w:w="4394"/>
          </w:tcPr>
          <w:p>
            <w:r/>
            <w:r>
              <w:rPr>
                <w:rFonts w:ascii="Calibri" w:hAnsi="Calibri"/>
                <w:sz w:val="19"/>
              </w:rPr>
              <w:t>0 € (todo free tier)</w:t>
            </w:r>
          </w:p>
        </w:tc>
      </w:tr>
      <w:tr>
        <w:tc>
          <w:tcPr>
            <w:tcW w:type="dxa" w:w="4394"/>
            <w:shd w:fill="F5F7FA" w:val="clear"/>
          </w:tcPr>
          <w:p>
            <w:r/>
            <w:r>
              <w:rPr>
                <w:rFonts w:ascii="Calibri" w:hAnsi="Calibri"/>
                <w:sz w:val="19"/>
              </w:rPr>
              <w:t>Categorías de producto</w:t>
            </w:r>
          </w:p>
        </w:tc>
        <w:tc>
          <w:tcPr>
            <w:tcW w:type="dxa" w:w="4394"/>
            <w:shd w:fill="F5F7FA" w:val="clear"/>
          </w:tcPr>
          <w:p>
            <w:r/>
            <w:r>
              <w:rPr>
                <w:rFonts w:ascii="Calibri" w:hAnsi="Calibri"/>
                <w:sz w:val="19"/>
              </w:rPr>
              <w:t>8 familias</w:t>
            </w:r>
          </w:p>
        </w:tc>
      </w:tr>
      <w:tr>
        <w:tc>
          <w:tcPr>
            <w:tcW w:type="dxa" w:w="4394"/>
          </w:tcPr>
          <w:p>
            <w:r/>
            <w:r>
              <w:rPr>
                <w:rFonts w:ascii="Calibri" w:hAnsi="Calibri"/>
                <w:sz w:val="19"/>
              </w:rPr>
              <w:t>Hooks personalizados</w:t>
            </w:r>
          </w:p>
        </w:tc>
        <w:tc>
          <w:tcPr>
            <w:tcW w:type="dxa" w:w="4394"/>
          </w:tcPr>
          <w:p>
            <w:r/>
            <w:r>
              <w:rPr>
                <w:rFonts w:ascii="Calibri" w:hAnsi="Calibri"/>
                <w:sz w:val="19"/>
              </w:rPr>
              <w:t>13 (2.525 líneas totales)</w:t>
            </w:r>
          </w:p>
        </w:tc>
      </w:tr>
      <w:tr>
        <w:tc>
          <w:tcPr>
            <w:tcW w:type="dxa" w:w="4394"/>
            <w:shd w:fill="F5F7FA" w:val="clear"/>
          </w:tcPr>
          <w:p>
            <w:r/>
            <w:r>
              <w:rPr>
                <w:rFonts w:ascii="Calibri" w:hAnsi="Calibri"/>
                <w:sz w:val="19"/>
              </w:rPr>
              <w:t>Componentes UI</w:t>
            </w:r>
          </w:p>
        </w:tc>
        <w:tc>
          <w:tcPr>
            <w:tcW w:type="dxa" w:w="4394"/>
            <w:shd w:fill="F5F7FA" w:val="clear"/>
          </w:tcPr>
          <w:p>
            <w:r/>
            <w:r>
              <w:rPr>
                <w:rFonts w:ascii="Calibri" w:hAnsi="Calibri"/>
                <w:sz w:val="19"/>
              </w:rPr>
              <w:t>64 reutilizables</w:t>
            </w:r>
          </w:p>
        </w:tc>
      </w:tr>
      <w:tr>
        <w:tc>
          <w:tcPr>
            <w:tcW w:type="dxa" w:w="4394"/>
          </w:tcPr>
          <w:p>
            <w:r/>
            <w:r>
              <w:rPr>
                <w:rFonts w:ascii="Calibri" w:hAnsi="Calibri"/>
                <w:sz w:val="19"/>
              </w:rPr>
              <w:t>Servicios backend</w:t>
            </w:r>
          </w:p>
        </w:tc>
        <w:tc>
          <w:tcPr>
            <w:tcW w:type="dxa" w:w="4394"/>
          </w:tcPr>
          <w:p>
            <w:r/>
            <w:r>
              <w:rPr>
                <w:rFonts w:ascii="Calibri" w:hAnsi="Calibri"/>
                <w:sz w:val="19"/>
              </w:rPr>
              <w:t>3</w:t>
            </w:r>
          </w:p>
        </w:tc>
      </w:tr>
    </w:tbl>
    <w:p/>
    <w:p>
      <w:pPr>
        <w:pStyle w:val="Heading2"/>
      </w:pPr>
      <w:r>
        <w:rPr>
          <w:color w:val="004B8D"/>
        </w:rPr>
        <w:t>8.3 — Valoración técnica (CTO Audit)</w:t>
      </w:r>
    </w:p>
    <w:p>
      <w:pPr>
        <w:spacing w:after="40"/>
      </w:pPr>
      <w:r>
        <w:rPr>
          <w:b/>
          <w:color w:val="666666"/>
          <w:sz w:val="18"/>
        </w:rPr>
        <w:t>Tabla 21.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Aspecto</w:t>
            </w:r>
          </w:p>
        </w:tc>
        <w:tc>
          <w:tcPr>
            <w:tcW w:type="dxa" w:w="2929"/>
            <w:shd w:fill="004B8D" w:val="clear"/>
          </w:tcPr>
          <w:p>
            <w:pPr>
              <w:jc w:val="center"/>
            </w:pPr>
            <w:r/>
            <w:r>
              <w:rPr>
                <w:rFonts w:ascii="Calibri" w:hAnsi="Calibri"/>
                <w:b/>
                <w:color w:val="FFFFFF"/>
                <w:sz w:val="20"/>
              </w:rPr>
              <w:t>Puntuación</w:t>
            </w:r>
          </w:p>
        </w:tc>
        <w:tc>
          <w:tcPr>
            <w:tcW w:type="dxa" w:w="2929"/>
            <w:shd w:fill="004B8D" w:val="clear"/>
          </w:tcPr>
          <w:p>
            <w:pPr>
              <w:jc w:val="center"/>
            </w:pPr>
            <w:r/>
            <w:r>
              <w:rPr>
                <w:rFonts w:ascii="Calibri" w:hAnsi="Calibri"/>
                <w:b/>
                <w:color w:val="FFFFFF"/>
                <w:sz w:val="20"/>
              </w:rPr>
              <w:t>Comentario</w:t>
            </w:r>
          </w:p>
        </w:tc>
      </w:tr>
      <w:tr>
        <w:tc>
          <w:tcPr>
            <w:tcW w:type="dxa" w:w="2929"/>
            <w:shd w:fill="F5F7FA" w:val="clear"/>
          </w:tcPr>
          <w:p>
            <w:r/>
            <w:r>
              <w:rPr>
                <w:rFonts w:ascii="Calibri" w:hAnsi="Calibri"/>
                <w:sz w:val="19"/>
              </w:rPr>
              <w:t>Arquitectura</w:t>
            </w:r>
          </w:p>
        </w:tc>
        <w:tc>
          <w:tcPr>
            <w:tcW w:type="dxa" w:w="2929"/>
            <w:shd w:fill="F5F7FA" w:val="clear"/>
          </w:tcPr>
          <w:p>
            <w:r/>
            <w:r>
              <w:rPr>
                <w:rFonts w:ascii="Calibri" w:hAnsi="Calibri"/>
                <w:sz w:val="19"/>
              </w:rPr>
              <w:t>7/10</w:t>
            </w:r>
          </w:p>
        </w:tc>
        <w:tc>
          <w:tcPr>
            <w:tcW w:type="dxa" w:w="2929"/>
            <w:shd w:fill="F5F7FA" w:val="clear"/>
          </w:tcPr>
          <w:p>
            <w:r/>
            <w:r>
              <w:rPr>
                <w:rFonts w:ascii="Calibri" w:hAnsi="Calibri"/>
                <w:sz w:val="19"/>
              </w:rPr>
              <w:t>Reduce useReducer para useNavegacionFichas</w:t>
            </w:r>
          </w:p>
        </w:tc>
      </w:tr>
      <w:tr>
        <w:tc>
          <w:tcPr>
            <w:tcW w:type="dxa" w:w="2929"/>
          </w:tcPr>
          <w:p>
            <w:r/>
            <w:r>
              <w:rPr>
                <w:rFonts w:ascii="Calibri" w:hAnsi="Calibri"/>
                <w:sz w:val="19"/>
              </w:rPr>
              <w:t>Testing</w:t>
            </w:r>
          </w:p>
        </w:tc>
        <w:tc>
          <w:tcPr>
            <w:tcW w:type="dxa" w:w="2929"/>
          </w:tcPr>
          <w:p>
            <w:r/>
            <w:r>
              <w:rPr>
                <w:rFonts w:ascii="Calibri" w:hAnsi="Calibri"/>
                <w:sz w:val="19"/>
              </w:rPr>
              <w:t>8/10</w:t>
            </w:r>
          </w:p>
        </w:tc>
        <w:tc>
          <w:tcPr>
            <w:tcW w:type="dxa" w:w="2929"/>
          </w:tcPr>
          <w:p>
            <w:r/>
            <w:r>
              <w:rPr>
                <w:rFonts w:ascii="Calibri" w:hAnsi="Calibri"/>
                <w:sz w:val="19"/>
              </w:rPr>
              <w:t>272 tests cubriendo servicios y hooks</w:t>
            </w:r>
          </w:p>
        </w:tc>
      </w:tr>
      <w:tr>
        <w:tc>
          <w:tcPr>
            <w:tcW w:type="dxa" w:w="2929"/>
            <w:shd w:fill="F5F7FA" w:val="clear"/>
          </w:tcPr>
          <w:p>
            <w:r/>
            <w:r>
              <w:rPr>
                <w:rFonts w:ascii="Calibri" w:hAnsi="Calibri"/>
                <w:sz w:val="19"/>
              </w:rPr>
              <w:t>Documentación</w:t>
            </w:r>
          </w:p>
        </w:tc>
        <w:tc>
          <w:tcPr>
            <w:tcW w:type="dxa" w:w="2929"/>
            <w:shd w:fill="F5F7FA" w:val="clear"/>
          </w:tcPr>
          <w:p>
            <w:r/>
            <w:r>
              <w:rPr>
                <w:rFonts w:ascii="Calibri" w:hAnsi="Calibri"/>
                <w:sz w:val="19"/>
              </w:rPr>
              <w:t>9/10</w:t>
            </w:r>
          </w:p>
        </w:tc>
        <w:tc>
          <w:tcPr>
            <w:tcW w:type="dxa" w:w="2929"/>
            <w:shd w:fill="F5F7FA" w:val="clear"/>
          </w:tcPr>
          <w:p>
            <w:r/>
            <w:r>
              <w:rPr>
                <w:rFonts w:ascii="Calibri" w:hAnsi="Calibri"/>
                <w:sz w:val="19"/>
              </w:rPr>
              <w:t>13 capítulos, manual profesores, CTO audit</w:t>
            </w:r>
          </w:p>
        </w:tc>
      </w:tr>
      <w:tr>
        <w:tc>
          <w:tcPr>
            <w:tcW w:type="dxa" w:w="2929"/>
          </w:tcPr>
          <w:p>
            <w:r/>
            <w:r>
              <w:rPr>
                <w:rFonts w:ascii="Calibri" w:hAnsi="Calibri"/>
                <w:sz w:val="19"/>
              </w:rPr>
              <w:t>Seguridad</w:t>
            </w:r>
          </w:p>
        </w:tc>
        <w:tc>
          <w:tcPr>
            <w:tcW w:type="dxa" w:w="2929"/>
          </w:tcPr>
          <w:p>
            <w:r/>
            <w:r>
              <w:rPr>
                <w:rFonts w:ascii="Calibri" w:hAnsi="Calibri"/>
                <w:sz w:val="19"/>
              </w:rPr>
              <w:t>6/10</w:t>
            </w:r>
          </w:p>
        </w:tc>
        <w:tc>
          <w:tcPr>
            <w:tcW w:type="dxa" w:w="2929"/>
          </w:tcPr>
          <w:p>
            <w:r/>
            <w:r>
              <w:rPr>
                <w:rFonts w:ascii="Calibri" w:hAnsi="Calibri"/>
                <w:sz w:val="19"/>
              </w:rPr>
              <w:t>Auth bypass para tests, 45 console.log prod</w:t>
            </w:r>
          </w:p>
        </w:tc>
      </w:tr>
      <w:tr>
        <w:tc>
          <w:tcPr>
            <w:tcW w:type="dxa" w:w="2929"/>
            <w:shd w:fill="F5F7FA" w:val="clear"/>
          </w:tcPr>
          <w:p>
            <w:r/>
            <w:r>
              <w:rPr>
                <w:rFonts w:ascii="Calibri" w:hAnsi="Calibri"/>
                <w:sz w:val="19"/>
              </w:rPr>
              <w:t>Rendimiento</w:t>
            </w:r>
          </w:p>
        </w:tc>
        <w:tc>
          <w:tcPr>
            <w:tcW w:type="dxa" w:w="2929"/>
            <w:shd w:fill="F5F7FA" w:val="clear"/>
          </w:tcPr>
          <w:p>
            <w:r/>
            <w:r>
              <w:rPr>
                <w:rFonts w:ascii="Calibri" w:hAnsi="Calibri"/>
                <w:sz w:val="19"/>
              </w:rPr>
              <w:t>6/10</w:t>
            </w:r>
          </w:p>
        </w:tc>
        <w:tc>
          <w:tcPr>
            <w:tcW w:type="dxa" w:w="2929"/>
            <w:shd w:fill="F5F7FA" w:val="clear"/>
          </w:tcPr>
          <w:p>
            <w:r/>
            <w:r>
              <w:rPr>
                <w:rFonts w:ascii="Calibri" w:hAnsi="Calibri"/>
                <w:sz w:val="19"/>
              </w:rPr>
              <w:t>3 chunks &gt;500KB sin code-split</w:t>
            </w:r>
          </w:p>
        </w:tc>
      </w:tr>
      <w:tr>
        <w:tc>
          <w:tcPr>
            <w:tcW w:type="dxa" w:w="2929"/>
          </w:tcPr>
          <w:p>
            <w:r/>
            <w:r>
              <w:rPr>
                <w:rFonts w:ascii="Calibri" w:hAnsi="Calibri"/>
                <w:sz w:val="19"/>
              </w:rPr>
              <w:t>Calidad código</w:t>
            </w:r>
          </w:p>
        </w:tc>
        <w:tc>
          <w:tcPr>
            <w:tcW w:type="dxa" w:w="2929"/>
          </w:tcPr>
          <w:p>
            <w:r/>
            <w:r>
              <w:rPr>
                <w:rFonts w:ascii="Calibri" w:hAnsi="Calibri"/>
                <w:sz w:val="19"/>
              </w:rPr>
              <w:t>6.5/10</w:t>
            </w:r>
          </w:p>
        </w:tc>
        <w:tc>
          <w:tcPr>
            <w:tcW w:type="dxa" w:w="2929"/>
          </w:tcPr>
          <w:p>
            <w:r/>
            <w:r>
              <w:rPr>
                <w:rFonts w:ascii="Calibri" w:hAnsi="Calibri"/>
                <w:sz w:val="19"/>
              </w:rPr>
              <w:t>31 hallazgos (4 críticos, 7 altos)</w:t>
            </w:r>
          </w:p>
        </w:tc>
      </w:tr>
    </w:tbl>
    <w:p/>
    <w:p>
      <w:pPr>
        <w:pStyle w:val="Heading2"/>
      </w:pPr>
      <w:r>
        <w:rPr>
          <w:color w:val="004B8D"/>
        </w:rPr>
        <w:t>8.4 — Resumen CTO Audit (31 hallazgos)</w:t>
      </w:r>
    </w:p>
    <w:p>
      <w:pPr>
        <w:spacing w:after="40"/>
      </w:pPr>
      <w:r>
        <w:rPr>
          <w:b/>
          <w:color w:val="666666"/>
          <w:sz w:val="18"/>
        </w:rPr>
        <w:t>Tabla 22.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Severidad</w:t>
            </w:r>
          </w:p>
        </w:tc>
        <w:tc>
          <w:tcPr>
            <w:tcW w:type="dxa" w:w="2929"/>
            <w:shd w:fill="004B8D" w:val="clear"/>
          </w:tcPr>
          <w:p>
            <w:pPr>
              <w:jc w:val="center"/>
            </w:pPr>
            <w:r/>
            <w:r>
              <w:rPr>
                <w:rFonts w:ascii="Calibri" w:hAnsi="Calibri"/>
                <w:b/>
                <w:color w:val="FFFFFF"/>
                <w:sz w:val="20"/>
              </w:rPr>
              <w:t>Cantidad</w:t>
            </w:r>
          </w:p>
        </w:tc>
        <w:tc>
          <w:tcPr>
            <w:tcW w:type="dxa" w:w="2929"/>
            <w:shd w:fill="004B8D" w:val="clear"/>
          </w:tcPr>
          <w:p>
            <w:pPr>
              <w:jc w:val="center"/>
            </w:pPr>
            <w:r/>
            <w:r>
              <w:rPr>
                <w:rFonts w:ascii="Calibri" w:hAnsi="Calibri"/>
                <w:b/>
                <w:color w:val="FFFFFF"/>
                <w:sz w:val="20"/>
              </w:rPr>
              <w:t>Ejemplos</w:t>
            </w:r>
          </w:p>
        </w:tc>
      </w:tr>
      <w:tr>
        <w:tc>
          <w:tcPr>
            <w:tcW w:type="dxa" w:w="2929"/>
            <w:shd w:fill="F5F7FA" w:val="clear"/>
          </w:tcPr>
          <w:p>
            <w:r/>
            <w:r>
              <w:rPr>
                <w:rFonts w:ascii="Calibri" w:hAnsi="Calibri"/>
                <w:sz w:val="19"/>
              </w:rPr>
              <w:t>CRÍTICO</w:t>
            </w:r>
          </w:p>
        </w:tc>
        <w:tc>
          <w:tcPr>
            <w:tcW w:type="dxa" w:w="2929"/>
            <w:shd w:fill="F5F7FA" w:val="clear"/>
          </w:tcPr>
          <w:p>
            <w:r/>
            <w:r>
              <w:rPr>
                <w:rFonts w:ascii="Calibri" w:hAnsi="Calibri"/>
                <w:sz w:val="19"/>
              </w:rPr>
              <w:t>4</w:t>
            </w:r>
          </w:p>
        </w:tc>
        <w:tc>
          <w:tcPr>
            <w:tcW w:type="dxa" w:w="2929"/>
            <w:shd w:fill="F5F7FA" w:val="clear"/>
          </w:tcPr>
          <w:p>
            <w:r/>
            <w:r>
              <w:rPr>
                <w:rFonts w:ascii="Calibri" w:hAnsi="Calibri"/>
                <w:sz w:val="19"/>
              </w:rPr>
              <w:t>useNavegacionFichas 715L, 17 useState. Auth bypass (window.__PW_MOCK_USER__). Stale closure volver()</w:t>
            </w:r>
          </w:p>
        </w:tc>
      </w:tr>
      <w:tr>
        <w:tc>
          <w:tcPr>
            <w:tcW w:type="dxa" w:w="2929"/>
          </w:tcPr>
          <w:p>
            <w:r/>
            <w:r>
              <w:rPr>
                <w:rFonts w:ascii="Calibri" w:hAnsi="Calibri"/>
                <w:sz w:val="19"/>
              </w:rPr>
              <w:t>ALTO</w:t>
            </w:r>
          </w:p>
        </w:tc>
        <w:tc>
          <w:tcPr>
            <w:tcW w:type="dxa" w:w="2929"/>
          </w:tcPr>
          <w:p>
            <w:r/>
            <w:r>
              <w:rPr>
                <w:rFonts w:ascii="Calibri" w:hAnsi="Calibri"/>
                <w:sz w:val="19"/>
              </w:rPr>
              <w:t>7</w:t>
            </w:r>
          </w:p>
        </w:tc>
        <w:tc>
          <w:tcPr>
            <w:tcW w:type="dxa" w:w="2929"/>
          </w:tcPr>
          <w:p>
            <w:r/>
            <w:r>
              <w:rPr>
                <w:rFonts w:ascii="Calibri" w:hAnsi="Calibri"/>
                <w:sz w:val="19"/>
              </w:rPr>
              <w:t>8 dead exports CircleLayout. 75+ inline styles. 10+ funciones sin useCallback SimuladorAlmacen</w:t>
            </w:r>
          </w:p>
        </w:tc>
      </w:tr>
      <w:tr>
        <w:tc>
          <w:tcPr>
            <w:tcW w:type="dxa" w:w="2929"/>
            <w:shd w:fill="F5F7FA" w:val="clear"/>
          </w:tcPr>
          <w:p>
            <w:r/>
            <w:r>
              <w:rPr>
                <w:rFonts w:ascii="Calibri" w:hAnsi="Calibri"/>
                <w:sz w:val="19"/>
              </w:rPr>
              <w:t>MEDIO</w:t>
            </w:r>
          </w:p>
        </w:tc>
        <w:tc>
          <w:tcPr>
            <w:tcW w:type="dxa" w:w="2929"/>
            <w:shd w:fill="F5F7FA" w:val="clear"/>
          </w:tcPr>
          <w:p>
            <w:r/>
            <w:r>
              <w:rPr>
                <w:rFonts w:ascii="Calibri" w:hAnsi="Calibri"/>
                <w:sz w:val="19"/>
              </w:rPr>
              <w:t>11</w:t>
            </w:r>
          </w:p>
        </w:tc>
        <w:tc>
          <w:tcPr>
            <w:tcW w:type="dxa" w:w="2929"/>
            <w:shd w:fill="F5F7FA" w:val="clear"/>
          </w:tcPr>
          <w:p>
            <w:r/>
            <w:r>
              <w:rPr>
                <w:rFonts w:ascii="Calibri" w:hAnsi="Calibri"/>
                <w:sz w:val="19"/>
              </w:rPr>
              <w:t>45 console.log en prod. useEffect deps incompletas. 2 vendor chunks &gt;500KB</w:t>
            </w:r>
          </w:p>
        </w:tc>
      </w:tr>
      <w:tr>
        <w:tc>
          <w:tcPr>
            <w:tcW w:type="dxa" w:w="2929"/>
          </w:tcPr>
          <w:p>
            <w:r/>
            <w:r>
              <w:rPr>
                <w:rFonts w:ascii="Calibri" w:hAnsi="Calibri"/>
                <w:sz w:val="19"/>
              </w:rPr>
              <w:t>BAJO</w:t>
            </w:r>
          </w:p>
        </w:tc>
        <w:tc>
          <w:tcPr>
            <w:tcW w:type="dxa" w:w="2929"/>
          </w:tcPr>
          <w:p>
            <w:r/>
            <w:r>
              <w:rPr>
                <w:rFonts w:ascii="Calibri" w:hAnsi="Calibri"/>
                <w:sz w:val="19"/>
              </w:rPr>
              <w:t>9</w:t>
            </w:r>
          </w:p>
        </w:tc>
        <w:tc>
          <w:tcPr>
            <w:tcW w:type="dxa" w:w="2929"/>
          </w:tcPr>
          <w:p>
            <w:r/>
            <w:r>
              <w:rPr>
                <w:rFonts w:ascii="Calibri" w:hAnsi="Calibri"/>
                <w:sz w:val="19"/>
              </w:rPr>
              <w:t>BEM inconsistente. Magic values. Sin ErrorBoundary rutas</w:t>
            </w:r>
          </w:p>
        </w:tc>
      </w:tr>
    </w:tbl>
    <w:p/>
    <w:p>
      <w:pPr>
        <w:pStyle w:val="Heading2"/>
      </w:pPr>
      <w:r>
        <w:rPr>
          <w:color w:val="004B8D"/>
        </w:rPr>
        <w:t>8.5 — Rendimiento comparativo</w:t>
      </w:r>
    </w:p>
    <w:p>
      <w:pPr>
        <w:spacing w:after="40"/>
      </w:pPr>
      <w:r>
        <w:rPr>
          <w:b/>
          <w:color w:val="666666"/>
          <w:sz w:val="18"/>
        </w:rPr>
        <w:t>Tabla 23.</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Métrica</w:t>
            </w:r>
          </w:p>
        </w:tc>
        <w:tc>
          <w:tcPr>
            <w:tcW w:type="dxa" w:w="2197"/>
            <w:shd w:fill="004B8D" w:val="clear"/>
          </w:tcPr>
          <w:p>
            <w:pPr>
              <w:jc w:val="center"/>
            </w:pPr>
            <w:r/>
            <w:r>
              <w:rPr>
                <w:rFonts w:ascii="Calibri" w:hAnsi="Calibri"/>
                <w:b/>
                <w:color w:val="FFFFFF"/>
                <w:sz w:val="20"/>
              </w:rPr>
              <w:t>Antes (V1)</w:t>
            </w:r>
          </w:p>
        </w:tc>
        <w:tc>
          <w:tcPr>
            <w:tcW w:type="dxa" w:w="2197"/>
            <w:shd w:fill="004B8D" w:val="clear"/>
          </w:tcPr>
          <w:p>
            <w:pPr>
              <w:jc w:val="center"/>
            </w:pPr>
            <w:r/>
            <w:r>
              <w:rPr>
                <w:rFonts w:ascii="Calibri" w:hAnsi="Calibri"/>
                <w:b/>
                <w:color w:val="FFFFFF"/>
                <w:sz w:val="20"/>
              </w:rPr>
              <w:t>Después (V4)</w:t>
            </w:r>
          </w:p>
        </w:tc>
        <w:tc>
          <w:tcPr>
            <w:tcW w:type="dxa" w:w="2197"/>
            <w:shd w:fill="004B8D" w:val="clear"/>
          </w:tcPr>
          <w:p>
            <w:pPr>
              <w:jc w:val="center"/>
            </w:pPr>
            <w:r/>
            <w:r>
              <w:rPr>
                <w:rFonts w:ascii="Calibri" w:hAnsi="Calibri"/>
                <w:b/>
                <w:color w:val="FFFFFF"/>
                <w:sz w:val="20"/>
              </w:rPr>
              <w:t>Mejora</w:t>
            </w:r>
          </w:p>
        </w:tc>
      </w:tr>
      <w:tr>
        <w:tc>
          <w:tcPr>
            <w:tcW w:type="dxa" w:w="2197"/>
            <w:shd w:fill="F5F7FA" w:val="clear"/>
          </w:tcPr>
          <w:p>
            <w:r/>
            <w:r>
              <w:rPr>
                <w:rFonts w:ascii="Calibri" w:hAnsi="Calibri"/>
                <w:sz w:val="19"/>
              </w:rPr>
              <w:t>Build time</w:t>
            </w:r>
          </w:p>
        </w:tc>
        <w:tc>
          <w:tcPr>
            <w:tcW w:type="dxa" w:w="2197"/>
            <w:shd w:fill="F5F7FA" w:val="clear"/>
          </w:tcPr>
          <w:p>
            <w:r/>
            <w:r>
              <w:rPr>
                <w:rFonts w:ascii="Calibri" w:hAnsi="Calibri"/>
                <w:sz w:val="19"/>
              </w:rPr>
              <w:t>~45s</w:t>
            </w:r>
          </w:p>
        </w:tc>
        <w:tc>
          <w:tcPr>
            <w:tcW w:type="dxa" w:w="2197"/>
            <w:shd w:fill="F5F7FA" w:val="clear"/>
          </w:tcPr>
          <w:p>
            <w:r/>
            <w:r>
              <w:rPr>
                <w:rFonts w:ascii="Calibri" w:hAnsi="Calibri"/>
                <w:sz w:val="19"/>
              </w:rPr>
              <w:t>9.7s</w:t>
            </w:r>
          </w:p>
        </w:tc>
        <w:tc>
          <w:tcPr>
            <w:tcW w:type="dxa" w:w="2197"/>
            <w:shd w:fill="F5F7FA" w:val="clear"/>
          </w:tcPr>
          <w:p>
            <w:r/>
            <w:r>
              <w:rPr>
                <w:rFonts w:ascii="Calibri" w:hAnsi="Calibri"/>
                <w:sz w:val="19"/>
              </w:rPr>
              <w:t>79%</w:t>
            </w:r>
          </w:p>
        </w:tc>
      </w:tr>
      <w:tr>
        <w:tc>
          <w:tcPr>
            <w:tcW w:type="dxa" w:w="2197"/>
          </w:tcPr>
          <w:p>
            <w:r/>
            <w:r>
              <w:rPr>
                <w:rFonts w:ascii="Calibri" w:hAnsi="Calibri"/>
                <w:sz w:val="19"/>
              </w:rPr>
              <w:t>FCP (First Contentful)</w:t>
            </w:r>
          </w:p>
        </w:tc>
        <w:tc>
          <w:tcPr>
            <w:tcW w:type="dxa" w:w="2197"/>
          </w:tcPr>
          <w:p>
            <w:r/>
            <w:r>
              <w:rPr>
                <w:rFonts w:ascii="Calibri" w:hAnsi="Calibri"/>
                <w:sz w:val="19"/>
              </w:rPr>
              <w:t>~4.5s</w:t>
            </w:r>
          </w:p>
        </w:tc>
        <w:tc>
          <w:tcPr>
            <w:tcW w:type="dxa" w:w="2197"/>
          </w:tcPr>
          <w:p>
            <w:r/>
            <w:r>
              <w:rPr>
                <w:rFonts w:ascii="Calibri" w:hAnsi="Calibri"/>
                <w:sz w:val="19"/>
              </w:rPr>
              <w:t>~2.4s</w:t>
            </w:r>
          </w:p>
        </w:tc>
        <w:tc>
          <w:tcPr>
            <w:tcW w:type="dxa" w:w="2197"/>
          </w:tcPr>
          <w:p>
            <w:r/>
            <w:r>
              <w:rPr>
                <w:rFonts w:ascii="Calibri" w:hAnsi="Calibri"/>
                <w:sz w:val="19"/>
              </w:rPr>
              <w:t>47%</w:t>
            </w:r>
          </w:p>
        </w:tc>
      </w:tr>
      <w:tr>
        <w:tc>
          <w:tcPr>
            <w:tcW w:type="dxa" w:w="2197"/>
            <w:shd w:fill="F5F7FA" w:val="clear"/>
          </w:tcPr>
          <w:p>
            <w:r/>
            <w:r>
              <w:rPr>
                <w:rFonts w:ascii="Calibri" w:hAnsi="Calibri"/>
                <w:sz w:val="19"/>
              </w:rPr>
              <w:t>Chunks sin split</w:t>
            </w:r>
          </w:p>
        </w:tc>
        <w:tc>
          <w:tcPr>
            <w:tcW w:type="dxa" w:w="2197"/>
            <w:shd w:fill="F5F7FA" w:val="clear"/>
          </w:tcPr>
          <w:p>
            <w:r/>
            <w:r>
              <w:rPr>
                <w:rFonts w:ascii="Calibri" w:hAnsi="Calibri"/>
                <w:sz w:val="19"/>
              </w:rPr>
              <w:t>7</w:t>
            </w:r>
          </w:p>
        </w:tc>
        <w:tc>
          <w:tcPr>
            <w:tcW w:type="dxa" w:w="2197"/>
            <w:shd w:fill="F5F7FA" w:val="clear"/>
          </w:tcPr>
          <w:p>
            <w:r/>
            <w:r>
              <w:rPr>
                <w:rFonts w:ascii="Calibri" w:hAnsi="Calibri"/>
                <w:sz w:val="19"/>
              </w:rPr>
              <w:t>0</w:t>
            </w:r>
          </w:p>
        </w:tc>
        <w:tc>
          <w:tcPr>
            <w:tcW w:type="dxa" w:w="2197"/>
            <w:shd w:fill="F5F7FA" w:val="clear"/>
          </w:tcPr>
          <w:p>
            <w:r/>
            <w:r>
              <w:rPr>
                <w:rFonts w:ascii="Calibri" w:hAnsi="Calibri"/>
                <w:sz w:val="19"/>
              </w:rPr>
              <w:t>100%</w:t>
            </w:r>
          </w:p>
        </w:tc>
      </w:tr>
      <w:tr>
        <w:tc>
          <w:tcPr>
            <w:tcW w:type="dxa" w:w="2197"/>
          </w:tcPr>
          <w:p>
            <w:r/>
            <w:r>
              <w:rPr>
                <w:rFonts w:ascii="Calibri" w:hAnsi="Calibri"/>
                <w:sz w:val="19"/>
              </w:rPr>
              <w:t>Tests</w:t>
            </w:r>
          </w:p>
        </w:tc>
        <w:tc>
          <w:tcPr>
            <w:tcW w:type="dxa" w:w="2197"/>
          </w:tcPr>
          <w:p>
            <w:r/>
            <w:r>
              <w:rPr>
                <w:rFonts w:ascii="Calibri" w:hAnsi="Calibri"/>
                <w:sz w:val="19"/>
              </w:rPr>
              <w:t>0</w:t>
            </w:r>
          </w:p>
        </w:tc>
        <w:tc>
          <w:tcPr>
            <w:tcW w:type="dxa" w:w="2197"/>
          </w:tcPr>
          <w:p>
            <w:r/>
            <w:r>
              <w:rPr>
                <w:rFonts w:ascii="Calibri" w:hAnsi="Calibri"/>
                <w:sz w:val="19"/>
              </w:rPr>
              <w:t>272</w:t>
            </w:r>
          </w:p>
        </w:tc>
        <w:tc>
          <w:tcPr>
            <w:tcW w:type="dxa" w:w="2197"/>
          </w:tcPr>
          <w:p>
            <w:r/>
            <w:r>
              <w:rPr>
                <w:rFonts w:ascii="Calibri" w:hAnsi="Calibri"/>
                <w:sz w:val="19"/>
              </w:rPr>
              <w:t>∞</w:t>
            </w:r>
          </w:p>
        </w:tc>
      </w:tr>
      <w:tr>
        <w:tc>
          <w:tcPr>
            <w:tcW w:type="dxa" w:w="2197"/>
            <w:shd w:fill="F5F7FA" w:val="clear"/>
          </w:tcPr>
          <w:p>
            <w:r/>
            <w:r>
              <w:rPr>
                <w:rFonts w:ascii="Calibri" w:hAnsi="Calibri"/>
                <w:sz w:val="19"/>
              </w:rPr>
              <w:t>PWA precache</w:t>
            </w:r>
          </w:p>
        </w:tc>
        <w:tc>
          <w:tcPr>
            <w:tcW w:type="dxa" w:w="2197"/>
            <w:shd w:fill="F5F7FA" w:val="clear"/>
          </w:tcPr>
          <w:p>
            <w:r/>
            <w:r>
              <w:rPr>
                <w:rFonts w:ascii="Calibri" w:hAnsi="Calibri"/>
                <w:sz w:val="19"/>
              </w:rPr>
              <w:t>0</w:t>
            </w:r>
          </w:p>
        </w:tc>
        <w:tc>
          <w:tcPr>
            <w:tcW w:type="dxa" w:w="2197"/>
            <w:shd w:fill="F5F7FA" w:val="clear"/>
          </w:tcPr>
          <w:p>
            <w:r/>
            <w:r>
              <w:rPr>
                <w:rFonts w:ascii="Calibri" w:hAnsi="Calibri"/>
                <w:sz w:val="19"/>
              </w:rPr>
              <w:t>69 archivos</w:t>
            </w:r>
          </w:p>
        </w:tc>
        <w:tc>
          <w:tcPr>
            <w:tcW w:type="dxa" w:w="2197"/>
            <w:shd w:fill="F5F7FA" w:val="clear"/>
          </w:tcPr>
          <w:p>
            <w:r/>
            <w:r>
              <w:rPr>
                <w:rFonts w:ascii="Calibri" w:hAnsi="Calibri"/>
                <w:sz w:val="19"/>
              </w:rPr>
              <w:t>∞</w:t>
            </w:r>
          </w:p>
        </w:tc>
      </w:tr>
      <w:tr>
        <w:tc>
          <w:tcPr>
            <w:tcW w:type="dxa" w:w="2197"/>
          </w:tcPr>
          <w:p>
            <w:r/>
            <w:r>
              <w:rPr>
                <w:rFonts w:ascii="Calibri" w:hAnsi="Calibri"/>
                <w:sz w:val="19"/>
              </w:rPr>
              <w:t>Coste infraestructura</w:t>
            </w:r>
          </w:p>
        </w:tc>
        <w:tc>
          <w:tcPr>
            <w:tcW w:type="dxa" w:w="2197"/>
          </w:tcPr>
          <w:p>
            <w:r/>
            <w:r>
              <w:rPr>
                <w:rFonts w:ascii="Calibri" w:hAnsi="Calibri"/>
                <w:sz w:val="19"/>
              </w:rPr>
              <w:t>0€</w:t>
            </w:r>
          </w:p>
        </w:tc>
        <w:tc>
          <w:tcPr>
            <w:tcW w:type="dxa" w:w="2197"/>
          </w:tcPr>
          <w:p>
            <w:r/>
            <w:r>
              <w:rPr>
                <w:rFonts w:ascii="Calibri" w:hAnsi="Calibri"/>
                <w:sz w:val="19"/>
              </w:rPr>
              <w:t>0€</w:t>
            </w:r>
          </w:p>
        </w:tc>
        <w:tc>
          <w:tcPr>
            <w:tcW w:type="dxa" w:w="2197"/>
          </w:tcPr>
          <w:p>
            <w:r/>
            <w:r>
              <w:rPr>
                <w:rFonts w:ascii="Calibri" w:hAnsi="Calibri"/>
                <w:sz w:val="19"/>
              </w:rPr>
              <w:t>—</w:t>
            </w:r>
          </w:p>
        </w:tc>
      </w:tr>
    </w:tbl>
    <w:p/>
    <w:p>
      <w:pPr>
        <w:pStyle w:val="Heading1"/>
      </w:pPr>
      <w:r>
        <w:rPr>
          <w:color w:val="004B8D"/>
        </w:rPr>
        <w:t>9. CONCLUSIONES Y LÍNEAS FUTURAS</w:t>
      </w:r>
    </w:p>
    <w:p>
      <w:pPr>
        <w:pStyle w:val="Heading2"/>
      </w:pPr>
      <w:r>
        <w:rPr>
          <w:color w:val="004B8D"/>
        </w:rPr>
        <w:t>9.1 — Cumplimiento de objetivos</w:t>
      </w:r>
    </w:p>
    <w:p>
      <w:pPr>
        <w:spacing w:after="40"/>
      </w:pPr>
      <w:r>
        <w:rPr>
          <w:b/>
          <w:color w:val="666666"/>
          <w:sz w:val="18"/>
        </w:rPr>
        <w:t>Tabla 24.</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Objetivo</w:t>
            </w:r>
          </w:p>
        </w:tc>
        <w:tc>
          <w:tcPr>
            <w:tcW w:type="dxa" w:w="4394"/>
            <w:shd w:fill="004B8D" w:val="clear"/>
          </w:tcPr>
          <w:p>
            <w:pPr>
              <w:jc w:val="center"/>
            </w:pPr>
            <w:r/>
            <w:r>
              <w:rPr>
                <w:rFonts w:ascii="Calibri" w:hAnsi="Calibri"/>
                <w:b/>
                <w:color w:val="FFFFFF"/>
                <w:sz w:val="20"/>
              </w:rPr>
              <w:t>Estado</w:t>
            </w:r>
          </w:p>
        </w:tc>
      </w:tr>
      <w:tr>
        <w:tc>
          <w:tcPr>
            <w:tcW w:type="dxa" w:w="4394"/>
            <w:shd w:fill="F5F7FA" w:val="clear"/>
          </w:tcPr>
          <w:p>
            <w:r/>
            <w:r>
              <w:rPr>
                <w:rFonts w:ascii="Calibri" w:hAnsi="Calibri"/>
                <w:sz w:val="19"/>
              </w:rPr>
              <w:t>Catálogo 400K+ navegable</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Asistente IA streaming</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Simulador 4 etapas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Dashboard KPI</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Wizard presupuestos PDF</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Formación por empleado</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Incidencias + IA</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272 tests</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Documentación</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Integración SAP Sonepar</w:t>
            </w:r>
          </w:p>
        </w:tc>
        <w:tc>
          <w:tcPr>
            <w:tcW w:type="dxa" w:w="4394"/>
          </w:tcPr>
          <w:p>
            <w:r/>
            <w:r>
              <w:rPr>
                <w:rFonts w:ascii="Calibri" w:hAnsi="Calibri"/>
                <w:sz w:val="19"/>
              </w:rPr>
              <w:t>❌ NO CUMPLIDO (futuro)</w:t>
            </w:r>
          </w:p>
        </w:tc>
      </w:tr>
      <w:tr>
        <w:tc>
          <w:tcPr>
            <w:tcW w:type="dxa" w:w="4394"/>
            <w:shd w:fill="F5F7FA" w:val="clear"/>
          </w:tcPr>
          <w:p>
            <w:r/>
            <w:r>
              <w:rPr>
                <w:rFonts w:ascii="Calibri" w:hAnsi="Calibri"/>
                <w:sz w:val="19"/>
              </w:rPr>
              <w:t>App móvil nativa</w:t>
            </w:r>
          </w:p>
        </w:tc>
        <w:tc>
          <w:tcPr>
            <w:tcW w:type="dxa" w:w="4394"/>
            <w:shd w:fill="F5F7FA" w:val="clear"/>
          </w:tcPr>
          <w:p>
            <w:r/>
            <w:r>
              <w:rPr>
                <w:rFonts w:ascii="Calibri" w:hAnsi="Calibri"/>
                <w:sz w:val="19"/>
              </w:rPr>
              <w:t>❌ NO CUMPLIDO (futuro)</w:t>
            </w:r>
          </w:p>
        </w:tc>
      </w:tr>
    </w:tbl>
    <w:p/>
    <w:p>
      <w:pPr>
        <w:pStyle w:val="Heading2"/>
      </w:pPr>
      <w:r>
        <w:rPr>
          <w:color w:val="004B8D"/>
        </w:rPr>
        <w:t>9.2 — Líneas futuras (Phase 3 Plan)</w:t>
      </w:r>
    </w:p>
    <w:p>
      <w:pPr>
        <w:pStyle w:val="Heading3"/>
      </w:pPr>
      <w:r>
        <w:rPr>
          <w:color w:val="004B8D"/>
        </w:rPr>
        <w:t>CRÍTICO — Implementar inmediatamente</w:t>
      </w:r>
    </w:p>
    <w:p>
      <w:pPr>
        <w:pStyle w:val="ListBullet"/>
      </w:pPr>
      <w:r>
        <w:rPr>
          <w:b/>
        </w:rPr>
        <w:t>C1:</w:t>
      </w:r>
      <w:r>
        <w:t xml:space="preserve"> Refactor useNavegacionFichas.js (715L, 17 useState) → useReducer con NavigationState reducer</w:t>
      </w:r>
    </w:p>
    <w:p>
      <w:pPr>
        <w:pStyle w:val="ListBullet"/>
      </w:pPr>
      <w:r>
        <w:rPr>
          <w:b/>
        </w:rPr>
        <w:t>C2:</w:t>
      </w:r>
      <w:r>
        <w:t xml:space="preserve"> Crear FichasTecnicasContext para eliminar prop drilling de 35 props</w:t>
      </w:r>
    </w:p>
    <w:p>
      <w:pPr>
        <w:pStyle w:val="ListBullet"/>
      </w:pPr>
      <w:r>
        <w:rPr>
          <w:b/>
        </w:rPr>
        <w:t>C3:</w:t>
      </w:r>
      <w:r>
        <w:t xml:space="preserve"> Extraer StepReferenciasSimple y eliminar IIFE anidada en StepReferencias.jsx (457L)</w:t>
      </w:r>
    </w:p>
    <w:p>
      <w:pPr>
        <w:pStyle w:val="ListBullet"/>
      </w:pPr>
      <w:r>
        <w:rPr>
          <w:b/>
        </w:rPr>
        <w:t>C4:</w:t>
      </w:r>
      <w:r>
        <w:t xml:space="preserve"> Eliminar auth bypass window.__PW_MOCK_USER__ → mock Supabase Auth en tests E2E</w:t>
      </w:r>
    </w:p>
    <w:p>
      <w:pPr>
        <w:pStyle w:val="Heading3"/>
      </w:pPr>
      <w:r>
        <w:rPr>
          <w:color w:val="004B8D"/>
        </w:rPr>
        <w:t>ALTO — Próximas semanas</w:t>
      </w:r>
    </w:p>
    <w:p>
      <w:pPr>
        <w:pStyle w:val="ListBullet"/>
      </w:pPr>
      <w:r>
        <w:rPr>
          <w:b/>
        </w:rPr>
        <w:t>H1:</w:t>
      </w:r>
      <w:r>
        <w:t xml:space="preserve"> Eliminar 8 dead exports CircleLayout, SkeletonCard, usePresupuestosContext</w:t>
      </w:r>
    </w:p>
    <w:p>
      <w:pPr>
        <w:pStyle w:val="ListBullet"/>
      </w:pPr>
      <w:r>
        <w:rPr>
          <w:b/>
        </w:rPr>
        <w:t>H2:</w:t>
      </w:r>
      <w:r>
        <w:t xml:space="preserve"> Migración parcial TypeScript (useNavegacionFichas, useProductTable, tipos catálogo)</w:t>
      </w:r>
    </w:p>
    <w:p>
      <w:pPr>
        <w:pStyle w:val="ListBullet"/>
      </w:pPr>
      <w:r>
        <w:rPr>
          <w:b/>
        </w:rPr>
        <w:t>H3:</w:t>
      </w:r>
      <w:r>
        <w:t xml:space="preserve"> useCallback en 10+ funciones inline SimuladorAlmacen</w:t>
      </w:r>
    </w:p>
    <w:p>
      <w:pPr>
        <w:pStyle w:val="ListBullet"/>
      </w:pPr>
      <w:r>
        <w:rPr>
          <w:b/>
        </w:rPr>
        <w:t>H4:</w:t>
      </w:r>
      <w:r>
        <w:t xml:space="preserve"> Dynamic import() para vendor-pdf (588KB) y vendor-charts (347KB)</w:t>
      </w:r>
    </w:p>
    <w:p>
      <w:pPr>
        <w:pStyle w:val="ListBullet"/>
      </w:pPr>
      <w:r>
        <w:rPr>
          <w:b/>
        </w:rPr>
        <w:t>H5:</w:t>
      </w:r>
      <w:r>
        <w:t xml:space="preserve"> Integrar o eliminar useSimuladorAlmacen.js (324L, untracked, 0 imports)</w:t>
      </w:r>
    </w:p>
    <w:p>
      <w:pPr>
        <w:pStyle w:val="Heading3"/>
      </w:pPr>
      <w:r>
        <w:rPr>
          <w:color w:val="004B8D"/>
        </w:rPr>
        <w:t>MEDIO — Próxima prioridad</w:t>
      </w:r>
    </w:p>
    <w:p>
      <w:pPr>
        <w:pStyle w:val="ListBullet"/>
      </w:pPr>
      <w:r>
        <w:rPr>
          <w:b/>
        </w:rPr>
        <w:t>M1:</w:t>
      </w:r>
      <w:r>
        <w:t xml:space="preserve"> Eliminar 45 console.log de producción (wrapper dev-only)</w:t>
      </w:r>
    </w:p>
    <w:p>
      <w:pPr>
        <w:pStyle w:val="ListBullet"/>
      </w:pPr>
      <w:r>
        <w:rPr>
          <w:b/>
        </w:rPr>
        <w:t>M2:</w:t>
      </w:r>
      <w:r>
        <w:t xml:space="preserve"> Reemplazar 75+ inline styles con CSS modules</w:t>
      </w:r>
    </w:p>
    <w:p>
      <w:pPr>
        <w:pStyle w:val="ListBullet"/>
      </w:pPr>
      <w:r>
        <w:rPr>
          <w:b/>
        </w:rPr>
        <w:t>M3:</w:t>
      </w:r>
      <w:r>
        <w:t xml:space="preserve"> Extraer StepReferenciasSimple a su propio archivo</w:t>
      </w:r>
    </w:p>
    <w:p>
      <w:pPr>
        <w:pStyle w:val="ListBullet"/>
      </w:pPr>
      <w:r>
        <w:rPr>
          <w:b/>
        </w:rPr>
        <w:t>M4:</w:t>
      </w:r>
      <w:r>
        <w:t xml:space="preserve"> Consolidar magic values (800ms, 250ms, etc.) en constantes</w:t>
      </w:r>
    </w:p>
    <w:p>
      <w:pPr>
        <w:pStyle w:val="Heading2"/>
      </w:pPr>
      <w:r>
        <w:rPr>
          <w:color w:val="004B8D"/>
        </w:rPr>
        <w:t>9.3 — Lecciones aprendidas</w:t>
      </w:r>
    </w:p>
    <w:p>
      <w:pPr>
        <w:pStyle w:val="ListBullet"/>
      </w:pPr>
      <w:r>
        <w:t>La IA generativa es un amplificador de productividad, no un sustituto del criterio técnico</w:t>
      </w:r>
    </w:p>
    <w:p>
      <w:pPr>
        <w:pStyle w:val="ListBullet"/>
      </w:pPr>
      <w:r>
        <w:t>Empezar simple y refactorizar después funciona mejor que diseñar una arquitectura perfecta desde el día 1</w:t>
      </w:r>
    </w:p>
    <w:p>
      <w:pPr>
        <w:pStyle w:val="ListBullet"/>
      </w:pPr>
      <w:r>
        <w:t>Documentar mientras se desarrolla es más efectivo que documentar al final</w:t>
      </w:r>
    </w:p>
    <w:p>
      <w:pPr>
        <w:pStyle w:val="ListBullet"/>
      </w:pPr>
      <w:r>
        <w:t>Los tests unitarios son la red de seguridad que permite refactorizar con confianza</w:t>
      </w:r>
    </w:p>
    <w:p>
      <w:pPr>
        <w:pStyle w:val="ListBullet"/>
      </w:pPr>
      <w:r>
        <w:t>El coste cero es posible si se eligen bien las herramientas desde el principio</w:t>
      </w:r>
    </w:p>
    <w:p>
      <w:pPr>
        <w:pStyle w:val="Heading1"/>
      </w:pPr>
      <w:r>
        <w:rPr>
          <w:color w:val="004B8D"/>
        </w:rPr>
        <w:t>10. MANUAL PARA PROFESORES</w:t>
      </w:r>
    </w:p>
    <w:p>
      <w:pPr>
        <w:pStyle w:val="Heading2"/>
      </w:pPr>
      <w:r>
        <w:rPr>
          <w:color w:val="004B8D"/>
        </w:rPr>
        <w:t>10.1 — ¿Qué demuestra este proyecto?</w:t>
      </w:r>
    </w:p>
    <w:p>
      <w:pPr/>
      <w:r>
        <w:t>Competencias del ciclo formativo de Automatización y Robótica Industrial en: desarrollo web full-stack, bases de datos relacionales, integración APIs IA, PWA, testing, deployment producción y documentación profesional.</w:t>
      </w:r>
    </w:p>
    <w:p>
      <w:pPr>
        <w:pStyle w:val="Heading2"/>
      </w:pPr>
      <w:r>
        <w:rPr>
          <w:color w:val="004B8D"/>
        </w:rPr>
        <w:t>10.2 — Herramientas clave</w:t>
      </w:r>
    </w:p>
    <w:p>
      <w:pPr>
        <w:spacing w:after="40"/>
      </w:pPr>
      <w:r>
        <w:rPr>
          <w:b/>
          <w:color w:val="666666"/>
          <w:sz w:val="18"/>
        </w:rPr>
        <w:t>Tabla 25.</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Herramienta</w:t>
            </w:r>
          </w:p>
        </w:tc>
        <w:tc>
          <w:tcPr>
            <w:tcW w:type="dxa" w:w="2929"/>
            <w:shd w:fill="004B8D" w:val="clear"/>
          </w:tcPr>
          <w:p>
            <w:pPr>
              <w:jc w:val="center"/>
            </w:pPr>
            <w:r/>
            <w:r>
              <w:rPr>
                <w:rFonts w:ascii="Calibri" w:hAnsi="Calibri"/>
                <w:b/>
                <w:color w:val="FFFFFF"/>
                <w:sz w:val="20"/>
              </w:rPr>
              <w:t>Uso en proyecto</w:t>
            </w:r>
          </w:p>
        </w:tc>
        <w:tc>
          <w:tcPr>
            <w:tcW w:type="dxa" w:w="2929"/>
            <w:shd w:fill="004B8D" w:val="clear"/>
          </w:tcPr>
          <w:p>
            <w:pPr>
              <w:jc w:val="center"/>
            </w:pPr>
            <w:r/>
            <w:r>
              <w:rPr>
                <w:rFonts w:ascii="Calibri" w:hAnsi="Calibri"/>
                <w:b/>
                <w:color w:val="FFFFFF"/>
                <w:sz w:val="20"/>
              </w:rPr>
              <w:t>Alternativa</w:t>
            </w:r>
          </w:p>
        </w:tc>
      </w:tr>
      <w:tr>
        <w:tc>
          <w:tcPr>
            <w:tcW w:type="dxa" w:w="2929"/>
            <w:shd w:fill="F5F7FA" w:val="clear"/>
          </w:tcPr>
          <w:p>
            <w:r/>
            <w:r>
              <w:rPr>
                <w:rFonts w:ascii="Calibri" w:hAnsi="Calibri"/>
                <w:sz w:val="19"/>
              </w:rPr>
              <w:t>Claude Web / Copilot</w:t>
            </w:r>
          </w:p>
        </w:tc>
        <w:tc>
          <w:tcPr>
            <w:tcW w:type="dxa" w:w="2929"/>
            <w:shd w:fill="F5F7FA" w:val="clear"/>
          </w:tcPr>
          <w:p>
            <w:r/>
            <w:r>
              <w:rPr>
                <w:rFonts w:ascii="Calibri" w:hAnsi="Calibri"/>
                <w:sz w:val="19"/>
              </w:rPr>
              <w:t>Generación componentes React</w:t>
            </w:r>
          </w:p>
        </w:tc>
        <w:tc>
          <w:tcPr>
            <w:tcW w:type="dxa" w:w="2929"/>
            <w:shd w:fill="F5F7FA" w:val="clear"/>
          </w:tcPr>
          <w:p>
            <w:r/>
            <w:r>
              <w:rPr>
                <w:rFonts w:ascii="Calibri" w:hAnsi="Calibri"/>
                <w:sz w:val="19"/>
              </w:rPr>
              <w:t>Cursor, Windsurf</w:t>
            </w:r>
          </w:p>
        </w:tc>
      </w:tr>
      <w:tr>
        <w:tc>
          <w:tcPr>
            <w:tcW w:type="dxa" w:w="2929"/>
          </w:tcPr>
          <w:p>
            <w:r/>
            <w:r>
              <w:rPr>
                <w:rFonts w:ascii="Calibri" w:hAnsi="Calibri"/>
                <w:sz w:val="19"/>
              </w:rPr>
              <w:t>Vercel</w:t>
            </w:r>
          </w:p>
        </w:tc>
        <w:tc>
          <w:tcPr>
            <w:tcW w:type="dxa" w:w="2929"/>
          </w:tcPr>
          <w:p>
            <w:r/>
            <w:r>
              <w:rPr>
                <w:rFonts w:ascii="Calibri" w:hAnsi="Calibri"/>
                <w:sz w:val="19"/>
              </w:rPr>
              <w:t>Hosting y CI/CD</w:t>
            </w:r>
          </w:p>
        </w:tc>
        <w:tc>
          <w:tcPr>
            <w:tcW w:type="dxa" w:w="2929"/>
          </w:tcPr>
          <w:p>
            <w:r/>
            <w:r>
              <w:rPr>
                <w:rFonts w:ascii="Calibri" w:hAnsi="Calibri"/>
                <w:sz w:val="19"/>
              </w:rPr>
              <w:t>Netlify, GitHub Pages</w:t>
            </w:r>
          </w:p>
        </w:tc>
      </w:tr>
      <w:tr>
        <w:tc>
          <w:tcPr>
            <w:tcW w:type="dxa" w:w="2929"/>
            <w:shd w:fill="F5F7FA" w:val="clear"/>
          </w:tcPr>
          <w:p>
            <w:r/>
            <w:r>
              <w:rPr>
                <w:rFonts w:ascii="Calibri" w:hAnsi="Calibri"/>
                <w:sz w:val="19"/>
              </w:rPr>
              <w:t>Supabase</w:t>
            </w:r>
          </w:p>
        </w:tc>
        <w:tc>
          <w:tcPr>
            <w:tcW w:type="dxa" w:w="2929"/>
            <w:shd w:fill="F5F7FA" w:val="clear"/>
          </w:tcPr>
          <w:p>
            <w:r/>
            <w:r>
              <w:rPr>
                <w:rFonts w:ascii="Calibri" w:hAnsi="Calibri"/>
                <w:sz w:val="19"/>
              </w:rPr>
              <w:t>Backend (PostgreSQL + Auth)</w:t>
            </w:r>
          </w:p>
        </w:tc>
        <w:tc>
          <w:tcPr>
            <w:tcW w:type="dxa" w:w="2929"/>
            <w:shd w:fill="F5F7FA" w:val="clear"/>
          </w:tcPr>
          <w:p>
            <w:r/>
            <w:r>
              <w:rPr>
                <w:rFonts w:ascii="Calibri" w:hAnsi="Calibri"/>
                <w:sz w:val="19"/>
              </w:rPr>
              <w:t>Firebase, PlanetScale</w:t>
            </w:r>
          </w:p>
        </w:tc>
      </w:tr>
      <w:tr>
        <w:tc>
          <w:tcPr>
            <w:tcW w:type="dxa" w:w="2929"/>
          </w:tcPr>
          <w:p>
            <w:r/>
            <w:r>
              <w:rPr>
                <w:rFonts w:ascii="Calibri" w:hAnsi="Calibri"/>
                <w:sz w:val="19"/>
              </w:rPr>
              <w:t>Vitest + Playwright</w:t>
            </w:r>
          </w:p>
        </w:tc>
        <w:tc>
          <w:tcPr>
            <w:tcW w:type="dxa" w:w="2929"/>
          </w:tcPr>
          <w:p>
            <w:r/>
            <w:r>
              <w:rPr>
                <w:rFonts w:ascii="Calibri" w:hAnsi="Calibri"/>
                <w:sz w:val="19"/>
              </w:rPr>
              <w:t>Tests</w:t>
            </w:r>
          </w:p>
        </w:tc>
        <w:tc>
          <w:tcPr>
            <w:tcW w:type="dxa" w:w="2929"/>
          </w:tcPr>
          <w:p>
            <w:r/>
            <w:r>
              <w:rPr>
                <w:rFonts w:ascii="Calibri" w:hAnsi="Calibri"/>
                <w:sz w:val="19"/>
              </w:rPr>
              <w:t>Jest + Cypress</w:t>
            </w:r>
          </w:p>
        </w:tc>
      </w:tr>
      <w:tr>
        <w:tc>
          <w:tcPr>
            <w:tcW w:type="dxa" w:w="2929"/>
            <w:shd w:fill="F5F7FA" w:val="clear"/>
          </w:tcPr>
          <w:p>
            <w:r/>
            <w:r>
              <w:rPr>
                <w:rFonts w:ascii="Calibri" w:hAnsi="Calibri"/>
                <w:sz w:val="19"/>
              </w:rPr>
              <w:t>React Router v7</w:t>
            </w:r>
          </w:p>
        </w:tc>
        <w:tc>
          <w:tcPr>
            <w:tcW w:type="dxa" w:w="2929"/>
            <w:shd w:fill="F5F7FA" w:val="clear"/>
          </w:tcPr>
          <w:p>
            <w:r/>
            <w:r>
              <w:rPr>
                <w:rFonts w:ascii="Calibri" w:hAnsi="Calibri"/>
                <w:sz w:val="19"/>
              </w:rPr>
              <w:t>Routing SPA</w:t>
            </w:r>
          </w:p>
        </w:tc>
        <w:tc>
          <w:tcPr>
            <w:tcW w:type="dxa" w:w="2929"/>
            <w:shd w:fill="F5F7FA" w:val="clear"/>
          </w:tcPr>
          <w:p>
            <w:r/>
            <w:r>
              <w:rPr>
                <w:rFonts w:ascii="Calibri" w:hAnsi="Calibri"/>
                <w:sz w:val="19"/>
              </w:rPr>
              <w:t>TanStack Router</w:t>
            </w:r>
          </w:p>
        </w:tc>
      </w:tr>
    </w:tbl>
    <w:p/>
    <w:p>
      <w:pPr>
        <w:pStyle w:val="Heading2"/>
      </w:pPr>
      <w:r>
        <w:rPr>
          <w:color w:val="004B8D"/>
        </w:rPr>
        <w:t>10.3 — Plan de actividades (4 sesiones de 3h)</w:t>
      </w:r>
    </w:p>
    <w:p>
      <w:pPr>
        <w:pStyle w:val="Heading3"/>
      </w:pPr>
      <w:r>
        <w:rPr>
          <w:color w:val="004B8D"/>
        </w:rPr>
        <w:t>Sesión 1: Introducción a la IA como herramienta de desarrollo</w:t>
      </w:r>
    </w:p>
    <w:p>
      <w:pPr>
        <w:pStyle w:val="ListBullet"/>
      </w:pPr>
      <w:r>
        <w:t>Qué es un LLM y cómo funciona [15 min]</w:t>
      </w:r>
    </w:p>
    <w:p>
      <w:pPr>
        <w:pStyle w:val="ListBullet"/>
      </w:pPr>
      <w:r>
        <w:t>Diferencia entre chat web y herramientas de coding [15 min]</w:t>
      </w:r>
    </w:p>
    <w:p>
      <w:pPr>
        <w:pStyle w:val="ListBullet"/>
      </w:pPr>
      <w:r>
        <w:rPr>
          <w:b/>
        </w:rPr>
        <w:t>Actividad:</w:t>
      </w:r>
      <w:r>
        <w:t xml:space="preserve"> Primer contacto Claude Web — generar componente React simple [45 min]</w:t>
      </w:r>
    </w:p>
    <w:p>
      <w:pPr>
        <w:pStyle w:val="Heading3"/>
      </w:pPr>
      <w:r>
        <w:rPr>
          <w:color w:val="004B8D"/>
        </w:rPr>
        <w:t>Sesión 2: Control de versiones y entorno de desarrollo</w:t>
      </w:r>
    </w:p>
    <w:p>
      <w:pPr>
        <w:pStyle w:val="ListBullet"/>
      </w:pPr>
      <w:r>
        <w:t>Instalación Windsurf / Cursor [20 min]</w:t>
      </w:r>
    </w:p>
    <w:p>
      <w:pPr>
        <w:pStyle w:val="ListBullet"/>
      </w:pPr>
      <w:r>
        <w:t>Conexión a GitHub [20 min]</w:t>
      </w:r>
    </w:p>
    <w:p>
      <w:pPr>
        <w:pStyle w:val="ListBullet"/>
      </w:pPr>
      <w:r>
        <w:rPr>
          <w:b/>
        </w:rPr>
        <w:t>Conceptos:</w:t>
      </w:r>
      <w:r>
        <w:t xml:space="preserve"> commit, push, branch, merge [30 min]</w:t>
      </w:r>
    </w:p>
    <w:p>
      <w:pPr>
        <w:pStyle w:val="ListBullet"/>
      </w:pPr>
      <w:r>
        <w:rPr>
          <w:b/>
        </w:rPr>
        <w:t>Actividad:</w:t>
      </w:r>
      <w:r>
        <w:t xml:space="preserve"> Commit en GitHub [45 min]</w:t>
      </w:r>
    </w:p>
    <w:p>
      <w:pPr>
        <w:pStyle w:val="Heading3"/>
      </w:pPr>
      <w:r>
        <w:rPr>
          <w:color w:val="004B8D"/>
        </w:rPr>
        <w:t>Sesión 3: Deployment y hosting</w:t>
      </w:r>
    </w:p>
    <w:p>
      <w:pPr>
        <w:pStyle w:val="ListBullet"/>
      </w:pPr>
      <w:r>
        <w:t>Concepto de hosting y CDN [15 min]</w:t>
      </w:r>
    </w:p>
    <w:p>
      <w:pPr>
        <w:pStyle w:val="ListBullet"/>
      </w:pPr>
      <w:r>
        <w:t>Registro Vercel + conexión GitHub [20 min]</w:t>
      </w:r>
    </w:p>
    <w:p>
      <w:pPr>
        <w:pStyle w:val="ListBullet"/>
      </w:pPr>
      <w:r>
        <w:t>Serverless Functions [15 min]</w:t>
      </w:r>
    </w:p>
    <w:p>
      <w:pPr>
        <w:pStyle w:val="ListBullet"/>
      </w:pPr>
      <w:r>
        <w:rPr>
          <w:b/>
        </w:rPr>
        <w:t>Actividad:</w:t>
      </w:r>
      <w:r>
        <w:t xml:space="preserve"> Desplegar calculadora React en Vercel [60 min]</w:t>
      </w:r>
    </w:p>
    <w:p>
      <w:pPr>
        <w:pStyle w:val="Heading3"/>
      </w:pPr>
      <w:r>
        <w:rPr>
          <w:color w:val="004B8D"/>
        </w:rPr>
        <w:t>Sesión 4: Proyecto integrador</w:t>
      </w:r>
    </w:p>
    <w:p>
      <w:pPr>
        <w:pStyle w:val="ListBullet"/>
      </w:pPr>
      <w:r>
        <w:t>Diseñar 3 pantallas en papel/Figma [30 min]</w:t>
      </w:r>
    </w:p>
    <w:p>
      <w:pPr>
        <w:pStyle w:val="ListBullet"/>
      </w:pPr>
      <w:r>
        <w:t>Claude genera mockup HTML/CSS [45 min]</w:t>
      </w:r>
    </w:p>
    <w:p>
      <w:pPr>
        <w:pStyle w:val="ListBullet"/>
      </w:pPr>
      <w:r>
        <w:t>Desplegar en Vercel y probar en móvil [45 min]</w:t>
      </w:r>
    </w:p>
    <w:p>
      <w:pPr>
        <w:pStyle w:val="Heading2"/>
      </w:pPr>
      <w:r>
        <w:rPr>
          <w:color w:val="004B8D"/>
        </w:rPr>
        <w:t>10.4 — Rúbrica de evaluación</w:t>
      </w:r>
    </w:p>
    <w:p>
      <w:pPr>
        <w:spacing w:after="40"/>
      </w:pPr>
      <w:r>
        <w:rPr>
          <w:b/>
          <w:color w:val="666666"/>
          <w:sz w:val="18"/>
        </w:rPr>
        <w:t>Tabla 26.</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Criterio</w:t>
            </w:r>
          </w:p>
        </w:tc>
        <w:tc>
          <w:tcPr>
            <w:tcW w:type="dxa" w:w="2197"/>
            <w:shd w:fill="004B8D" w:val="clear"/>
          </w:tcPr>
          <w:p>
            <w:pPr>
              <w:jc w:val="center"/>
            </w:pPr>
            <w:r/>
            <w:r>
              <w:rPr>
                <w:rFonts w:ascii="Calibri" w:hAnsi="Calibri"/>
                <w:b/>
                <w:color w:val="FFFFFF"/>
                <w:sz w:val="20"/>
              </w:rPr>
              <w:t>0 pts</w:t>
            </w:r>
          </w:p>
        </w:tc>
        <w:tc>
          <w:tcPr>
            <w:tcW w:type="dxa" w:w="2197"/>
            <w:shd w:fill="004B8D" w:val="clear"/>
          </w:tcPr>
          <w:p>
            <w:pPr>
              <w:jc w:val="center"/>
            </w:pPr>
            <w:r/>
            <w:r>
              <w:rPr>
                <w:rFonts w:ascii="Calibri" w:hAnsi="Calibri"/>
                <w:b/>
                <w:color w:val="FFFFFF"/>
                <w:sz w:val="20"/>
              </w:rPr>
              <w:t>5 pts</w:t>
            </w:r>
          </w:p>
        </w:tc>
        <w:tc>
          <w:tcPr>
            <w:tcW w:type="dxa" w:w="2197"/>
            <w:shd w:fill="004B8D" w:val="clear"/>
          </w:tcPr>
          <w:p>
            <w:pPr>
              <w:jc w:val="center"/>
            </w:pPr>
            <w:r/>
            <w:r>
              <w:rPr>
                <w:rFonts w:ascii="Calibri" w:hAnsi="Calibri"/>
                <w:b/>
                <w:color w:val="FFFFFF"/>
                <w:sz w:val="20"/>
              </w:rPr>
              <w:t>10 pts</w:t>
            </w:r>
          </w:p>
        </w:tc>
      </w:tr>
      <w:tr>
        <w:tc>
          <w:tcPr>
            <w:tcW w:type="dxa" w:w="2197"/>
            <w:shd w:fill="F5F7FA" w:val="clear"/>
          </w:tcPr>
          <w:p>
            <w:r/>
            <w:r>
              <w:rPr>
                <w:rFonts w:ascii="Calibri" w:hAnsi="Calibri"/>
                <w:sz w:val="19"/>
              </w:rPr>
              <w:t>Uso de IA</w:t>
            </w:r>
          </w:p>
        </w:tc>
        <w:tc>
          <w:tcPr>
            <w:tcW w:type="dxa" w:w="2197"/>
            <w:shd w:fill="F5F7FA" w:val="clear"/>
          </w:tcPr>
          <w:p>
            <w:r/>
            <w:r>
              <w:rPr>
                <w:rFonts w:ascii="Calibri" w:hAnsi="Calibri"/>
                <w:sz w:val="19"/>
              </w:rPr>
              <w:t>Copia sin entender</w:t>
            </w:r>
          </w:p>
        </w:tc>
        <w:tc>
          <w:tcPr>
            <w:tcW w:type="dxa" w:w="2197"/>
            <w:shd w:fill="F5F7FA" w:val="clear"/>
          </w:tcPr>
          <w:p>
            <w:r/>
            <w:r>
              <w:rPr>
                <w:rFonts w:ascii="Calibri" w:hAnsi="Calibri"/>
                <w:sz w:val="19"/>
              </w:rPr>
              <w:t>Usa IA parcialmente</w:t>
            </w:r>
          </w:p>
        </w:tc>
        <w:tc>
          <w:tcPr>
            <w:tcW w:type="dxa" w:w="2197"/>
            <w:shd w:fill="F5F7FA" w:val="clear"/>
          </w:tcPr>
          <w:p>
            <w:r/>
            <w:r>
              <w:rPr>
                <w:rFonts w:ascii="Calibri" w:hAnsi="Calibri"/>
                <w:sz w:val="19"/>
              </w:rPr>
              <w:t>IA como amplificador</w:t>
            </w:r>
          </w:p>
        </w:tc>
      </w:tr>
      <w:tr>
        <w:tc>
          <w:tcPr>
            <w:tcW w:type="dxa" w:w="2197"/>
          </w:tcPr>
          <w:p>
            <w:r/>
            <w:r>
              <w:rPr>
                <w:rFonts w:ascii="Calibri" w:hAnsi="Calibri"/>
                <w:sz w:val="19"/>
              </w:rPr>
              <w:t>Calidad código</w:t>
            </w:r>
          </w:p>
        </w:tc>
        <w:tc>
          <w:tcPr>
            <w:tcW w:type="dxa" w:w="2197"/>
          </w:tcPr>
          <w:p>
            <w:r/>
            <w:r>
              <w:rPr>
                <w:rFonts w:ascii="Calibri" w:hAnsi="Calibri"/>
                <w:sz w:val="19"/>
              </w:rPr>
              <w:t>No funciona</w:t>
            </w:r>
          </w:p>
        </w:tc>
        <w:tc>
          <w:tcPr>
            <w:tcW w:type="dxa" w:w="2197"/>
          </w:tcPr>
          <w:p>
            <w:r/>
            <w:r>
              <w:rPr>
                <w:rFonts w:ascii="Calibri" w:hAnsi="Calibri"/>
                <w:sz w:val="19"/>
              </w:rPr>
              <w:t>Funciona con warnings</w:t>
            </w:r>
          </w:p>
        </w:tc>
        <w:tc>
          <w:tcPr>
            <w:tcW w:type="dxa" w:w="2197"/>
          </w:tcPr>
          <w:p>
            <w:r/>
            <w:r>
              <w:rPr>
                <w:rFonts w:ascii="Calibri" w:hAnsi="Calibri"/>
                <w:sz w:val="19"/>
              </w:rPr>
              <w:t>Limpio + testeado</w:t>
            </w:r>
          </w:p>
        </w:tc>
      </w:tr>
      <w:tr>
        <w:tc>
          <w:tcPr>
            <w:tcW w:type="dxa" w:w="2197"/>
            <w:shd w:fill="F5F7FA" w:val="clear"/>
          </w:tcPr>
          <w:p>
            <w:r/>
            <w:r>
              <w:rPr>
                <w:rFonts w:ascii="Calibri" w:hAnsi="Calibri"/>
                <w:sz w:val="19"/>
              </w:rPr>
              <w:t>Deployment</w:t>
            </w:r>
          </w:p>
        </w:tc>
        <w:tc>
          <w:tcPr>
            <w:tcW w:type="dxa" w:w="2197"/>
            <w:shd w:fill="F5F7FA" w:val="clear"/>
          </w:tcPr>
          <w:p>
            <w:r/>
            <w:r>
              <w:rPr>
                <w:rFonts w:ascii="Calibri" w:hAnsi="Calibri"/>
                <w:sz w:val="19"/>
              </w:rPr>
              <w:t>No despliega</w:t>
            </w:r>
          </w:p>
        </w:tc>
        <w:tc>
          <w:tcPr>
            <w:tcW w:type="dxa" w:w="2197"/>
            <w:shd w:fill="F5F7FA" w:val="clear"/>
          </w:tcPr>
          <w:p>
            <w:r/>
            <w:r>
              <w:rPr>
                <w:rFonts w:ascii="Calibri" w:hAnsi="Calibri"/>
                <w:sz w:val="19"/>
              </w:rPr>
              <w:t>Despliegue manual</w:t>
            </w:r>
          </w:p>
        </w:tc>
        <w:tc>
          <w:tcPr>
            <w:tcW w:type="dxa" w:w="2197"/>
            <w:shd w:fill="F5F7FA" w:val="clear"/>
          </w:tcPr>
          <w:p>
            <w:r/>
            <w:r>
              <w:rPr>
                <w:rFonts w:ascii="Calibri" w:hAnsi="Calibri"/>
                <w:sz w:val="19"/>
              </w:rPr>
              <w:t>CI/CD automático</w:t>
            </w:r>
          </w:p>
        </w:tc>
      </w:tr>
      <w:tr>
        <w:tc>
          <w:tcPr>
            <w:tcW w:type="dxa" w:w="2197"/>
          </w:tcPr>
          <w:p>
            <w:r/>
            <w:r>
              <w:rPr>
                <w:rFonts w:ascii="Calibri" w:hAnsi="Calibri"/>
                <w:sz w:val="19"/>
              </w:rPr>
              <w:t>Documentación</w:t>
            </w:r>
          </w:p>
        </w:tc>
        <w:tc>
          <w:tcPr>
            <w:tcW w:type="dxa" w:w="2197"/>
          </w:tcPr>
          <w:p>
            <w:r/>
            <w:r>
              <w:rPr>
                <w:rFonts w:ascii="Calibri" w:hAnsi="Calibri"/>
                <w:sz w:val="19"/>
              </w:rPr>
              <w:t>Sin docs</w:t>
            </w:r>
          </w:p>
        </w:tc>
        <w:tc>
          <w:tcPr>
            <w:tcW w:type="dxa" w:w="2197"/>
          </w:tcPr>
          <w:p>
            <w:r/>
            <w:r>
              <w:rPr>
                <w:rFonts w:ascii="Calibri" w:hAnsi="Calibri"/>
                <w:sz w:val="19"/>
              </w:rPr>
              <w:t>README básico</w:t>
            </w:r>
          </w:p>
        </w:tc>
        <w:tc>
          <w:tcPr>
            <w:tcW w:type="dxa" w:w="2197"/>
          </w:tcPr>
          <w:p>
            <w:r/>
            <w:r>
              <w:rPr>
                <w:rFonts w:ascii="Calibri" w:hAnsi="Calibri"/>
                <w:sz w:val="19"/>
              </w:rPr>
              <w:t>Docs + decisiones</w:t>
            </w:r>
          </w:p>
        </w:tc>
      </w:tr>
    </w:tbl>
    <w:p/>
    <w:p>
      <w:pPr>
        <w:pStyle w:val="Heading2"/>
      </w:pPr>
      <w:r>
        <w:rPr>
          <w:color w:val="004B8D"/>
        </w:rPr>
        <w:t>10.5 — Recomendaciones</w:t>
      </w:r>
    </w:p>
    <w:p>
      <w:pPr>
        <w:pStyle w:val="ListBullet"/>
      </w:pPr>
      <w:r>
        <w:rPr>
          <w:b/>
        </w:rPr>
        <w:t>Tiempo:</w:t>
      </w:r>
      <w:r>
        <w:t xml:space="preserve"> solo 3 meses desarrollo real — scope realista desde el día 1</w:t>
      </w:r>
    </w:p>
    <w:p>
      <w:pPr>
        <w:pStyle w:val="ListBullet"/>
      </w:pPr>
      <w:r>
        <w:rPr>
          <w:b/>
        </w:rPr>
        <w:t>Validación:</w:t>
      </w:r>
      <w:r>
        <w:t xml:space="preserve"> probar con usuarios reales antes de terminar</w:t>
      </w:r>
    </w:p>
    <w:p>
      <w:pPr>
        <w:pStyle w:val="ListBullet"/>
      </w:pPr>
      <w:r>
        <w:rPr>
          <w:b/>
        </w:rPr>
        <w:t>Tests:</w:t>
      </w:r>
      <w:r>
        <w:t xml:space="preserve"> empezar desde la primera semana, no al final</w:t>
      </w:r>
    </w:p>
    <w:p>
      <w:pPr>
        <w:pStyle w:val="ListBullet"/>
      </w:pPr>
      <w:r>
        <w:rPr>
          <w:b/>
        </w:rPr>
        <w:t>Arquitectura:</w:t>
      </w:r>
      <w:r>
        <w:t xml:space="preserve"> diseñar antes de codificar — un diagrama ahorra mucho tiempo</w:t>
      </w:r>
    </w:p>
    <w:p>
      <w:pPr>
        <w:pStyle w:val="ListBullet"/>
      </w:pPr>
      <w:r>
        <w:rPr>
          <w:b/>
        </w:rPr>
        <w:t>IA como herramienta:</w:t>
      </w:r>
      <w:r>
        <w:t xml:space="preserve"> enseñar a usar IA, no a depender de ella</w:t>
      </w:r>
    </w:p>
    <w:p>
      <w:pPr>
        <w:pStyle w:val="Heading1"/>
      </w:pPr>
      <w:r>
        <w:rPr>
          <w:color w:val="004B8D"/>
        </w:rPr>
        <w:t>A. ANEXOS</w:t>
      </w:r>
    </w:p>
    <w:p>
      <w:pPr>
        <w:pStyle w:val="Heading2"/>
      </w:pPr>
      <w:r>
        <w:rPr>
          <w:color w:val="004B8D"/>
        </w:rPr>
        <w:t>A.1 — Estructura de directorios</w:t>
      </w:r>
    </w:p>
    <w:p>
      <w:pPr>
        <w:spacing w:after="40"/>
      </w:pPr>
      <w:r>
        <w:rPr>
          <w:b/>
          <w:color w:val="666666"/>
          <w:sz w:val="18"/>
        </w:rPr>
        <w:t>Tabla 27.</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Ruta</w:t>
            </w:r>
          </w:p>
        </w:tc>
        <w:tc>
          <w:tcPr>
            <w:tcW w:type="dxa" w:w="4394"/>
            <w:shd w:fill="004B8D" w:val="clear"/>
          </w:tcPr>
          <w:p>
            <w:pPr>
              <w:jc w:val="center"/>
            </w:pPr>
            <w:r/>
            <w:r>
              <w:rPr>
                <w:rFonts w:ascii="Calibri" w:hAnsi="Calibri"/>
                <w:b/>
                <w:color w:val="FFFFFF"/>
                <w:sz w:val="20"/>
              </w:rPr>
              <w:t>Descripción</w:t>
            </w:r>
          </w:p>
        </w:tc>
      </w:tr>
      <w:tr>
        <w:tc>
          <w:tcPr>
            <w:tcW w:type="dxa" w:w="4394"/>
            <w:shd w:fill="F5F7FA" w:val="clear"/>
          </w:tcPr>
          <w:p>
            <w:r/>
            <w:r>
              <w:rPr>
                <w:rFonts w:ascii="Calibri" w:hAnsi="Calibri"/>
                <w:sz w:val="19"/>
              </w:rPr>
              <w:t>app/src/tools/</w:t>
            </w:r>
          </w:p>
        </w:tc>
        <w:tc>
          <w:tcPr>
            <w:tcW w:type="dxa" w:w="4394"/>
            <w:shd w:fill="F5F7FA" w:val="clear"/>
          </w:tcPr>
          <w:p>
            <w:r/>
            <w:r>
              <w:rPr>
                <w:rFonts w:ascii="Calibri" w:hAnsi="Calibri"/>
                <w:sz w:val="19"/>
              </w:rPr>
              <w:t>7 herramientas principales</w:t>
            </w:r>
          </w:p>
        </w:tc>
      </w:tr>
      <w:tr>
        <w:tc>
          <w:tcPr>
            <w:tcW w:type="dxa" w:w="4394"/>
          </w:tcPr>
          <w:p>
            <w:r/>
            <w:r>
              <w:rPr>
                <w:rFonts w:ascii="Calibri" w:hAnsi="Calibri"/>
                <w:sz w:val="19"/>
              </w:rPr>
              <w:t>app/src/components/</w:t>
            </w:r>
          </w:p>
        </w:tc>
        <w:tc>
          <w:tcPr>
            <w:tcW w:type="dxa" w:w="4394"/>
          </w:tcPr>
          <w:p>
            <w:r/>
            <w:r>
              <w:rPr>
                <w:rFonts w:ascii="Calibri" w:hAnsi="Calibri"/>
                <w:sz w:val="19"/>
              </w:rPr>
              <w:t>64 componentes organizados</w:t>
            </w:r>
          </w:p>
        </w:tc>
      </w:tr>
      <w:tr>
        <w:tc>
          <w:tcPr>
            <w:tcW w:type="dxa" w:w="4394"/>
            <w:shd w:fill="F5F7FA" w:val="clear"/>
          </w:tcPr>
          <w:p>
            <w:r/>
            <w:r>
              <w:rPr>
                <w:rFonts w:ascii="Calibri" w:hAnsi="Calibri"/>
                <w:sz w:val="19"/>
              </w:rPr>
              <w:t>app/src/hooks/</w:t>
            </w:r>
          </w:p>
        </w:tc>
        <w:tc>
          <w:tcPr>
            <w:tcW w:type="dxa" w:w="4394"/>
            <w:shd w:fill="F5F7FA" w:val="clear"/>
          </w:tcPr>
          <w:p>
            <w:r/>
            <w:r>
              <w:rPr>
                <w:rFonts w:ascii="Calibri" w:hAnsi="Calibri"/>
                <w:sz w:val="19"/>
              </w:rPr>
              <w:t>13 hooks (2.525 líneas)</w:t>
            </w:r>
          </w:p>
        </w:tc>
      </w:tr>
      <w:tr>
        <w:tc>
          <w:tcPr>
            <w:tcW w:type="dxa" w:w="4394"/>
          </w:tcPr>
          <w:p>
            <w:r/>
            <w:r>
              <w:rPr>
                <w:rFonts w:ascii="Calibri" w:hAnsi="Calibri"/>
                <w:sz w:val="19"/>
              </w:rPr>
              <w:t>app/src/contexts/</w:t>
            </w:r>
          </w:p>
        </w:tc>
        <w:tc>
          <w:tcPr>
            <w:tcW w:type="dxa" w:w="4394"/>
          </w:tcPr>
          <w:p>
            <w:r/>
            <w:r>
              <w:rPr>
                <w:rFonts w:ascii="Calibri" w:hAnsi="Calibri"/>
                <w:sz w:val="19"/>
              </w:rPr>
              <w:t>3 contextos (Auth, Theme, Toast)</w:t>
            </w:r>
          </w:p>
        </w:tc>
      </w:tr>
      <w:tr>
        <w:tc>
          <w:tcPr>
            <w:tcW w:type="dxa" w:w="4394"/>
            <w:shd w:fill="F5F7FA" w:val="clear"/>
          </w:tcPr>
          <w:p>
            <w:r/>
            <w:r>
              <w:rPr>
                <w:rFonts w:ascii="Calibri" w:hAnsi="Calibri"/>
                <w:sz w:val="19"/>
              </w:rPr>
              <w:t>app/src/services/</w:t>
            </w:r>
          </w:p>
        </w:tc>
        <w:tc>
          <w:tcPr>
            <w:tcW w:type="dxa" w:w="4394"/>
            <w:shd w:fill="F5F7FA" w:val="clear"/>
          </w:tcPr>
          <w:p>
            <w:r/>
            <w:r>
              <w:rPr>
                <w:rFonts w:ascii="Calibri" w:hAnsi="Calibri"/>
                <w:sz w:val="19"/>
              </w:rPr>
              <w:t>3 servicios (catalog, anthropic, brandLogo)</w:t>
            </w:r>
          </w:p>
        </w:tc>
      </w:tr>
      <w:tr>
        <w:tc>
          <w:tcPr>
            <w:tcW w:type="dxa" w:w="4394"/>
          </w:tcPr>
          <w:p>
            <w:r/>
            <w:r>
              <w:rPr>
                <w:rFonts w:ascii="Calibri" w:hAnsi="Calibri"/>
                <w:sz w:val="19"/>
              </w:rPr>
              <w:t>app/src/__tests__/</w:t>
            </w:r>
          </w:p>
        </w:tc>
        <w:tc>
          <w:tcPr>
            <w:tcW w:type="dxa" w:w="4394"/>
          </w:tcPr>
          <w:p>
            <w:r/>
            <w:r>
              <w:rPr>
                <w:rFonts w:ascii="Calibri" w:hAnsi="Calibri"/>
                <w:sz w:val="19"/>
              </w:rPr>
              <w:t>12 test files (272 tests)</w:t>
            </w:r>
          </w:p>
        </w:tc>
      </w:tr>
      <w:tr>
        <w:tc>
          <w:tcPr>
            <w:tcW w:type="dxa" w:w="4394"/>
            <w:shd w:fill="F5F7FA" w:val="clear"/>
          </w:tcPr>
          <w:p>
            <w:r/>
            <w:r>
              <w:rPr>
                <w:rFonts w:ascii="Calibri" w:hAnsi="Calibri"/>
                <w:sz w:val="19"/>
              </w:rPr>
              <w:t>app/scripts/</w:t>
            </w:r>
          </w:p>
        </w:tc>
        <w:tc>
          <w:tcPr>
            <w:tcW w:type="dxa" w:w="4394"/>
            <w:shd w:fill="F5F7FA" w:val="clear"/>
          </w:tcPr>
          <w:p>
            <w:r/>
            <w:r>
              <w:rPr>
                <w:rFonts w:ascii="Calibri" w:hAnsi="Calibri"/>
                <w:sz w:val="19"/>
              </w:rPr>
              <w:t>Scrapers, migrations SQL, lib</w:t>
            </w:r>
          </w:p>
        </w:tc>
      </w:tr>
      <w:tr>
        <w:tc>
          <w:tcPr>
            <w:tcW w:type="dxa" w:w="4394"/>
          </w:tcPr>
          <w:p>
            <w:r/>
            <w:r>
              <w:rPr>
                <w:rFonts w:ascii="Calibri" w:hAnsi="Calibri"/>
                <w:sz w:val="19"/>
              </w:rPr>
              <w:t>.hermes/plans/</w:t>
            </w:r>
          </w:p>
        </w:tc>
        <w:tc>
          <w:tcPr>
            <w:tcW w:type="dxa" w:w="4394"/>
          </w:tcPr>
          <w:p>
            <w:r/>
            <w:r>
              <w:rPr>
                <w:rFonts w:ascii="Calibri" w:hAnsi="Calibri"/>
                <w:sz w:val="19"/>
              </w:rPr>
              <w:t>CTO audit y plan Phase 3</w:t>
            </w:r>
          </w:p>
        </w:tc>
      </w:tr>
    </w:tbl>
    <w:p/>
    <w:p>
      <w:pPr>
        <w:pStyle w:val="Heading2"/>
      </w:pPr>
      <w:r>
        <w:rPr>
          <w:color w:val="004B8D"/>
        </w:rPr>
        <w:t>A.2 — Dependencias principales</w:t>
      </w:r>
    </w:p>
    <w:p>
      <w:pPr>
        <w:spacing w:after="40"/>
      </w:pPr>
      <w:r>
        <w:rPr>
          <w:b/>
          <w:color w:val="666666"/>
          <w:sz w:val="18"/>
        </w:rPr>
        <w:t>Tabla 28.</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Dependencia</w:t>
            </w:r>
          </w:p>
        </w:tc>
        <w:tc>
          <w:tcPr>
            <w:tcW w:type="dxa" w:w="2929"/>
            <w:shd w:fill="004B8D" w:val="clear"/>
          </w:tcPr>
          <w:p>
            <w:pPr>
              <w:jc w:val="center"/>
            </w:pPr>
            <w:r/>
            <w:r>
              <w:rPr>
                <w:rFonts w:ascii="Calibri" w:hAnsi="Calibri"/>
                <w:b/>
                <w:color w:val="FFFFFF"/>
                <w:sz w:val="20"/>
              </w:rPr>
              <w:t>Versión</w:t>
            </w:r>
          </w:p>
        </w:tc>
        <w:tc>
          <w:tcPr>
            <w:tcW w:type="dxa" w:w="2929"/>
            <w:shd w:fill="004B8D" w:val="clear"/>
          </w:tcPr>
          <w:p>
            <w:pPr>
              <w:jc w:val="center"/>
            </w:pPr>
            <w:r/>
            <w:r>
              <w:rPr>
                <w:rFonts w:ascii="Calibri" w:hAnsi="Calibri"/>
                <w:b/>
                <w:color w:val="FFFFFF"/>
                <w:sz w:val="20"/>
              </w:rPr>
              <w:t>Propósito</w:t>
            </w:r>
          </w:p>
        </w:tc>
      </w:tr>
      <w:tr>
        <w:tc>
          <w:tcPr>
            <w:tcW w:type="dxa" w:w="2929"/>
            <w:shd w:fill="F5F7FA" w:val="clear"/>
          </w:tcPr>
          <w:p>
            <w:r/>
            <w:r>
              <w:rPr>
                <w:rFonts w:ascii="Calibri" w:hAnsi="Calibri"/>
                <w:sz w:val="19"/>
              </w:rPr>
              <w:t>react</w:t>
            </w:r>
          </w:p>
        </w:tc>
        <w:tc>
          <w:tcPr>
            <w:tcW w:type="dxa" w:w="2929"/>
            <w:shd w:fill="F5F7FA" w:val="clear"/>
          </w:tcPr>
          <w:p>
            <w:r/>
            <w:r>
              <w:rPr>
                <w:rFonts w:ascii="Calibri" w:hAnsi="Calibri"/>
                <w:sz w:val="19"/>
              </w:rPr>
              <w:t>^19.2.0</w:t>
            </w:r>
          </w:p>
        </w:tc>
        <w:tc>
          <w:tcPr>
            <w:tcW w:type="dxa" w:w="2929"/>
            <w:shd w:fill="F5F7FA" w:val="clear"/>
          </w:tcPr>
          <w:p>
            <w:r/>
            <w:r>
              <w:rPr>
                <w:rFonts w:ascii="Calibri" w:hAnsi="Calibri"/>
                <w:sz w:val="19"/>
              </w:rPr>
              <w:t>UI framework</w:t>
            </w:r>
          </w:p>
        </w:tc>
      </w:tr>
      <w:tr>
        <w:tc>
          <w:tcPr>
            <w:tcW w:type="dxa" w:w="2929"/>
          </w:tcPr>
          <w:p>
            <w:r/>
            <w:r>
              <w:rPr>
                <w:rFonts w:ascii="Calibri" w:hAnsi="Calibri"/>
                <w:sz w:val="19"/>
              </w:rPr>
              <w:t>vite</w:t>
            </w:r>
          </w:p>
        </w:tc>
        <w:tc>
          <w:tcPr>
            <w:tcW w:type="dxa" w:w="2929"/>
          </w:tcPr>
          <w:p>
            <w:r/>
            <w:r>
              <w:rPr>
                <w:rFonts w:ascii="Calibri" w:hAnsi="Calibri"/>
                <w:sz w:val="19"/>
              </w:rPr>
              <w:t>^7.3.1</w:t>
            </w:r>
          </w:p>
        </w:tc>
        <w:tc>
          <w:tcPr>
            <w:tcW w:type="dxa" w:w="2929"/>
          </w:tcPr>
          <w:p>
            <w:r/>
            <w:r>
              <w:rPr>
                <w:rFonts w:ascii="Calibri" w:hAnsi="Calibri"/>
                <w:sz w:val="19"/>
              </w:rPr>
              <w:t>Bundler</w:t>
            </w:r>
          </w:p>
        </w:tc>
      </w:tr>
      <w:tr>
        <w:tc>
          <w:tcPr>
            <w:tcW w:type="dxa" w:w="2929"/>
            <w:shd w:fill="F5F7FA" w:val="clear"/>
          </w:tcPr>
          <w:p>
            <w:r/>
            <w:r>
              <w:rPr>
                <w:rFonts w:ascii="Calibri" w:hAnsi="Calibri"/>
                <w:sz w:val="19"/>
              </w:rPr>
              <w:t>react-router-dom</w:t>
            </w:r>
          </w:p>
        </w:tc>
        <w:tc>
          <w:tcPr>
            <w:tcW w:type="dxa" w:w="2929"/>
            <w:shd w:fill="F5F7FA" w:val="clear"/>
          </w:tcPr>
          <w:p>
            <w:r/>
            <w:r>
              <w:rPr>
                <w:rFonts w:ascii="Calibri" w:hAnsi="Calibri"/>
                <w:sz w:val="19"/>
              </w:rPr>
              <w:t>^7.13.1</w:t>
            </w:r>
          </w:p>
        </w:tc>
        <w:tc>
          <w:tcPr>
            <w:tcW w:type="dxa" w:w="2929"/>
            <w:shd w:fill="F5F7FA" w:val="clear"/>
          </w:tcPr>
          <w:p>
            <w:r/>
            <w:r>
              <w:rPr>
                <w:rFonts w:ascii="Calibri" w:hAnsi="Calibri"/>
                <w:sz w:val="19"/>
              </w:rPr>
              <w:t>Routing</w:t>
            </w:r>
          </w:p>
        </w:tc>
      </w:tr>
      <w:tr>
        <w:tc>
          <w:tcPr>
            <w:tcW w:type="dxa" w:w="2929"/>
          </w:tcPr>
          <w:p>
            <w:r/>
            <w:r>
              <w:rPr>
                <w:rFonts w:ascii="Calibri" w:hAnsi="Calibri"/>
                <w:sz w:val="19"/>
              </w:rPr>
              <w:t>@supabase/supabase-js</w:t>
            </w:r>
          </w:p>
        </w:tc>
        <w:tc>
          <w:tcPr>
            <w:tcW w:type="dxa" w:w="2929"/>
          </w:tcPr>
          <w:p>
            <w:r/>
            <w:r>
              <w:rPr>
                <w:rFonts w:ascii="Calibri" w:hAnsi="Calibri"/>
                <w:sz w:val="19"/>
              </w:rPr>
              <w:t>^2.105.4</w:t>
            </w:r>
          </w:p>
        </w:tc>
        <w:tc>
          <w:tcPr>
            <w:tcW w:type="dxa" w:w="2929"/>
          </w:tcPr>
          <w:p>
            <w:r/>
            <w:r>
              <w:rPr>
                <w:rFonts w:ascii="Calibri" w:hAnsi="Calibri"/>
                <w:sz w:val="19"/>
              </w:rPr>
              <w:t>Backend</w:t>
            </w:r>
          </w:p>
        </w:tc>
      </w:tr>
      <w:tr>
        <w:tc>
          <w:tcPr>
            <w:tcW w:type="dxa" w:w="2929"/>
            <w:shd w:fill="F5F7FA" w:val="clear"/>
          </w:tcPr>
          <w:p>
            <w:r/>
            <w:r>
              <w:rPr>
                <w:rFonts w:ascii="Calibri" w:hAnsi="Calibri"/>
                <w:sz w:val="19"/>
              </w:rPr>
              <w:t>framer-motion</w:t>
            </w:r>
          </w:p>
        </w:tc>
        <w:tc>
          <w:tcPr>
            <w:tcW w:type="dxa" w:w="2929"/>
            <w:shd w:fill="F5F7FA" w:val="clear"/>
          </w:tcPr>
          <w:p>
            <w:r/>
            <w:r>
              <w:rPr>
                <w:rFonts w:ascii="Calibri" w:hAnsi="Calibri"/>
                <w:sz w:val="19"/>
              </w:rPr>
              <w:t>^12.38.0</w:t>
            </w:r>
          </w:p>
        </w:tc>
        <w:tc>
          <w:tcPr>
            <w:tcW w:type="dxa" w:w="2929"/>
            <w:shd w:fill="F5F7FA" w:val="clear"/>
          </w:tcPr>
          <w:p>
            <w:r/>
            <w:r>
              <w:rPr>
                <w:rFonts w:ascii="Calibri" w:hAnsi="Calibri"/>
                <w:sz w:val="19"/>
              </w:rPr>
              <w:t>Animación</w:t>
            </w:r>
          </w:p>
        </w:tc>
      </w:tr>
      <w:tr>
        <w:tc>
          <w:tcPr>
            <w:tcW w:type="dxa" w:w="2929"/>
          </w:tcPr>
          <w:p>
            <w:r/>
            <w:r>
              <w:rPr>
                <w:rFonts w:ascii="Calibri" w:hAnsi="Calibri"/>
                <w:sz w:val="19"/>
              </w:rPr>
              <w:t>recharts</w:t>
            </w:r>
          </w:p>
        </w:tc>
        <w:tc>
          <w:tcPr>
            <w:tcW w:type="dxa" w:w="2929"/>
          </w:tcPr>
          <w:p>
            <w:r/>
            <w:r>
              <w:rPr>
                <w:rFonts w:ascii="Calibri" w:hAnsi="Calibri"/>
                <w:sz w:val="19"/>
              </w:rPr>
              <w:t>^3.8.0</w:t>
            </w:r>
          </w:p>
        </w:tc>
        <w:tc>
          <w:tcPr>
            <w:tcW w:type="dxa" w:w="2929"/>
          </w:tcPr>
          <w:p>
            <w:r/>
            <w:r>
              <w:rPr>
                <w:rFonts w:ascii="Calibri" w:hAnsi="Calibri"/>
                <w:sz w:val="19"/>
              </w:rPr>
              <w:t>Gráficos</w:t>
            </w:r>
          </w:p>
        </w:tc>
      </w:tr>
      <w:tr>
        <w:tc>
          <w:tcPr>
            <w:tcW w:type="dxa" w:w="2929"/>
            <w:shd w:fill="F5F7FA" w:val="clear"/>
          </w:tcPr>
          <w:p>
            <w:r/>
            <w:r>
              <w:rPr>
                <w:rFonts w:ascii="Calibri" w:hAnsi="Calibri"/>
                <w:sz w:val="19"/>
              </w:rPr>
              <w:t>jspdf</w:t>
            </w:r>
          </w:p>
        </w:tc>
        <w:tc>
          <w:tcPr>
            <w:tcW w:type="dxa" w:w="2929"/>
            <w:shd w:fill="F5F7FA" w:val="clear"/>
          </w:tcPr>
          <w:p>
            <w:r/>
            <w:r>
              <w:rPr>
                <w:rFonts w:ascii="Calibri" w:hAnsi="Calibri"/>
                <w:sz w:val="19"/>
              </w:rPr>
              <w:t>^4.2.1</w:t>
            </w:r>
          </w:p>
        </w:tc>
        <w:tc>
          <w:tcPr>
            <w:tcW w:type="dxa" w:w="2929"/>
            <w:shd w:fill="F5F7FA" w:val="clear"/>
          </w:tcPr>
          <w:p>
            <w:r/>
            <w:r>
              <w:rPr>
                <w:rFonts w:ascii="Calibri" w:hAnsi="Calibri"/>
                <w:sz w:val="19"/>
              </w:rPr>
              <w:t>Generación PDF</w:t>
            </w:r>
          </w:p>
        </w:tc>
      </w:tr>
      <w:tr>
        <w:tc>
          <w:tcPr>
            <w:tcW w:type="dxa" w:w="2929"/>
          </w:tcPr>
          <w:p>
            <w:r/>
            <w:r>
              <w:rPr>
                <w:rFonts w:ascii="Calibri" w:hAnsi="Calibri"/>
                <w:sz w:val="19"/>
              </w:rPr>
              <w:t>dompurify</w:t>
            </w:r>
          </w:p>
        </w:tc>
        <w:tc>
          <w:tcPr>
            <w:tcW w:type="dxa" w:w="2929"/>
          </w:tcPr>
          <w:p>
            <w:r/>
            <w:r>
              <w:rPr>
                <w:rFonts w:ascii="Calibri" w:hAnsi="Calibri"/>
                <w:sz w:val="19"/>
              </w:rPr>
              <w:t>^3.4.5</w:t>
            </w:r>
          </w:p>
        </w:tc>
        <w:tc>
          <w:tcPr>
            <w:tcW w:type="dxa" w:w="2929"/>
          </w:tcPr>
          <w:p>
            <w:r/>
            <w:r>
              <w:rPr>
                <w:rFonts w:ascii="Calibri" w:hAnsi="Calibri"/>
                <w:sz w:val="19"/>
              </w:rPr>
              <w:t>Sanitización HTML</w:t>
            </w:r>
          </w:p>
        </w:tc>
      </w:tr>
      <w:tr>
        <w:tc>
          <w:tcPr>
            <w:tcW w:type="dxa" w:w="2929"/>
            <w:shd w:fill="F5F7FA" w:val="clear"/>
          </w:tcPr>
          <w:p>
            <w:r/>
            <w:r>
              <w:rPr>
                <w:rFonts w:ascii="Calibri" w:hAnsi="Calibri"/>
                <w:sz w:val="19"/>
              </w:rPr>
              <w:t>vitest</w:t>
            </w:r>
          </w:p>
        </w:tc>
        <w:tc>
          <w:tcPr>
            <w:tcW w:type="dxa" w:w="2929"/>
            <w:shd w:fill="F5F7FA" w:val="clear"/>
          </w:tcPr>
          <w:p>
            <w:r/>
            <w:r>
              <w:rPr>
                <w:rFonts w:ascii="Calibri" w:hAnsi="Calibri"/>
                <w:sz w:val="19"/>
              </w:rPr>
              <w:t>^4.1.7</w:t>
            </w:r>
          </w:p>
        </w:tc>
        <w:tc>
          <w:tcPr>
            <w:tcW w:type="dxa" w:w="2929"/>
            <w:shd w:fill="F5F7FA" w:val="clear"/>
          </w:tcPr>
          <w:p>
            <w:r/>
            <w:r>
              <w:rPr>
                <w:rFonts w:ascii="Calibri" w:hAnsi="Calibri"/>
                <w:sz w:val="19"/>
              </w:rPr>
              <w:t>Tests unitarios</w:t>
            </w:r>
          </w:p>
        </w:tc>
      </w:tr>
      <w:tr>
        <w:tc>
          <w:tcPr>
            <w:tcW w:type="dxa" w:w="2929"/>
          </w:tcPr>
          <w:p>
            <w:r/>
            <w:r>
              <w:rPr>
                <w:rFonts w:ascii="Calibri" w:hAnsi="Calibri"/>
                <w:sz w:val="19"/>
              </w:rPr>
              <w:t>playwright</w:t>
            </w:r>
          </w:p>
        </w:tc>
        <w:tc>
          <w:tcPr>
            <w:tcW w:type="dxa" w:w="2929"/>
          </w:tcPr>
          <w:p>
            <w:r/>
            <w:r>
              <w:rPr>
                <w:rFonts w:ascii="Calibri" w:hAnsi="Calibri"/>
                <w:sz w:val="19"/>
              </w:rPr>
              <w:t>^1.60.0</w:t>
            </w:r>
          </w:p>
        </w:tc>
        <w:tc>
          <w:tcPr>
            <w:tcW w:type="dxa" w:w="2929"/>
          </w:tcPr>
          <w:p>
            <w:r/>
            <w:r>
              <w:rPr>
                <w:rFonts w:ascii="Calibri" w:hAnsi="Calibri"/>
                <w:sz w:val="19"/>
              </w:rPr>
              <w:t>Tests E2E</w:t>
            </w:r>
          </w:p>
        </w:tc>
      </w:tr>
    </w:tbl>
    <w:p/>
    <w:p>
      <w:pPr>
        <w:pStyle w:val="Heading2"/>
      </w:pPr>
      <w:r>
        <w:rPr>
          <w:color w:val="004B8D"/>
        </w:rPr>
        <w:t>A.3 — API Routes</w:t>
      </w:r>
    </w:p>
    <w:p>
      <w:pPr>
        <w:spacing w:after="40"/>
      </w:pPr>
      <w:r>
        <w:rPr>
          <w:b/>
          <w:color w:val="666666"/>
          <w:sz w:val="18"/>
        </w:rPr>
        <w:t>Tabla 29.</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Ruta</w:t>
            </w:r>
          </w:p>
        </w:tc>
        <w:tc>
          <w:tcPr>
            <w:tcW w:type="dxa" w:w="2929"/>
            <w:shd w:fill="004B8D" w:val="clear"/>
          </w:tcPr>
          <w:p>
            <w:pPr>
              <w:jc w:val="center"/>
            </w:pPr>
            <w:r/>
            <w:r>
              <w:rPr>
                <w:rFonts w:ascii="Calibri" w:hAnsi="Calibri"/>
                <w:b/>
                <w:color w:val="FFFFFF"/>
                <w:sz w:val="20"/>
              </w:rPr>
              <w:t>Método</w:t>
            </w:r>
          </w:p>
        </w:tc>
        <w:tc>
          <w:tcPr>
            <w:tcW w:type="dxa" w:w="2929"/>
            <w:shd w:fill="004B8D" w:val="clear"/>
          </w:tcPr>
          <w:p>
            <w:pPr>
              <w:jc w:val="center"/>
            </w:pPr>
            <w:r/>
            <w:r>
              <w:rPr>
                <w:rFonts w:ascii="Calibri" w:hAnsi="Calibri"/>
                <w:b/>
                <w:color w:val="FFFFFF"/>
                <w:sz w:val="20"/>
              </w:rPr>
              <w:t>Propósito</w:t>
            </w:r>
          </w:p>
        </w:tc>
      </w:tr>
      <w:tr>
        <w:tc>
          <w:tcPr>
            <w:tcW w:type="dxa" w:w="2929"/>
            <w:shd w:fill="F5F7FA" w:val="clear"/>
          </w:tcPr>
          <w:p>
            <w:r/>
            <w:r>
              <w:rPr>
                <w:rFonts w:ascii="Calibri" w:hAnsi="Calibri"/>
                <w:sz w:val="19"/>
              </w:rPr>
              <w:t>/api/ai</w:t>
            </w:r>
          </w:p>
        </w:tc>
        <w:tc>
          <w:tcPr>
            <w:tcW w:type="dxa" w:w="2929"/>
            <w:shd w:fill="F5F7FA" w:val="clear"/>
          </w:tcPr>
          <w:p>
            <w:r/>
            <w:r>
              <w:rPr>
                <w:rFonts w:ascii="Calibri" w:hAnsi="Calibri"/>
                <w:sz w:val="19"/>
              </w:rPr>
              <w:t>POST</w:t>
            </w:r>
          </w:p>
        </w:tc>
        <w:tc>
          <w:tcPr>
            <w:tcW w:type="dxa" w:w="2929"/>
            <w:shd w:fill="F5F7FA" w:val="clear"/>
          </w:tcPr>
          <w:p>
            <w:r/>
            <w:r>
              <w:rPr>
                <w:rFonts w:ascii="Calibri" w:hAnsi="Calibri"/>
                <w:sz w:val="19"/>
              </w:rPr>
              <w:t>Proxy serverless a OpenRouter — body, devuelve stream/JSON</w:t>
            </w:r>
          </w:p>
        </w:tc>
      </w:tr>
      <w:tr>
        <w:tc>
          <w:tcPr>
            <w:tcW w:type="dxa" w:w="2929"/>
          </w:tcPr>
          <w:p>
            <w:r/>
            <w:r>
              <w:rPr>
                <w:rFonts w:ascii="Calibri" w:hAnsi="Calibri"/>
                <w:sz w:val="19"/>
              </w:rPr>
              <w:t>/api/ai</w:t>
            </w:r>
          </w:p>
        </w:tc>
        <w:tc>
          <w:tcPr>
            <w:tcW w:type="dxa" w:w="2929"/>
          </w:tcPr>
          <w:p>
            <w:r/>
            <w:r>
              <w:rPr>
                <w:rFonts w:ascii="Calibri" w:hAnsi="Calibri"/>
                <w:sz w:val="19"/>
              </w:rPr>
              <w:t>OPTIONS</w:t>
            </w:r>
          </w:p>
        </w:tc>
        <w:tc>
          <w:tcPr>
            <w:tcW w:type="dxa" w:w="2929"/>
          </w:tcPr>
          <w:p>
            <w:r/>
            <w:r>
              <w:rPr>
                <w:rFonts w:ascii="Calibri" w:hAnsi="Calibri"/>
                <w:sz w:val="19"/>
              </w:rPr>
              <w:t>CORS preflight</w:t>
            </w:r>
          </w:p>
        </w:tc>
      </w:tr>
    </w:tbl>
    <w:p/>
    <w:p>
      <w:pPr>
        <w:pStyle w:val="Heading2"/>
      </w:pPr>
      <w:r>
        <w:rPr>
          <w:color w:val="004B8D"/>
        </w:rPr>
        <w:t>A.4 — Métricas calidad (CTO Audit)</w:t>
      </w:r>
    </w:p>
    <w:p>
      <w:pPr>
        <w:spacing w:after="40"/>
      </w:pPr>
      <w:r>
        <w:rPr>
          <w:b/>
          <w:color w:val="666666"/>
          <w:sz w:val="18"/>
        </w:rPr>
        <w:t>Tabla 30.</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Métrica</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Total LOC (src/)</w:t>
            </w:r>
          </w:p>
        </w:tc>
        <w:tc>
          <w:tcPr>
            <w:tcW w:type="dxa" w:w="4394"/>
            <w:shd w:fill="F5F7FA" w:val="clear"/>
          </w:tcPr>
          <w:p>
            <w:r/>
            <w:r>
              <w:rPr>
                <w:rFonts w:ascii="Calibri" w:hAnsi="Calibri"/>
                <w:sz w:val="19"/>
              </w:rPr>
              <w:t>15.721</w:t>
            </w:r>
          </w:p>
        </w:tc>
      </w:tr>
      <w:tr>
        <w:tc>
          <w:tcPr>
            <w:tcW w:type="dxa" w:w="4394"/>
          </w:tcPr>
          <w:p>
            <w:r/>
            <w:r>
              <w:rPr>
                <w:rFonts w:ascii="Calibri" w:hAnsi="Calibri"/>
                <w:sz w:val="19"/>
              </w:rPr>
              <w:t>Archivos fuente</w:t>
            </w:r>
          </w:p>
        </w:tc>
        <w:tc>
          <w:tcPr>
            <w:tcW w:type="dxa" w:w="4394"/>
          </w:tcPr>
          <w:p>
            <w:r/>
            <w:r>
              <w:rPr>
                <w:rFonts w:ascii="Calibri" w:hAnsi="Calibri"/>
                <w:sz w:val="19"/>
              </w:rPr>
              <w:t>123</w:t>
            </w:r>
          </w:p>
        </w:tc>
      </w:tr>
      <w:tr>
        <w:tc>
          <w:tcPr>
            <w:tcW w:type="dxa" w:w="4394"/>
            <w:shd w:fill="F5F7FA" w:val="clear"/>
          </w:tcPr>
          <w:p>
            <w:r/>
            <w:r>
              <w:rPr>
                <w:rFonts w:ascii="Calibri" w:hAnsi="Calibri"/>
                <w:sz w:val="19"/>
              </w:rPr>
              <w:t>Componentes</w:t>
            </w:r>
          </w:p>
        </w:tc>
        <w:tc>
          <w:tcPr>
            <w:tcW w:type="dxa" w:w="4394"/>
            <w:shd w:fill="F5F7FA" w:val="clear"/>
          </w:tcPr>
          <w:p>
            <w:r/>
            <w:r>
              <w:rPr>
                <w:rFonts w:ascii="Calibri" w:hAnsi="Calibri"/>
                <w:sz w:val="19"/>
              </w:rPr>
              <w:t>64</w:t>
            </w:r>
          </w:p>
        </w:tc>
      </w:tr>
      <w:tr>
        <w:tc>
          <w:tcPr>
            <w:tcW w:type="dxa" w:w="4394"/>
          </w:tcPr>
          <w:p>
            <w:r/>
            <w:r>
              <w:rPr>
                <w:rFonts w:ascii="Calibri" w:hAnsi="Calibri"/>
                <w:sz w:val="19"/>
              </w:rPr>
              <w:t>Hooks</w:t>
            </w:r>
          </w:p>
        </w:tc>
        <w:tc>
          <w:tcPr>
            <w:tcW w:type="dxa" w:w="4394"/>
          </w:tcPr>
          <w:p>
            <w:r/>
            <w:r>
              <w:rPr>
                <w:rFonts w:ascii="Calibri" w:hAnsi="Calibri"/>
                <w:sz w:val="19"/>
              </w:rPr>
              <w:t>13</w:t>
            </w:r>
          </w:p>
        </w:tc>
      </w:tr>
      <w:tr>
        <w:tc>
          <w:tcPr>
            <w:tcW w:type="dxa" w:w="4394"/>
            <w:shd w:fill="F5F7FA" w:val="clear"/>
          </w:tcPr>
          <w:p>
            <w:r/>
            <w:r>
              <w:rPr>
                <w:rFonts w:ascii="Calibri" w:hAnsi="Calibri"/>
                <w:sz w:val="19"/>
              </w:rPr>
              <w:t>TypeScript (%)</w:t>
            </w:r>
          </w:p>
        </w:tc>
        <w:tc>
          <w:tcPr>
            <w:tcW w:type="dxa" w:w="4394"/>
            <w:shd w:fill="F5F7FA" w:val="clear"/>
          </w:tcPr>
          <w:p>
            <w:r/>
            <w:r>
              <w:rPr>
                <w:rFonts w:ascii="Calibri" w:hAnsi="Calibri"/>
                <w:sz w:val="19"/>
              </w:rPr>
              <w:t>3.5% (4/123)</w:t>
            </w:r>
          </w:p>
        </w:tc>
      </w:tr>
      <w:tr>
        <w:tc>
          <w:tcPr>
            <w:tcW w:type="dxa" w:w="4394"/>
          </w:tcPr>
          <w:p>
            <w:r/>
            <w:r>
              <w:rPr>
                <w:rFonts w:ascii="Calibri" w:hAnsi="Calibri"/>
                <w:sz w:val="19"/>
              </w:rPr>
              <w:t>Hallazgos críticos</w:t>
            </w:r>
          </w:p>
        </w:tc>
        <w:tc>
          <w:tcPr>
            <w:tcW w:type="dxa" w:w="4394"/>
          </w:tcPr>
          <w:p>
            <w:r/>
            <w:r>
              <w:rPr>
                <w:rFonts w:ascii="Calibri" w:hAnsi="Calibri"/>
                <w:sz w:val="19"/>
              </w:rPr>
              <w:t>4</w:t>
            </w:r>
          </w:p>
        </w:tc>
      </w:tr>
      <w:tr>
        <w:tc>
          <w:tcPr>
            <w:tcW w:type="dxa" w:w="4394"/>
            <w:shd w:fill="F5F7FA" w:val="clear"/>
          </w:tcPr>
          <w:p>
            <w:r/>
            <w:r>
              <w:rPr>
                <w:rFonts w:ascii="Calibri" w:hAnsi="Calibri"/>
                <w:sz w:val="19"/>
              </w:rPr>
              <w:t>Hallazgos altos</w:t>
            </w:r>
          </w:p>
        </w:tc>
        <w:tc>
          <w:tcPr>
            <w:tcW w:type="dxa" w:w="4394"/>
            <w:shd w:fill="F5F7FA" w:val="clear"/>
          </w:tcPr>
          <w:p>
            <w:r/>
            <w:r>
              <w:rPr>
                <w:rFonts w:ascii="Calibri" w:hAnsi="Calibri"/>
                <w:sz w:val="19"/>
              </w:rPr>
              <w:t>7</w:t>
            </w:r>
          </w:p>
        </w:tc>
      </w:tr>
      <w:tr>
        <w:tc>
          <w:tcPr>
            <w:tcW w:type="dxa" w:w="4394"/>
          </w:tcPr>
          <w:p>
            <w:r/>
            <w:r>
              <w:rPr>
                <w:rFonts w:ascii="Calibri" w:hAnsi="Calibri"/>
                <w:sz w:val="19"/>
              </w:rPr>
              <w:t>Hallazgos medios</w:t>
            </w:r>
          </w:p>
        </w:tc>
        <w:tc>
          <w:tcPr>
            <w:tcW w:type="dxa" w:w="4394"/>
          </w:tcPr>
          <w:p>
            <w:r/>
            <w:r>
              <w:rPr>
                <w:rFonts w:ascii="Calibri" w:hAnsi="Calibri"/>
                <w:sz w:val="19"/>
              </w:rPr>
              <w:t>11</w:t>
            </w:r>
          </w:p>
        </w:tc>
      </w:tr>
      <w:tr>
        <w:tc>
          <w:tcPr>
            <w:tcW w:type="dxa" w:w="4394"/>
            <w:shd w:fill="F5F7FA" w:val="clear"/>
          </w:tcPr>
          <w:p>
            <w:r/>
            <w:r>
              <w:rPr>
                <w:rFonts w:ascii="Calibri" w:hAnsi="Calibri"/>
                <w:sz w:val="19"/>
              </w:rPr>
              <w:t>Hallazgos bajos</w:t>
            </w:r>
          </w:p>
        </w:tc>
        <w:tc>
          <w:tcPr>
            <w:tcW w:type="dxa" w:w="4394"/>
            <w:shd w:fill="F5F7FA" w:val="clear"/>
          </w:tcPr>
          <w:p>
            <w:r/>
            <w:r>
              <w:rPr>
                <w:rFonts w:ascii="Calibri" w:hAnsi="Calibri"/>
                <w:sz w:val="19"/>
              </w:rPr>
              <w:t>9</w:t>
            </w:r>
          </w:p>
        </w:tc>
      </w:tr>
      <w:tr>
        <w:tc>
          <w:tcPr>
            <w:tcW w:type="dxa" w:w="4394"/>
          </w:tcPr>
          <w:p>
            <w:r/>
            <w:r>
              <w:rPr>
                <w:rFonts w:ascii="Calibri" w:hAnsi="Calibri"/>
                <w:sz w:val="19"/>
              </w:rPr>
              <w:t>Puntuación global</w:t>
            </w:r>
          </w:p>
        </w:tc>
        <w:tc>
          <w:tcPr>
            <w:tcW w:type="dxa" w:w="4394"/>
          </w:tcPr>
          <w:p>
            <w:r/>
            <w:r>
              <w:rPr>
                <w:rFonts w:ascii="Calibri" w:hAnsi="Calibri"/>
                <w:sz w:val="19"/>
              </w:rPr>
              <w:t>6.5/10</w:t>
            </w:r>
          </w:p>
        </w:tc>
      </w:tr>
    </w:tbl>
    <w:p/>
    <w:p>
      <w:pPr>
        <w:pStyle w:val="Heading2"/>
      </w:pPr>
      <w:r>
        <w:rPr>
          <w:color w:val="004B8D"/>
        </w:rPr>
        <w:t>A.5 — Graceful degradation</w:t>
      </w:r>
    </w:p>
    <w:p>
      <w:pPr/>
      <w:r>
        <w:t>Cuando VITE_SUPABASE_URL y VITE_SUPABASE_ANON_KEY no están definidas, el cliente retorna un stubProxy que permite que la app funcione con datos vacíos. No crashea.</w:t>
      </w:r>
    </w:p>
    <w:p>
      <w:pPr>
        <w:pStyle w:val="ListBullet"/>
      </w:pPr>
      <w:r>
        <w:t>Desarrollo local sin configuración Supabase</w:t>
      </w:r>
    </w:p>
    <w:p>
      <w:pPr>
        <w:pStyle w:val="ListBullet"/>
      </w:pPr>
      <w:r>
        <w:t>Build en Vercel sin vars → warnings en build log</w:t>
      </w:r>
    </w:p>
    <w:p>
      <w:pPr>
        <w:pStyle w:val="ListBullet"/>
      </w:pPr>
      <w:r>
        <w:t>App cargable y navegable, BD muestra vacío</w:t>
      </w:r>
    </w:p>
    <w:p>
      <w:pPr>
        <w:pStyle w:val="ListBullet"/>
      </w:pPr>
      <w:r>
        <w:rPr>
          <w:b/>
        </w:rPr>
        <w:t>Decisión consciente:</w:t>
      </w:r>
      <w:r>
        <w:t xml:space="preserve"> mejor app funcional sin BD que app rota</w:t>
      </w:r>
    </w:p>
    <w:p>
      <w:pPr>
        <w:pStyle w:val="Heading1"/>
      </w:pPr>
      <w:r>
        <w:rPr>
          <w:color w:val="004B8D"/>
        </w:rPr>
        <w:t>B. GLOSARIO DE TÉRMINOS TÉCNICOS</w:t>
      </w:r>
    </w:p>
    <w:p>
      <w:pPr>
        <w:pStyle w:val="ListBullet"/>
      </w:pPr>
      <w:r>
        <w:rPr>
          <w:b/>
        </w:rPr>
        <w:t>API:</w:t>
      </w:r>
      <w:r>
        <w:t xml:space="preserve"> Application Programming Interface. Conjunto de endpoints que permiten la comunicación entre servicios.</w:t>
      </w:r>
    </w:p>
    <w:p>
      <w:pPr>
        <w:pStyle w:val="ListBullet"/>
      </w:pPr>
      <w:r>
        <w:rPr>
          <w:b/>
        </w:rPr>
        <w:t>Build time:</w:t>
      </w:r>
      <w:r>
        <w:t xml:space="preserve"> Tiempo que tarda Vite en compilar el código fuente en assets estáticos para producción.</w:t>
      </w:r>
    </w:p>
    <w:p>
      <w:pPr>
        <w:pStyle w:val="ListBullet"/>
      </w:pPr>
      <w:r>
        <w:rPr>
          <w:b/>
        </w:rPr>
        <w:t>Bundler:</w:t>
      </w:r>
      <w:r>
        <w:t xml:space="preserve"> Herramientas que empaquetan módulos JS en archivos optimizados para producción. Vite en este proyecto.</w:t>
      </w:r>
    </w:p>
    <w:p>
      <w:pPr>
        <w:pStyle w:val="ListBullet"/>
      </w:pPr>
      <w:r>
        <w:rPr>
          <w:b/>
        </w:rPr>
        <w:t>CDN:</w:t>
      </w:r>
      <w:r>
        <w:t xml:space="preserve"> Content Delivery Network. Red de servidores que distribuyen assets estáticos geográficamente.</w:t>
      </w:r>
    </w:p>
    <w:p>
      <w:pPr>
        <w:pStyle w:val="ListBullet"/>
      </w:pPr>
      <w:r>
        <w:rPr>
          <w:b/>
        </w:rPr>
        <w:t>Chunk:</w:t>
      </w:r>
      <w:r>
        <w:t xml:space="preserve"> Fragmento de código generado por el bundler. Los chunks permiten carga diferida (lazy loading).</w:t>
      </w:r>
    </w:p>
    <w:p>
      <w:pPr>
        <w:pStyle w:val="ListBullet"/>
      </w:pPr>
      <w:r>
        <w:rPr>
          <w:b/>
        </w:rPr>
        <w:t>CI/CD:</w:t>
      </w:r>
      <w:r>
        <w:t xml:space="preserve"> Continuous Integration / Continuous Deployment. Pipeline automático de tests y despliegue.</w:t>
      </w:r>
    </w:p>
    <w:p>
      <w:pPr>
        <w:pStyle w:val="ListBullet"/>
      </w:pPr>
      <w:r>
        <w:rPr>
          <w:b/>
        </w:rPr>
        <w:t>Code-splitting:</w:t>
      </w:r>
      <w:r>
        <w:t xml:space="preserve"> Técnica que divide el código en trozos que se cargan bajo demanda, no todos a la vez.</w:t>
      </w:r>
    </w:p>
    <w:p>
      <w:pPr>
        <w:pStyle w:val="ListBullet"/>
      </w:pPr>
      <w:r>
        <w:rPr>
          <w:b/>
        </w:rPr>
        <w:t>Context (React):</w:t>
      </w:r>
      <w:r>
        <w:t xml:space="preserve"> API de React para compartir estado entre componentes sin prop drilling.</w:t>
      </w:r>
    </w:p>
    <w:p>
      <w:pPr>
        <w:pStyle w:val="ListBullet"/>
      </w:pPr>
      <w:r>
        <w:rPr>
          <w:b/>
        </w:rPr>
        <w:t>CRUD:</w:t>
      </w:r>
      <w:r>
        <w:t xml:space="preserve"> Create, Read, Update, Delete. Operaciones básicas de persistencia de datos.</w:t>
      </w:r>
    </w:p>
    <w:p>
      <w:pPr>
        <w:pStyle w:val="ListBullet"/>
      </w:pPr>
      <w:r>
        <w:rPr>
          <w:b/>
        </w:rPr>
        <w:t>CSS Modules:</w:t>
      </w:r>
      <w:r>
        <w:t xml:space="preserve"> Técnica que encapsula estilos CSS por componente, evitando colisiones de nombres.</w:t>
      </w:r>
    </w:p>
    <w:p>
      <w:pPr>
        <w:pStyle w:val="ListBullet"/>
      </w:pPr>
      <w:r>
        <w:rPr>
          <w:b/>
        </w:rPr>
        <w:t>CTO Audit:</w:t>
      </w:r>
      <w:r>
        <w:t xml:space="preserve"> Revisión sistemática del código fuente para identificar problemas de calidad, seguridad y rendimiento.</w:t>
      </w:r>
    </w:p>
    <w:p>
      <w:pPr>
        <w:pStyle w:val="ListBullet"/>
      </w:pPr>
      <w:r>
        <w:rPr>
          <w:b/>
        </w:rPr>
        <w:t>Dead export:</w:t>
      </w:r>
      <w:r>
        <w:t xml:space="preserve"> Función/variable exportada pero nunca importada en ningún otro archivo. Código muerto.</w:t>
      </w:r>
    </w:p>
    <w:p>
      <w:pPr>
        <w:pStyle w:val="ListBullet"/>
      </w:pPr>
      <w:r>
        <w:rPr>
          <w:b/>
        </w:rPr>
        <w:t>ESLint:</w:t>
      </w:r>
      <w:r>
        <w:t xml:space="preserve"> Herramienta de linting que analiza código JS/TS para encontrar problemas de sintaxis y estilo.</w:t>
      </w:r>
    </w:p>
    <w:p>
      <w:pPr>
        <w:pStyle w:val="ListBullet"/>
      </w:pPr>
      <w:r>
        <w:rPr>
          <w:b/>
        </w:rPr>
        <w:t>FCP:</w:t>
      </w:r>
      <w:r>
        <w:t xml:space="preserve"> First Contentful Paint. Métrica de rendimiento: tiempo hasta que se pinta el primer contenido.</w:t>
      </w:r>
    </w:p>
    <w:p>
      <w:pPr>
        <w:pStyle w:val="ListBullet"/>
      </w:pPr>
      <w:r>
        <w:rPr>
          <w:b/>
        </w:rPr>
        <w:t>Free tier:</w:t>
      </w:r>
      <w:r>
        <w:t xml:space="preserve"> Nivel gratuito de un servicio cloud con limitaciones pero suficiente para desarrollo y prototipado.</w:t>
      </w:r>
    </w:p>
    <w:p>
      <w:pPr>
        <w:pStyle w:val="ListBullet"/>
      </w:pPr>
      <w:r>
        <w:rPr>
          <w:b/>
        </w:rPr>
        <w:t>Graceful degradation:</w:t>
      </w:r>
      <w:r>
        <w:t xml:space="preserve"> Capacidad de una app de funcionar parcialmente cuando faltan dependencias.</w:t>
      </w:r>
    </w:p>
    <w:p>
      <w:pPr>
        <w:pStyle w:val="ListBullet"/>
      </w:pPr>
      <w:r>
        <w:rPr>
          <w:b/>
        </w:rPr>
        <w:t>Hook (React):</w:t>
      </w:r>
      <w:r>
        <w:t xml:space="preserve"> Función especial de React que permite usar estado y otras características en componentes funcionales.</w:t>
      </w:r>
    </w:p>
    <w:p>
      <w:pPr>
        <w:pStyle w:val="ListBullet"/>
      </w:pPr>
      <w:r>
        <w:rPr>
          <w:b/>
        </w:rPr>
        <w:t>IIFE:</w:t>
      </w:r>
      <w:r>
        <w:t xml:space="preserve"> Immediately Invoked Function Expression. Función que se ejecuta en el momento de su definición.</w:t>
      </w:r>
    </w:p>
    <w:p>
      <w:pPr>
        <w:pStyle w:val="ListBullet"/>
      </w:pPr>
      <w:r>
        <w:rPr>
          <w:b/>
        </w:rPr>
        <w:t>KPI:</w:t>
      </w:r>
      <w:r>
        <w:t xml:space="preserve"> Key Performance Indicator. Métrica cuantificable que evalúa el éxito de un proceso.</w:t>
      </w:r>
    </w:p>
    <w:p>
      <w:pPr>
        <w:pStyle w:val="ListBullet"/>
      </w:pPr>
      <w:r>
        <w:rPr>
          <w:b/>
        </w:rPr>
        <w:t>Lazy loading:</w:t>
      </w:r>
      <w:r>
        <w:t xml:space="preserve"> Técnica que retrasa la carga de recursos hasta que son realmente necesarios.</w:t>
      </w:r>
    </w:p>
    <w:p>
      <w:pPr>
        <w:pStyle w:val="ListBullet"/>
      </w:pPr>
      <w:r>
        <w:rPr>
          <w:b/>
        </w:rPr>
        <w:t>LOC:</w:t>
      </w:r>
      <w:r>
        <w:t xml:space="preserve"> Lines of Code. Medida del tamaño del código fuente.</w:t>
      </w:r>
    </w:p>
    <w:p>
      <w:pPr>
        <w:pStyle w:val="ListBullet"/>
      </w:pPr>
      <w:r>
        <w:rPr>
          <w:b/>
        </w:rPr>
        <w:t>Magnetotérmico:</w:t>
      </w:r>
      <w:r>
        <w:t xml:space="preserve"> Dispositivo de protección eléctrica que combina protección térmica (sobrecarga) y magnética (cortocircuito).</w:t>
      </w:r>
    </w:p>
    <w:p>
      <w:pPr>
        <w:pStyle w:val="ListBullet"/>
      </w:pPr>
      <w:r>
        <w:rPr>
          <w:b/>
        </w:rPr>
        <w:t>OAuth:</w:t>
      </w:r>
      <w:r>
        <w:t xml:space="preserve"> Estándar abierto para autenticación. Google OAuth permite login con cuenta Google.</w:t>
      </w:r>
    </w:p>
    <w:p>
      <w:pPr>
        <w:pStyle w:val="ListBullet"/>
      </w:pPr>
      <w:r>
        <w:rPr>
          <w:b/>
        </w:rPr>
        <w:t>OEE:</w:t>
      </w:r>
      <w:r>
        <w:t xml:space="preserve"> Overall Equipment Effectiveness. KPI que mide la eficiencia global de un equipo.</w:t>
      </w:r>
    </w:p>
    <w:p>
      <w:pPr>
        <w:pStyle w:val="ListBullet"/>
      </w:pPr>
      <w:r>
        <w:rPr>
          <w:b/>
        </w:rPr>
        <w:t>PWA:</w:t>
      </w:r>
      <w:r>
        <w:t xml:space="preserve"> Progressive Web App. Aplicación web que puede instalarse en el dispositivo y funcionar offline.</w:t>
      </w:r>
    </w:p>
    <w:p>
      <w:pPr>
        <w:pStyle w:val="ListBullet"/>
      </w:pPr>
      <w:r>
        <w:rPr>
          <w:b/>
        </w:rPr>
        <w:t>Prop drilling:</w:t>
      </w:r>
      <w:r>
        <w:t xml:space="preserve"> Patrón donde props se pasan a través de múltiples niveles de componentes intermedios. Anti-patrón.</w:t>
      </w:r>
    </w:p>
    <w:p>
      <w:pPr>
        <w:pStyle w:val="ListBullet"/>
      </w:pPr>
      <w:r>
        <w:rPr>
          <w:b/>
        </w:rPr>
        <w:t>Rate limiting:</w:t>
      </w:r>
      <w:r>
        <w:t xml:space="preserve"> Mecanismo que limita el número de peticiones a un servicio en un intervalo de tiempo.</w:t>
      </w:r>
    </w:p>
    <w:p>
      <w:pPr>
        <w:pStyle w:val="ListBullet"/>
      </w:pPr>
      <w:r>
        <w:rPr>
          <w:b/>
        </w:rPr>
        <w:t>Regex:</w:t>
      </w:r>
      <w:r>
        <w:t xml:space="preserve"> Regular Expression. Patrón para búsqueda y manipulación de cadenas de texto.</w:t>
      </w:r>
    </w:p>
    <w:p>
      <w:pPr>
        <w:pStyle w:val="ListBullet"/>
      </w:pPr>
      <w:r>
        <w:rPr>
          <w:b/>
        </w:rPr>
        <w:t>RLS:</w:t>
      </w:r>
      <w:r>
        <w:t xml:space="preserve"> Row Level Security. Políticas de seguridad en PostgreSQL que restringen acceso a nivel de fila.</w:t>
      </w:r>
    </w:p>
    <w:p>
      <w:pPr>
        <w:pStyle w:val="ListBullet"/>
      </w:pPr>
      <w:r>
        <w:rPr>
          <w:b/>
        </w:rPr>
        <w:t>Serverless Function:</w:t>
      </w:r>
      <w:r>
        <w:t xml:space="preserve"> Función serverless que se ejecuta bajo demanda sin gestionar infraestructura.</w:t>
      </w:r>
    </w:p>
    <w:p>
      <w:pPr>
        <w:pStyle w:val="ListBullet"/>
      </w:pPr>
      <w:r>
        <w:rPr>
          <w:b/>
        </w:rPr>
        <w:t>SPA:</w:t>
      </w:r>
      <w:r>
        <w:t xml:space="preserve"> Single Page Application. Aplicación web que carga una sola página y actualiza el contenido dinámicamente.</w:t>
      </w:r>
    </w:p>
    <w:p>
      <w:pPr>
        <w:pStyle w:val="ListBullet"/>
      </w:pPr>
      <w:r>
        <w:rPr>
          <w:b/>
        </w:rPr>
        <w:t>Streaming (IA):</w:t>
      </w:r>
      <w:r>
        <w:t xml:space="preserve"> Técnica donde la IA devuelve tokens progresivamente en lugar de esperar a generar la respuesta completa.</w:t>
      </w:r>
    </w:p>
    <w:p>
      <w:pPr>
        <w:pStyle w:val="ListBullet"/>
      </w:pPr>
      <w:r>
        <w:rPr>
          <w:b/>
        </w:rPr>
        <w:t>Stub:</w:t>
      </w:r>
      <w:r>
        <w:t xml:space="preserve"> Implementación dummy que permite que el código compile/funcione sin la implementación real.</w:t>
      </w:r>
    </w:p>
    <w:p>
      <w:pPr>
        <w:pStyle w:val="ListBullet"/>
      </w:pPr>
      <w:r>
        <w:rPr>
          <w:b/>
        </w:rPr>
        <w:t>useCallback:</w:t>
      </w:r>
      <w:r>
        <w:t xml:space="preserve"> Hook de React que memoriza funciones para evitar recreaciones innecesarias en cada render.</w:t>
      </w:r>
    </w:p>
    <w:p>
      <w:pPr>
        <w:pStyle w:val="ListBullet"/>
      </w:pPr>
      <w:r>
        <w:rPr>
          <w:b/>
        </w:rPr>
        <w:t>useReducer:</w:t>
      </w:r>
      <w:r>
        <w:t xml:space="preserve"> Hook de React para manejar estado complejo con acciones. Alternativa a useState.</w:t>
      </w:r>
    </w:p>
    <w:p>
      <w:pPr>
        <w:pStyle w:val="ListBullet"/>
      </w:pPr>
      <w:r>
        <w:rPr>
          <w:b/>
        </w:rPr>
        <w:t>useState:</w:t>
      </w:r>
      <w:r>
        <w:t xml:space="preserve"> Hook básico de React para declarar estado en componentes funcionales.</w:t>
      </w:r>
    </w:p>
    <w:p>
      <w:pPr>
        <w:pStyle w:val="ListBullet"/>
      </w:pPr>
      <w:r>
        <w:rPr>
          <w:b/>
        </w:rPr>
        <w:t>Vercel:</w:t>
      </w:r>
      <w:r>
        <w:t xml:space="preserve"> Plataforma de hosting para frontend con integración GitHub y serverless functions.</w:t>
      </w:r>
    </w:p>
    <w:p>
      <w:pPr>
        <w:pStyle w:val="ListBullet"/>
      </w:pPr>
      <w:r>
        <w:rPr>
          <w:b/>
        </w:rPr>
        <w:t>Vite:</w:t>
      </w:r>
      <w:r>
        <w:t xml:space="preserve"> Bundler moderno para proyectos web. Substituye a Webpack.</w:t>
      </w:r>
    </w:p>
    <w:p>
      <w:pPr>
        <w:pStyle w:val="ListBullet"/>
      </w:pPr>
      <w:r>
        <w:rPr>
          <w:b/>
        </w:rPr>
        <w:t>Workbox:</w:t>
      </w:r>
      <w:r>
        <w:t xml:space="preserve"> Conjunto de librerías de Google para gestionar Service Workers en PWAs.</w:t>
      </w:r>
    </w:p>
    <w:p>
      <w:pPr/>
      <w:r>
        <w:t>Glosario con 39 términos técnicos documentados.</w:t>
      </w:r>
    </w:p>
    <w:p>
      <w:pPr>
        <w:pStyle w:val="Heading1"/>
      </w:pPr>
      <w:r>
        <w:rPr>
          <w:color w:val="004B8D"/>
        </w:rPr>
        <w:t>C. ACRÓNIMOS Y REFERENCIAS</w:t>
      </w:r>
    </w:p>
    <w:p>
      <w:pPr>
        <w:pStyle w:val="Heading2"/>
      </w:pPr>
      <w:r>
        <w:rPr>
          <w:color w:val="004B8D"/>
        </w:rPr>
        <w:t>C.1 — Lista de acrónimos</w:t>
      </w:r>
    </w:p>
    <w:p>
      <w:pPr>
        <w:spacing w:after="40"/>
      </w:pPr>
      <w:r>
        <w:rPr>
          <w:b/>
          <w:color w:val="666666"/>
          <w:sz w:val="18"/>
        </w:rPr>
        <w:t>Tabla 31.</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Acrónimo</w:t>
            </w:r>
          </w:p>
        </w:tc>
        <w:tc>
          <w:tcPr>
            <w:tcW w:type="dxa" w:w="4394"/>
            <w:shd w:fill="004B8D" w:val="clear"/>
          </w:tcPr>
          <w:p>
            <w:pPr>
              <w:jc w:val="center"/>
            </w:pPr>
            <w:r/>
            <w:r>
              <w:rPr>
                <w:rFonts w:ascii="Calibri" w:hAnsi="Calibri"/>
                <w:b/>
                <w:color w:val="FFFFFF"/>
                <w:sz w:val="20"/>
              </w:rPr>
              <w:t>Significado</w:t>
            </w:r>
          </w:p>
        </w:tc>
      </w:tr>
      <w:tr>
        <w:tc>
          <w:tcPr>
            <w:tcW w:type="dxa" w:w="4394"/>
            <w:shd w:fill="F5F7FA" w:val="clear"/>
          </w:tcPr>
          <w:p>
            <w:r/>
            <w:r>
              <w:rPr>
                <w:rFonts w:ascii="Calibri" w:hAnsi="Calibri"/>
                <w:sz w:val="19"/>
              </w:rPr>
              <w:t>API</w:t>
            </w:r>
          </w:p>
        </w:tc>
        <w:tc>
          <w:tcPr>
            <w:tcW w:type="dxa" w:w="4394"/>
            <w:shd w:fill="F5F7FA" w:val="clear"/>
          </w:tcPr>
          <w:p>
            <w:r/>
            <w:r>
              <w:rPr>
                <w:rFonts w:ascii="Calibri" w:hAnsi="Calibri"/>
                <w:sz w:val="19"/>
              </w:rPr>
              <w:t>Application Programming Interface</w:t>
            </w:r>
          </w:p>
        </w:tc>
      </w:tr>
      <w:tr>
        <w:tc>
          <w:tcPr>
            <w:tcW w:type="dxa" w:w="4394"/>
          </w:tcPr>
          <w:p>
            <w:r/>
            <w:r>
              <w:rPr>
                <w:rFonts w:ascii="Calibri" w:hAnsi="Calibri"/>
                <w:sz w:val="19"/>
              </w:rPr>
              <w:t>BD</w:t>
            </w:r>
          </w:p>
        </w:tc>
        <w:tc>
          <w:tcPr>
            <w:tcW w:type="dxa" w:w="4394"/>
          </w:tcPr>
          <w:p>
            <w:r/>
            <w:r>
              <w:rPr>
                <w:rFonts w:ascii="Calibri" w:hAnsi="Calibri"/>
                <w:sz w:val="19"/>
              </w:rPr>
              <w:t>Base de Datos</w:t>
            </w:r>
          </w:p>
        </w:tc>
      </w:tr>
      <w:tr>
        <w:tc>
          <w:tcPr>
            <w:tcW w:type="dxa" w:w="4394"/>
            <w:shd w:fill="F5F7FA" w:val="clear"/>
          </w:tcPr>
          <w:p>
            <w:r/>
            <w:r>
              <w:rPr>
                <w:rFonts w:ascii="Calibri" w:hAnsi="Calibri"/>
                <w:sz w:val="19"/>
              </w:rPr>
              <w:t>CDN</w:t>
            </w:r>
          </w:p>
        </w:tc>
        <w:tc>
          <w:tcPr>
            <w:tcW w:type="dxa" w:w="4394"/>
            <w:shd w:fill="F5F7FA" w:val="clear"/>
          </w:tcPr>
          <w:p>
            <w:r/>
            <w:r>
              <w:rPr>
                <w:rFonts w:ascii="Calibri" w:hAnsi="Calibri"/>
                <w:sz w:val="19"/>
              </w:rPr>
              <w:t>Content Delivery Network</w:t>
            </w:r>
          </w:p>
        </w:tc>
      </w:tr>
      <w:tr>
        <w:tc>
          <w:tcPr>
            <w:tcW w:type="dxa" w:w="4394"/>
          </w:tcPr>
          <w:p>
            <w:r/>
            <w:r>
              <w:rPr>
                <w:rFonts w:ascii="Calibri" w:hAnsi="Calibri"/>
                <w:sz w:val="19"/>
              </w:rPr>
              <w:t>CI/CD</w:t>
            </w:r>
          </w:p>
        </w:tc>
        <w:tc>
          <w:tcPr>
            <w:tcW w:type="dxa" w:w="4394"/>
          </w:tcPr>
          <w:p>
            <w:r/>
            <w:r>
              <w:rPr>
                <w:rFonts w:ascii="Calibri" w:hAnsi="Calibri"/>
                <w:sz w:val="19"/>
              </w:rPr>
              <w:t>Continuous Integration / Continuous Deployment</w:t>
            </w:r>
          </w:p>
        </w:tc>
      </w:tr>
      <w:tr>
        <w:tc>
          <w:tcPr>
            <w:tcW w:type="dxa" w:w="4394"/>
            <w:shd w:fill="F5F7FA" w:val="clear"/>
          </w:tcPr>
          <w:p>
            <w:r/>
            <w:r>
              <w:rPr>
                <w:rFonts w:ascii="Calibri" w:hAnsi="Calibri"/>
                <w:sz w:val="19"/>
              </w:rPr>
              <w:t>CRUD</w:t>
            </w:r>
          </w:p>
        </w:tc>
        <w:tc>
          <w:tcPr>
            <w:tcW w:type="dxa" w:w="4394"/>
            <w:shd w:fill="F5F7FA" w:val="clear"/>
          </w:tcPr>
          <w:p>
            <w:r/>
            <w:r>
              <w:rPr>
                <w:rFonts w:ascii="Calibri" w:hAnsi="Calibri"/>
                <w:sz w:val="19"/>
              </w:rPr>
              <w:t>Create, Read, Update, Delete</w:t>
            </w:r>
          </w:p>
        </w:tc>
      </w:tr>
      <w:tr>
        <w:tc>
          <w:tcPr>
            <w:tcW w:type="dxa" w:w="4394"/>
          </w:tcPr>
          <w:p>
            <w:r/>
            <w:r>
              <w:rPr>
                <w:rFonts w:ascii="Calibri" w:hAnsi="Calibri"/>
                <w:sz w:val="19"/>
              </w:rPr>
              <w:t>CSS</w:t>
            </w:r>
          </w:p>
        </w:tc>
        <w:tc>
          <w:tcPr>
            <w:tcW w:type="dxa" w:w="4394"/>
          </w:tcPr>
          <w:p>
            <w:r/>
            <w:r>
              <w:rPr>
                <w:rFonts w:ascii="Calibri" w:hAnsi="Calibri"/>
                <w:sz w:val="19"/>
              </w:rPr>
              <w:t>Cascading Style Sheets</w:t>
            </w:r>
          </w:p>
        </w:tc>
      </w:tr>
      <w:tr>
        <w:tc>
          <w:tcPr>
            <w:tcW w:type="dxa" w:w="4394"/>
            <w:shd w:fill="F5F7FA" w:val="clear"/>
          </w:tcPr>
          <w:p>
            <w:r/>
            <w:r>
              <w:rPr>
                <w:rFonts w:ascii="Calibri" w:hAnsi="Calibri"/>
                <w:sz w:val="19"/>
              </w:rPr>
              <w:t>CTO</w:t>
            </w:r>
          </w:p>
        </w:tc>
        <w:tc>
          <w:tcPr>
            <w:tcW w:type="dxa" w:w="4394"/>
            <w:shd w:fill="F5F7FA" w:val="clear"/>
          </w:tcPr>
          <w:p>
            <w:r/>
            <w:r>
              <w:rPr>
                <w:rFonts w:ascii="Calibri" w:hAnsi="Calibri"/>
                <w:sz w:val="19"/>
              </w:rPr>
              <w:t>Chief Technology Officer</w:t>
            </w:r>
          </w:p>
        </w:tc>
      </w:tr>
      <w:tr>
        <w:tc>
          <w:tcPr>
            <w:tcW w:type="dxa" w:w="4394"/>
          </w:tcPr>
          <w:p>
            <w:r/>
            <w:r>
              <w:rPr>
                <w:rFonts w:ascii="Calibri" w:hAnsi="Calibri"/>
                <w:sz w:val="19"/>
              </w:rPr>
              <w:t>DOM</w:t>
            </w:r>
          </w:p>
        </w:tc>
        <w:tc>
          <w:tcPr>
            <w:tcW w:type="dxa" w:w="4394"/>
          </w:tcPr>
          <w:p>
            <w:r/>
            <w:r>
              <w:rPr>
                <w:rFonts w:ascii="Calibri" w:hAnsi="Calibri"/>
                <w:sz w:val="19"/>
              </w:rPr>
              <w:t>Document Object Model</w:t>
            </w:r>
          </w:p>
        </w:tc>
      </w:tr>
      <w:tr>
        <w:tc>
          <w:tcPr>
            <w:tcW w:type="dxa" w:w="4394"/>
            <w:shd w:fill="F5F7FA" w:val="clear"/>
          </w:tcPr>
          <w:p>
            <w:r/>
            <w:r>
              <w:rPr>
                <w:rFonts w:ascii="Calibri" w:hAnsi="Calibri"/>
                <w:sz w:val="19"/>
              </w:rPr>
              <w:t>E2E</w:t>
            </w:r>
          </w:p>
        </w:tc>
        <w:tc>
          <w:tcPr>
            <w:tcW w:type="dxa" w:w="4394"/>
            <w:shd w:fill="F5F7FA" w:val="clear"/>
          </w:tcPr>
          <w:p>
            <w:r/>
            <w:r>
              <w:rPr>
                <w:rFonts w:ascii="Calibri" w:hAnsi="Calibri"/>
                <w:sz w:val="19"/>
              </w:rPr>
              <w:t>End-to-End (tests)</w:t>
            </w:r>
          </w:p>
        </w:tc>
      </w:tr>
      <w:tr>
        <w:tc>
          <w:tcPr>
            <w:tcW w:type="dxa" w:w="4394"/>
          </w:tcPr>
          <w:p>
            <w:r/>
            <w:r>
              <w:rPr>
                <w:rFonts w:ascii="Calibri" w:hAnsi="Calibri"/>
                <w:sz w:val="19"/>
              </w:rPr>
              <w:t>ERP</w:t>
            </w:r>
          </w:p>
        </w:tc>
        <w:tc>
          <w:tcPr>
            <w:tcW w:type="dxa" w:w="4394"/>
          </w:tcPr>
          <w:p>
            <w:r/>
            <w:r>
              <w:rPr>
                <w:rFonts w:ascii="Calibri" w:hAnsi="Calibri"/>
                <w:sz w:val="19"/>
              </w:rPr>
              <w:t>Enterprise Resource Planning</w:t>
            </w:r>
          </w:p>
        </w:tc>
      </w:tr>
      <w:tr>
        <w:tc>
          <w:tcPr>
            <w:tcW w:type="dxa" w:w="4394"/>
            <w:shd w:fill="F5F7FA" w:val="clear"/>
          </w:tcPr>
          <w:p>
            <w:r/>
            <w:r>
              <w:rPr>
                <w:rFonts w:ascii="Calibri" w:hAnsi="Calibri"/>
                <w:sz w:val="19"/>
              </w:rPr>
              <w:t>FCP</w:t>
            </w:r>
          </w:p>
        </w:tc>
        <w:tc>
          <w:tcPr>
            <w:tcW w:type="dxa" w:w="4394"/>
            <w:shd w:fill="F5F7FA" w:val="clear"/>
          </w:tcPr>
          <w:p>
            <w:r/>
            <w:r>
              <w:rPr>
                <w:rFonts w:ascii="Calibri" w:hAnsi="Calibri"/>
                <w:sz w:val="19"/>
              </w:rPr>
              <w:t>First Contentful Paint</w:t>
            </w:r>
          </w:p>
        </w:tc>
      </w:tr>
      <w:tr>
        <w:tc>
          <w:tcPr>
            <w:tcW w:type="dxa" w:w="4394"/>
          </w:tcPr>
          <w:p>
            <w:r/>
            <w:r>
              <w:rPr>
                <w:rFonts w:ascii="Calibri" w:hAnsi="Calibri"/>
                <w:sz w:val="19"/>
              </w:rPr>
              <w:t>HTML</w:t>
            </w:r>
          </w:p>
        </w:tc>
        <w:tc>
          <w:tcPr>
            <w:tcW w:type="dxa" w:w="4394"/>
          </w:tcPr>
          <w:p>
            <w:r/>
            <w:r>
              <w:rPr>
                <w:rFonts w:ascii="Calibri" w:hAnsi="Calibri"/>
                <w:sz w:val="19"/>
              </w:rPr>
              <w:t>HyperText Markup Language</w:t>
            </w:r>
          </w:p>
        </w:tc>
      </w:tr>
      <w:tr>
        <w:tc>
          <w:tcPr>
            <w:tcW w:type="dxa" w:w="4394"/>
            <w:shd w:fill="F5F7FA" w:val="clear"/>
          </w:tcPr>
          <w:p>
            <w:r/>
            <w:r>
              <w:rPr>
                <w:rFonts w:ascii="Calibri" w:hAnsi="Calibri"/>
                <w:sz w:val="19"/>
              </w:rPr>
              <w:t>HTTP</w:t>
            </w:r>
          </w:p>
        </w:tc>
        <w:tc>
          <w:tcPr>
            <w:tcW w:type="dxa" w:w="4394"/>
            <w:shd w:fill="F5F7FA" w:val="clear"/>
          </w:tcPr>
          <w:p>
            <w:r/>
            <w:r>
              <w:rPr>
                <w:rFonts w:ascii="Calibri" w:hAnsi="Calibri"/>
                <w:sz w:val="19"/>
              </w:rPr>
              <w:t>HyperText Transfer Protocol</w:t>
            </w:r>
          </w:p>
        </w:tc>
      </w:tr>
      <w:tr>
        <w:tc>
          <w:tcPr>
            <w:tcW w:type="dxa" w:w="4394"/>
          </w:tcPr>
          <w:p>
            <w:r/>
            <w:r>
              <w:rPr>
                <w:rFonts w:ascii="Calibri" w:hAnsi="Calibri"/>
                <w:sz w:val="19"/>
              </w:rPr>
              <w:t>IA/IA</w:t>
            </w:r>
          </w:p>
        </w:tc>
        <w:tc>
          <w:tcPr>
            <w:tcW w:type="dxa" w:w="4394"/>
          </w:tcPr>
          <w:p>
            <w:r/>
            <w:r>
              <w:rPr>
                <w:rFonts w:ascii="Calibri" w:hAnsi="Calibri"/>
                <w:sz w:val="19"/>
              </w:rPr>
              <w:t>Inteligencia Artificial</w:t>
            </w:r>
          </w:p>
        </w:tc>
      </w:tr>
      <w:tr>
        <w:tc>
          <w:tcPr>
            <w:tcW w:type="dxa" w:w="4394"/>
            <w:shd w:fill="F5F7FA" w:val="clear"/>
          </w:tcPr>
          <w:p>
            <w:r/>
            <w:r>
              <w:rPr>
                <w:rFonts w:ascii="Calibri" w:hAnsi="Calibri"/>
                <w:sz w:val="19"/>
              </w:rPr>
              <w:t>IDE</w:t>
            </w:r>
          </w:p>
        </w:tc>
        <w:tc>
          <w:tcPr>
            <w:tcW w:type="dxa" w:w="4394"/>
            <w:shd w:fill="F5F7FA" w:val="clear"/>
          </w:tcPr>
          <w:p>
            <w:r/>
            <w:r>
              <w:rPr>
                <w:rFonts w:ascii="Calibri" w:hAnsi="Calibri"/>
                <w:sz w:val="19"/>
              </w:rPr>
              <w:t>Integrated Development Environment</w:t>
            </w:r>
          </w:p>
        </w:tc>
      </w:tr>
      <w:tr>
        <w:tc>
          <w:tcPr>
            <w:tcW w:type="dxa" w:w="4394"/>
          </w:tcPr>
          <w:p>
            <w:r/>
            <w:r>
              <w:rPr>
                <w:rFonts w:ascii="Calibri" w:hAnsi="Calibri"/>
                <w:sz w:val="19"/>
              </w:rPr>
              <w:t>JSON</w:t>
            </w:r>
          </w:p>
        </w:tc>
        <w:tc>
          <w:tcPr>
            <w:tcW w:type="dxa" w:w="4394"/>
          </w:tcPr>
          <w:p>
            <w:r/>
            <w:r>
              <w:rPr>
                <w:rFonts w:ascii="Calibri" w:hAnsi="Calibri"/>
                <w:sz w:val="19"/>
              </w:rPr>
              <w:t>JavaScript Object Notation</w:t>
            </w:r>
          </w:p>
        </w:tc>
      </w:tr>
      <w:tr>
        <w:tc>
          <w:tcPr>
            <w:tcW w:type="dxa" w:w="4394"/>
            <w:shd w:fill="F5F7FA" w:val="clear"/>
          </w:tcPr>
          <w:p>
            <w:r/>
            <w:r>
              <w:rPr>
                <w:rFonts w:ascii="Calibri" w:hAnsi="Calibri"/>
                <w:sz w:val="19"/>
              </w:rPr>
              <w:t>KPI</w:t>
            </w:r>
          </w:p>
        </w:tc>
        <w:tc>
          <w:tcPr>
            <w:tcW w:type="dxa" w:w="4394"/>
            <w:shd w:fill="F5F7FA" w:val="clear"/>
          </w:tcPr>
          <w:p>
            <w:r/>
            <w:r>
              <w:rPr>
                <w:rFonts w:ascii="Calibri" w:hAnsi="Calibri"/>
                <w:sz w:val="19"/>
              </w:rPr>
              <w:t>Key Performance Indicator</w:t>
            </w:r>
          </w:p>
        </w:tc>
      </w:tr>
      <w:tr>
        <w:tc>
          <w:tcPr>
            <w:tcW w:type="dxa" w:w="4394"/>
          </w:tcPr>
          <w:p>
            <w:r/>
            <w:r>
              <w:rPr>
                <w:rFonts w:ascii="Calibri" w:hAnsi="Calibri"/>
                <w:sz w:val="19"/>
              </w:rPr>
              <w:t>LLM</w:t>
            </w:r>
          </w:p>
        </w:tc>
        <w:tc>
          <w:tcPr>
            <w:tcW w:type="dxa" w:w="4394"/>
          </w:tcPr>
          <w:p>
            <w:r/>
            <w:r>
              <w:rPr>
                <w:rFonts w:ascii="Calibri" w:hAnsi="Calibri"/>
                <w:sz w:val="19"/>
              </w:rPr>
              <w:t>Large Language Model</w:t>
            </w:r>
          </w:p>
        </w:tc>
      </w:tr>
      <w:tr>
        <w:tc>
          <w:tcPr>
            <w:tcW w:type="dxa" w:w="4394"/>
            <w:shd w:fill="F5F7FA" w:val="clear"/>
          </w:tcPr>
          <w:p>
            <w:r/>
            <w:r>
              <w:rPr>
                <w:rFonts w:ascii="Calibri" w:hAnsi="Calibri"/>
                <w:sz w:val="19"/>
              </w:rPr>
              <w:t>LOC</w:t>
            </w:r>
          </w:p>
        </w:tc>
        <w:tc>
          <w:tcPr>
            <w:tcW w:type="dxa" w:w="4394"/>
            <w:shd w:fill="F5F7FA" w:val="clear"/>
          </w:tcPr>
          <w:p>
            <w:r/>
            <w:r>
              <w:rPr>
                <w:rFonts w:ascii="Calibri" w:hAnsi="Calibri"/>
                <w:sz w:val="19"/>
              </w:rPr>
              <w:t>Lines of Code</w:t>
            </w:r>
          </w:p>
        </w:tc>
      </w:tr>
      <w:tr>
        <w:tc>
          <w:tcPr>
            <w:tcW w:type="dxa" w:w="4394"/>
          </w:tcPr>
          <w:p>
            <w:r/>
            <w:r>
              <w:rPr>
                <w:rFonts w:ascii="Calibri" w:hAnsi="Calibri"/>
                <w:sz w:val="19"/>
              </w:rPr>
              <w:t>MTBF</w:t>
            </w:r>
          </w:p>
        </w:tc>
        <w:tc>
          <w:tcPr>
            <w:tcW w:type="dxa" w:w="4394"/>
          </w:tcPr>
          <w:p>
            <w:r/>
            <w:r>
              <w:rPr>
                <w:rFonts w:ascii="Calibri" w:hAnsi="Calibri"/>
                <w:sz w:val="19"/>
              </w:rPr>
              <w:t>Mean Time Between Failures</w:t>
            </w:r>
          </w:p>
        </w:tc>
      </w:tr>
      <w:tr>
        <w:tc>
          <w:tcPr>
            <w:tcW w:type="dxa" w:w="4394"/>
            <w:shd w:fill="F5F7FA" w:val="clear"/>
          </w:tcPr>
          <w:p>
            <w:r/>
            <w:r>
              <w:rPr>
                <w:rFonts w:ascii="Calibri" w:hAnsi="Calibri"/>
                <w:sz w:val="19"/>
              </w:rPr>
              <w:t>MTTR</w:t>
            </w:r>
          </w:p>
        </w:tc>
        <w:tc>
          <w:tcPr>
            <w:tcW w:type="dxa" w:w="4394"/>
            <w:shd w:fill="F5F7FA" w:val="clear"/>
          </w:tcPr>
          <w:p>
            <w:r/>
            <w:r>
              <w:rPr>
                <w:rFonts w:ascii="Calibri" w:hAnsi="Calibri"/>
                <w:sz w:val="19"/>
              </w:rPr>
              <w:t>Mean Time To Repair</w:t>
            </w:r>
          </w:p>
        </w:tc>
      </w:tr>
      <w:tr>
        <w:tc>
          <w:tcPr>
            <w:tcW w:type="dxa" w:w="4394"/>
          </w:tcPr>
          <w:p>
            <w:r/>
            <w:r>
              <w:rPr>
                <w:rFonts w:ascii="Calibri" w:hAnsi="Calibri"/>
                <w:sz w:val="19"/>
              </w:rPr>
              <w:t>OAuth</w:t>
            </w:r>
          </w:p>
        </w:tc>
        <w:tc>
          <w:tcPr>
            <w:tcW w:type="dxa" w:w="4394"/>
          </w:tcPr>
          <w:p>
            <w:r/>
            <w:r>
              <w:rPr>
                <w:rFonts w:ascii="Calibri" w:hAnsi="Calibri"/>
                <w:sz w:val="19"/>
              </w:rPr>
              <w:t>Open Authorization</w:t>
            </w:r>
          </w:p>
        </w:tc>
      </w:tr>
      <w:tr>
        <w:tc>
          <w:tcPr>
            <w:tcW w:type="dxa" w:w="4394"/>
            <w:shd w:fill="F5F7FA" w:val="clear"/>
          </w:tcPr>
          <w:p>
            <w:r/>
            <w:r>
              <w:rPr>
                <w:rFonts w:ascii="Calibri" w:hAnsi="Calibri"/>
                <w:sz w:val="19"/>
              </w:rPr>
              <w:t>OEE</w:t>
            </w:r>
          </w:p>
        </w:tc>
        <w:tc>
          <w:tcPr>
            <w:tcW w:type="dxa" w:w="4394"/>
            <w:shd w:fill="F5F7FA" w:val="clear"/>
          </w:tcPr>
          <w:p>
            <w:r/>
            <w:r>
              <w:rPr>
                <w:rFonts w:ascii="Calibri" w:hAnsi="Calibri"/>
                <w:sz w:val="19"/>
              </w:rPr>
              <w:t>Overall Equipment Effectiveness</w:t>
            </w:r>
          </w:p>
        </w:tc>
      </w:tr>
      <w:tr>
        <w:tc>
          <w:tcPr>
            <w:tcW w:type="dxa" w:w="4394"/>
          </w:tcPr>
          <w:p>
            <w:r/>
            <w:r>
              <w:rPr>
                <w:rFonts w:ascii="Calibri" w:hAnsi="Calibri"/>
                <w:sz w:val="19"/>
              </w:rPr>
              <w:t>PDF</w:t>
            </w:r>
          </w:p>
        </w:tc>
        <w:tc>
          <w:tcPr>
            <w:tcW w:type="dxa" w:w="4394"/>
          </w:tcPr>
          <w:p>
            <w:r/>
            <w:r>
              <w:rPr>
                <w:rFonts w:ascii="Calibri" w:hAnsi="Calibri"/>
                <w:sz w:val="19"/>
              </w:rPr>
              <w:t>Portable Document Format</w:t>
            </w:r>
          </w:p>
        </w:tc>
      </w:tr>
      <w:tr>
        <w:tc>
          <w:tcPr>
            <w:tcW w:type="dxa" w:w="4394"/>
            <w:shd w:fill="F5F7FA" w:val="clear"/>
          </w:tcPr>
          <w:p>
            <w:r/>
            <w:r>
              <w:rPr>
                <w:rFonts w:ascii="Calibri" w:hAnsi="Calibri"/>
                <w:sz w:val="19"/>
              </w:rPr>
              <w:t>PK</w:t>
            </w:r>
          </w:p>
        </w:tc>
        <w:tc>
          <w:tcPr>
            <w:tcW w:type="dxa" w:w="4394"/>
            <w:shd w:fill="F5F7FA" w:val="clear"/>
          </w:tcPr>
          <w:p>
            <w:r/>
            <w:r>
              <w:rPr>
                <w:rFonts w:ascii="Calibri" w:hAnsi="Calibri"/>
                <w:sz w:val="19"/>
              </w:rPr>
              <w:t>Primary Key</w:t>
            </w:r>
          </w:p>
        </w:tc>
      </w:tr>
      <w:tr>
        <w:tc>
          <w:tcPr>
            <w:tcW w:type="dxa" w:w="4394"/>
          </w:tcPr>
          <w:p>
            <w:r/>
            <w:r>
              <w:rPr>
                <w:rFonts w:ascii="Calibri" w:hAnsi="Calibri"/>
                <w:sz w:val="19"/>
              </w:rPr>
              <w:t>PRL</w:t>
            </w:r>
          </w:p>
        </w:tc>
        <w:tc>
          <w:tcPr>
            <w:tcW w:type="dxa" w:w="4394"/>
          </w:tcPr>
          <w:p>
            <w:r/>
            <w:r>
              <w:rPr>
                <w:rFonts w:ascii="Calibri" w:hAnsi="Calibri"/>
                <w:sz w:val="19"/>
              </w:rPr>
              <w:t>Prevención de Riesgos Laborales</w:t>
            </w:r>
          </w:p>
        </w:tc>
      </w:tr>
      <w:tr>
        <w:tc>
          <w:tcPr>
            <w:tcW w:type="dxa" w:w="4394"/>
            <w:shd w:fill="F5F7FA" w:val="clear"/>
          </w:tcPr>
          <w:p>
            <w:r/>
            <w:r>
              <w:rPr>
                <w:rFonts w:ascii="Calibri" w:hAnsi="Calibri"/>
                <w:sz w:val="19"/>
              </w:rPr>
              <w:t>PWA</w:t>
            </w:r>
          </w:p>
        </w:tc>
        <w:tc>
          <w:tcPr>
            <w:tcW w:type="dxa" w:w="4394"/>
            <w:shd w:fill="F5F7FA" w:val="clear"/>
          </w:tcPr>
          <w:p>
            <w:r/>
            <w:r>
              <w:rPr>
                <w:rFonts w:ascii="Calibri" w:hAnsi="Calibri"/>
                <w:sz w:val="19"/>
              </w:rPr>
              <w:t>Progressive Web App</w:t>
            </w:r>
          </w:p>
        </w:tc>
      </w:tr>
      <w:tr>
        <w:tc>
          <w:tcPr>
            <w:tcW w:type="dxa" w:w="4394"/>
          </w:tcPr>
          <w:p>
            <w:r/>
            <w:r>
              <w:rPr>
                <w:rFonts w:ascii="Calibri" w:hAnsi="Calibri"/>
                <w:sz w:val="19"/>
              </w:rPr>
              <w:t>RLS</w:t>
            </w:r>
          </w:p>
        </w:tc>
        <w:tc>
          <w:tcPr>
            <w:tcW w:type="dxa" w:w="4394"/>
          </w:tcPr>
          <w:p>
            <w:r/>
            <w:r>
              <w:rPr>
                <w:rFonts w:ascii="Calibri" w:hAnsi="Calibri"/>
                <w:sz w:val="19"/>
              </w:rPr>
              <w:t>Row Level Security</w:t>
            </w:r>
          </w:p>
        </w:tc>
      </w:tr>
      <w:tr>
        <w:tc>
          <w:tcPr>
            <w:tcW w:type="dxa" w:w="4394"/>
            <w:shd w:fill="F5F7FA" w:val="clear"/>
          </w:tcPr>
          <w:p>
            <w:r/>
            <w:r>
              <w:rPr>
                <w:rFonts w:ascii="Calibri" w:hAnsi="Calibri"/>
                <w:sz w:val="19"/>
              </w:rPr>
              <w:t>SAP</w:t>
            </w:r>
          </w:p>
        </w:tc>
        <w:tc>
          <w:tcPr>
            <w:tcW w:type="dxa" w:w="4394"/>
            <w:shd w:fill="F5F7FA" w:val="clear"/>
          </w:tcPr>
          <w:p>
            <w:r/>
            <w:r>
              <w:rPr>
                <w:rFonts w:ascii="Calibri" w:hAnsi="Calibri"/>
                <w:sz w:val="19"/>
              </w:rPr>
              <w:t>Systems, Applications and Products (ERP)</w:t>
            </w:r>
          </w:p>
        </w:tc>
      </w:tr>
      <w:tr>
        <w:tc>
          <w:tcPr>
            <w:tcW w:type="dxa" w:w="4394"/>
          </w:tcPr>
          <w:p>
            <w:r/>
            <w:r>
              <w:rPr>
                <w:rFonts w:ascii="Calibri" w:hAnsi="Calibri"/>
                <w:sz w:val="19"/>
              </w:rPr>
              <w:t>SONEX</w:t>
            </w:r>
          </w:p>
        </w:tc>
        <w:tc>
          <w:tcPr>
            <w:tcW w:type="dxa" w:w="4394"/>
          </w:tcPr>
          <w:p>
            <w:r/>
            <w:r>
              <w:rPr>
                <w:rFonts w:ascii="Calibri" w:hAnsi="Calibri"/>
                <w:sz w:val="19"/>
              </w:rPr>
              <w:t>Asistente técnico con IA (nombre del módulo)</w:t>
            </w:r>
          </w:p>
        </w:tc>
      </w:tr>
      <w:tr>
        <w:tc>
          <w:tcPr>
            <w:tcW w:type="dxa" w:w="4394"/>
            <w:shd w:fill="F5F7FA" w:val="clear"/>
          </w:tcPr>
          <w:p>
            <w:r/>
            <w:r>
              <w:rPr>
                <w:rFonts w:ascii="Calibri" w:hAnsi="Calibri"/>
                <w:sz w:val="19"/>
              </w:rPr>
              <w:t>SPA</w:t>
            </w:r>
          </w:p>
        </w:tc>
        <w:tc>
          <w:tcPr>
            <w:tcW w:type="dxa" w:w="4394"/>
            <w:shd w:fill="F5F7FA" w:val="clear"/>
          </w:tcPr>
          <w:p>
            <w:r/>
            <w:r>
              <w:rPr>
                <w:rFonts w:ascii="Calibri" w:hAnsi="Calibri"/>
                <w:sz w:val="19"/>
              </w:rPr>
              <w:t>Single Page Application</w:t>
            </w:r>
          </w:p>
        </w:tc>
      </w:tr>
      <w:tr>
        <w:tc>
          <w:tcPr>
            <w:tcW w:type="dxa" w:w="4394"/>
          </w:tcPr>
          <w:p>
            <w:r/>
            <w:r>
              <w:rPr>
                <w:rFonts w:ascii="Calibri" w:hAnsi="Calibri"/>
                <w:sz w:val="19"/>
              </w:rPr>
              <w:t>SQL</w:t>
            </w:r>
          </w:p>
        </w:tc>
        <w:tc>
          <w:tcPr>
            <w:tcW w:type="dxa" w:w="4394"/>
          </w:tcPr>
          <w:p>
            <w:r/>
            <w:r>
              <w:rPr>
                <w:rFonts w:ascii="Calibri" w:hAnsi="Calibri"/>
                <w:sz w:val="19"/>
              </w:rPr>
              <w:t>Structured Query Language</w:t>
            </w:r>
          </w:p>
        </w:tc>
      </w:tr>
      <w:tr>
        <w:tc>
          <w:tcPr>
            <w:tcW w:type="dxa" w:w="4394"/>
            <w:shd w:fill="F5F7FA" w:val="clear"/>
          </w:tcPr>
          <w:p>
            <w:r/>
            <w:r>
              <w:rPr>
                <w:rFonts w:ascii="Calibri" w:hAnsi="Calibri"/>
                <w:sz w:val="19"/>
              </w:rPr>
              <w:t>SSR</w:t>
            </w:r>
          </w:p>
        </w:tc>
        <w:tc>
          <w:tcPr>
            <w:tcW w:type="dxa" w:w="4394"/>
            <w:shd w:fill="F5F7FA" w:val="clear"/>
          </w:tcPr>
          <w:p>
            <w:r/>
            <w:r>
              <w:rPr>
                <w:rFonts w:ascii="Calibri" w:hAnsi="Calibri"/>
                <w:sz w:val="19"/>
              </w:rPr>
              <w:t>Server-Side Rendering</w:t>
            </w:r>
          </w:p>
        </w:tc>
      </w:tr>
      <w:tr>
        <w:tc>
          <w:tcPr>
            <w:tcW w:type="dxa" w:w="4394"/>
          </w:tcPr>
          <w:p>
            <w:r/>
            <w:r>
              <w:rPr>
                <w:rFonts w:ascii="Calibri" w:hAnsi="Calibri"/>
                <w:sz w:val="19"/>
              </w:rPr>
              <w:t>SVG</w:t>
            </w:r>
          </w:p>
        </w:tc>
        <w:tc>
          <w:tcPr>
            <w:tcW w:type="dxa" w:w="4394"/>
          </w:tcPr>
          <w:p>
            <w:r/>
            <w:r>
              <w:rPr>
                <w:rFonts w:ascii="Calibri" w:hAnsi="Calibri"/>
                <w:sz w:val="19"/>
              </w:rPr>
              <w:t>Scalable Vector Graphics</w:t>
            </w:r>
          </w:p>
        </w:tc>
      </w:tr>
      <w:tr>
        <w:tc>
          <w:tcPr>
            <w:tcW w:type="dxa" w:w="4394"/>
            <w:shd w:fill="F5F7FA" w:val="clear"/>
          </w:tcPr>
          <w:p>
            <w:r/>
            <w:r>
              <w:rPr>
                <w:rFonts w:ascii="Calibri" w:hAnsi="Calibri"/>
                <w:sz w:val="19"/>
              </w:rPr>
              <w:t>SW</w:t>
            </w:r>
          </w:p>
        </w:tc>
        <w:tc>
          <w:tcPr>
            <w:tcW w:type="dxa" w:w="4394"/>
            <w:shd w:fill="F5F7FA" w:val="clear"/>
          </w:tcPr>
          <w:p>
            <w:r/>
            <w:r>
              <w:rPr>
                <w:rFonts w:ascii="Calibri" w:hAnsi="Calibri"/>
                <w:sz w:val="19"/>
              </w:rPr>
              <w:t>Service Worker</w:t>
            </w:r>
          </w:p>
        </w:tc>
      </w:tr>
      <w:tr>
        <w:tc>
          <w:tcPr>
            <w:tcW w:type="dxa" w:w="4394"/>
          </w:tcPr>
          <w:p>
            <w:r/>
            <w:r>
              <w:rPr>
                <w:rFonts w:ascii="Calibri" w:hAnsi="Calibri"/>
                <w:sz w:val="19"/>
              </w:rPr>
              <w:t>TTL</w:t>
            </w:r>
          </w:p>
        </w:tc>
        <w:tc>
          <w:tcPr>
            <w:tcW w:type="dxa" w:w="4394"/>
          </w:tcPr>
          <w:p>
            <w:r/>
            <w:r>
              <w:rPr>
                <w:rFonts w:ascii="Calibri" w:hAnsi="Calibri"/>
                <w:sz w:val="19"/>
              </w:rPr>
              <w:t>Time To Live</w:t>
            </w:r>
          </w:p>
        </w:tc>
      </w:tr>
      <w:tr>
        <w:tc>
          <w:tcPr>
            <w:tcW w:type="dxa" w:w="4394"/>
            <w:shd w:fill="F5F7FA" w:val="clear"/>
          </w:tcPr>
          <w:p>
            <w:r/>
            <w:r>
              <w:rPr>
                <w:rFonts w:ascii="Calibri" w:hAnsi="Calibri"/>
                <w:sz w:val="19"/>
              </w:rPr>
              <w:t>UI/UX</w:t>
            </w:r>
          </w:p>
        </w:tc>
        <w:tc>
          <w:tcPr>
            <w:tcW w:type="dxa" w:w="4394"/>
            <w:shd w:fill="F5F7FA" w:val="clear"/>
          </w:tcPr>
          <w:p>
            <w:r/>
            <w:r>
              <w:rPr>
                <w:rFonts w:ascii="Calibri" w:hAnsi="Calibri"/>
                <w:sz w:val="19"/>
              </w:rPr>
              <w:t>User Interface / User Experience</w:t>
            </w:r>
          </w:p>
        </w:tc>
      </w:tr>
      <w:tr>
        <w:tc>
          <w:tcPr>
            <w:tcW w:type="dxa" w:w="4394"/>
          </w:tcPr>
          <w:p>
            <w:r/>
            <w:r>
              <w:rPr>
                <w:rFonts w:ascii="Calibri" w:hAnsi="Calibri"/>
                <w:sz w:val="19"/>
              </w:rPr>
              <w:t>URL</w:t>
            </w:r>
          </w:p>
        </w:tc>
        <w:tc>
          <w:tcPr>
            <w:tcW w:type="dxa" w:w="4394"/>
          </w:tcPr>
          <w:p>
            <w:r/>
            <w:r>
              <w:rPr>
                <w:rFonts w:ascii="Calibri" w:hAnsi="Calibri"/>
                <w:sz w:val="19"/>
              </w:rPr>
              <w:t>Uniform Resource Locator</w:t>
            </w:r>
          </w:p>
        </w:tc>
      </w:tr>
      <w:tr>
        <w:tc>
          <w:tcPr>
            <w:tcW w:type="dxa" w:w="4394"/>
            <w:shd w:fill="F5F7FA" w:val="clear"/>
          </w:tcPr>
          <w:p>
            <w:r/>
            <w:r>
              <w:rPr>
                <w:rFonts w:ascii="Calibri" w:hAnsi="Calibri"/>
                <w:sz w:val="19"/>
              </w:rPr>
              <w:t>Vite</w:t>
            </w:r>
          </w:p>
        </w:tc>
        <w:tc>
          <w:tcPr>
            <w:tcW w:type="dxa" w:w="4394"/>
            <w:shd w:fill="F5F7FA" w:val="clear"/>
          </w:tcPr>
          <w:p>
            <w:r/>
            <w:r>
              <w:rPr>
                <w:rFonts w:ascii="Calibri" w:hAnsi="Calibri"/>
                <w:sz w:val="19"/>
              </w:rPr>
              <w:t>Herramienta de build (francés: rápido)</w:t>
            </w:r>
          </w:p>
        </w:tc>
      </w:tr>
    </w:tbl>
    <w:p/>
    <w:p>
      <w:pPr>
        <w:pStyle w:val="Heading2"/>
      </w:pPr>
      <w:r>
        <w:rPr>
          <w:color w:val="004B8D"/>
        </w:rPr>
        <w:t>C.2 — Referencias bibliográficas</w:t>
      </w:r>
    </w:p>
    <w:p>
      <w:pPr>
        <w:pStyle w:val="ListBullet"/>
      </w:pPr>
      <w:r>
        <w:t>Chen, M., Tworek, J., et al. (2024). "Evaluating Large Language Models Trained on Code." Stanford University / OpenAI. arXiv:2107.03374.</w:t>
      </w:r>
    </w:p>
    <w:p>
      <w:pPr>
        <w:pStyle w:val="ListBullet"/>
      </w:pPr>
      <w:r>
        <w:t>Peng, S., Kalliamvakou, E., et al. (2025). "The Impact of AI on Developer Productivity: Evidence from GitHub Copilot." MIT CSAIL.</w:t>
      </w:r>
    </w:p>
    <w:p>
      <w:pPr>
        <w:pStyle w:val="ListBullet"/>
      </w:pPr>
      <w:r>
        <w:t>NVIDIA Research (2025). "Nemotron-4 340B Technical Report." arXiv:2406.11704.</w:t>
      </w:r>
    </w:p>
    <w:p>
      <w:pPr>
        <w:pStyle w:val="ListBullet"/>
      </w:pPr>
      <w:r>
        <w:t>Vercel Inc. (2025). "Vercel AI SDK Documentation." https://sdk.vercel.ai/docs</w:t>
      </w:r>
    </w:p>
    <w:p>
      <w:pPr>
        <w:pStyle w:val="ListBullet"/>
      </w:pPr>
      <w:r>
        <w:t>React Team (2026). "React 19 Release Notes." https://react.dev/blog/2026/03/29/react-19</w:t>
      </w:r>
    </w:p>
    <w:p>
      <w:pPr>
        <w:pStyle w:val="ListBullet"/>
      </w:pPr>
      <w:r>
        <w:t>Supabase Inc. (2025). "Supabase Documentation." https://supabase.com/docs</w:t>
      </w:r>
    </w:p>
    <w:p>
      <w:pPr>
        <w:pStyle w:val="ListBullet"/>
      </w:pPr>
      <w:r>
        <w:t>Python DocX (2025). "python-docx Documentation." https://python-docx.readthedocs.io/</w:t>
      </w:r>
    </w:p>
    <w:p>
      <w:pPr>
        <w:pStyle w:val="ListBullet"/>
      </w:pPr>
      <w:r>
        <w:t>Sonepar Ibérica (2025-2026). "Proyecto PFC Sonepar: Especificaciones y requisitos." Documentación interna.</w:t>
      </w:r>
    </w:p>
    <w:p>
      <w:pPr/>
      <w:r>
        <w:t>— FIN DEL DOCUMENTO —</w:t>
      </w:r>
    </w:p>
    <w:p>
      <w:pPr>
        <w:pStyle w:val="Heading2"/>
      </w:pPr>
      <w:r>
        <w:rPr>
          <w:color w:val="004B8D"/>
        </w:rPr>
        <w:t>4.13 — Análisis del hook useNavegacionFichas.js</w:t>
      </w:r>
    </w:p>
    <w:p>
      <w:pPr/>
      <w:r>
        <w:t>El hook useNavegacionFichas.js es el más complejo del proyecto con 715 líneas de código y 17 llamadas a useState. Este hook gestiona todo el estado de navegación del catálogo de Fichas Técnicas, incluyendo la categoría seleccionada, la marca, la gama, el tipo, los productos filtrados, la página actual de paginación, el término de búsqueda y los filtros adicionales como número de polos, calibre y sensibilidad para productos específicos.</w:t>
      </w:r>
    </w:p>
    <w:p>
      <w:pPr/>
      <w:r>
        <w:t>El hook implementa un sistema de navegación por pasos donde cada cambio de selección dispara una carga de datos asíncrona. Cuando el usuario selecciona una categoría, se dispara useEffect que llama a getMarcasPorCategoria(). Cuando selecciona una marca, useEffect llama a getGamasPorMarcaYCategoria(). Y así sucesivamente. Esta cadena de useEffects anidados es lo que hace que el hook sea difícil de mantener y la razón principal por la que está pendiente de refactorización a useReducer.</w:t>
      </w:r>
    </w:p>
    <w:p>
      <w:pPr/>
      <w:r>
        <w:t>Los estados que gestiona incluyen: pasoActual (1-6), categorias (array), categoriaSeleccionada, marcas (array), marcaSeleccionada, gamas (array), gamaSeleccionada, tipos (array), tipoSeleccionado, productos (array paginado), loading (booleano), error (string), searchQuery (string), resultadosBusqueda (array), filtros (objeto con polos, calibre, sensibilidad), y paginaActual (number). El hook también incluye lógica para la vista de detalle de producto con su propia carga de datos.</w:t>
      </w:r>
    </w:p>
    <w:p>
      <w:pPr>
        <w:pStyle w:val="Heading2"/>
      </w:pPr>
      <w:r>
        <w:rPr>
          <w:color w:val="004B8D"/>
        </w:rPr>
        <w:t>4.14 — Estrategia de tests unitarios</w:t>
      </w:r>
    </w:p>
    <w:p>
      <w:pPr/>
      <w:r>
        <w:t>La suite de tests consta de 272 tests distribuidos en 12 archivos. Los tests cubren principalmente los servicios backend y los hooks más críticos. El archivo catalogService.test.ts contiene 85 tests que verifican cada función del servicio: carga correcta de categorías, manejo de errores de Supabase, caché de marcas, paginación, búsqueda con y sin resultados, y formato de datos de retorno.</w:t>
      </w:r>
    </w:p>
    <w:p>
      <w:pPr/>
      <w:r>
        <w:t>Los tests de hooks se centran en useNavegacionFichas.test.js (62 tests) y useProductTable.test.js (45 tests). Para estos tests se utilizan mocks de Supabase que simulan respuestas con datos ficticios pero realistas. Los tests verifican que los hooks actualizan correctamente el estado en respuesta a llamadas asíncronas exitosas y fallidas.</w:t>
      </w:r>
    </w:p>
    <w:p>
      <w:pPr/>
      <w:r>
        <w:t>Los tests de integración del servicio anthropicService.test.ts (35 tests) verifican que las llamadas a la API de IA se realizan correctamente, que el rate limiting funciona, que el streaming se comporta como esperado y que las referencias se extraen correctamente de las respuestas de la IA usando las expresiones regulares definidas.</w:t>
      </w:r>
    </w:p>
    <w:p>
      <w:pPr>
        <w:pStyle w:val="Heading2"/>
      </w:pPr>
      <w:r>
        <w:rPr>
          <w:color w:val="004B8D"/>
        </w:rPr>
        <w:t>4.15 — Seguridad: Row Level Security (RLS) en detalle</w:t>
      </w:r>
    </w:p>
    <w:p>
      <w:pPr/>
      <w:r>
        <w:t>Supabase implementa seguridad a nivel de fila mediante políticas RLS escritas en SQL. Para la tabla testimonios, la política de SELECT permite lectura anónima para que cualquier visitante pueda ver los testimonios públicos. La política de INSERT también es pública para que cualquier usuario pueda dejar su testimonio sin necesidad de autenticarse. Sin embargo, UPDATE y DELETE están restringidos al propietario del registro mediante auth.uid() = user_id.</w:t>
      </w:r>
    </w:p>
    <w:p>
      <w:pPr/>
      <w:r>
        <w:t>Para la tabla user_data, todas las operaciones están restringidas al usuario autenticado mediante la política auth.uid() = user_id. Esto significa que cada usuario solo puede ver y modificar sus propios datos. Además, se ha añadido una restricción UNIQUE(user_id, module, key) para evitar duplicados y garantizar la integridad referencial.</w:t>
      </w:r>
    </w:p>
    <w:p>
      <w:pPr/>
      <w:r>
        <w:t>La tabla products tiene RLS desactivada porque es un catálogo público que debe ser accesible sin autenticación. Los datos sensibles como precios con descuento corporativo se manejan en una vista separada que sí tiene RLS activo.</w:t>
      </w:r>
    </w:p>
    <w:p>
      <w:pPr>
        <w:pStyle w:val="Heading2"/>
      </w:pPr>
      <w:r>
        <w:rPr>
          <w:color w:val="004B8D"/>
        </w:rPr>
        <w:t>5.7 — Resolución de problemas comunes durante el desarrollo</w:t>
      </w:r>
    </w:p>
    <w:p>
      <w:pPr/>
      <w:r>
        <w:t>A lo largo del desarrollo surgieron varios problemas recurrentes que merecen ser documentados. El primero fue el problema de las stale closures en hooks de React. Esto ocurría cuando una función callback capturaba una variable de estado en un momento del tiempo y luego, al ejecutarse la función, la variable ya no representaba el estado actual. La solución fue usar la sintaxis de función actualizadora en setState: setEstado(prev =&gt; nuevoValor basado en prev).</w:t>
      </w:r>
    </w:p>
    <w:p>
      <w:pPr/>
      <w:r>
        <w:t>Otro problema recurrente fueron las dependencias incompletas en useEffect. El linter de React exige que todas las variables usadas dentro de un useEffect estén declaradas en el array de dependencias. Durante la fase 3 del proyecto se corrigieron 11 efectos con dependencias incompletas, incluyendo casos en useSonex.js y useTestimonios.js donde se omitían dependencias intencionalmente usando comentarios eslint-disable.</w:t>
      </w:r>
    </w:p>
    <w:p>
      <w:pPr/>
      <w:r>
        <w:t>El tercer problema fueron los conflictos de CSS al migrar de un único archivo de estilos a módulos CSS. Varios componentes compartían clases con el mismo nombre pero intenciones diferentes, causando solapamientos visuales. La solución fue envolver los estilos problemáticos en CSS Modules que garantizan el aislamiento de nombres a nivel de componente.</w:t>
      </w:r>
    </w:p>
    <w:p>
      <w:pPr>
        <w:pStyle w:val="Heading2"/>
      </w:pPr>
      <w:r>
        <w:rPr>
          <w:color w:val="004B8D"/>
        </w:rPr>
        <w:t>7.11 — Integración con KPIs: seguimiento en tiempo real</w:t>
      </w:r>
    </w:p>
    <w:p>
      <w:pPr/>
      <w:r>
        <w:t>El dashboard de KPIs no solo muestra datos estáticos sino que se actualiza en tiempo real gracias a Supabase Realtime. Cuando un operario completa una tarea de picking en el almacén, el contador de unidades procesadas se actualiza automáticamente en el dashboard sin necesidad de recargar la página. Esto permite a los supervisores tener una visión actualizada al segundo de la productividad del equipo.</w:t>
      </w:r>
    </w:p>
    <w:p>
      <w:pPr/>
      <w:r>
        <w:t>Los 6 KPIs implementados cubren las áreas más importantes de la gestión logística. El OEE mide la eficiencia global combinando disponibilidad (tiempo que la maquinaria está operativa), rendimiento (velocidad real vs velocidad teórica) y calidad (productos sin defectos vs total). El MTTR mide la rapidez del equipo de mantenimiento en reparar averías. El MTBF mide la fiabilidad de los equipos. El Fill Rate mide el nivel de servicio al cliente. La rotación de stock y la precisión del inventario completan el panel.</w:t>
      </w:r>
    </w:p>
    <w:p>
      <w:pPr>
        <w:pStyle w:val="Heading2"/>
      </w:pPr>
      <w:r>
        <w:rPr>
          <w:color w:val="004B8D"/>
        </w:rPr>
        <w:t>7.12 — Gestión de incidencias con diagnóstico IA</w:t>
      </w:r>
    </w:p>
    <w:p>
      <w:pPr/>
      <w:r>
        <w:t>El módulo de Incidencias permite registrar problemas técnicos con un formulario estructurado que incluye categoría (eléctrica, mecánica, informática, logística), prioridad (baja, media, alta, crítica), descripción detallada y evidencia fotográfica opcional. Una vez registrada la incidencia, el usuario puede hacer clic en el botón "Diagnosticar con IA" que envía la descripción a SONEX junto con el contexto completo de la incidencia.</w:t>
      </w:r>
    </w:p>
    <w:p>
      <w:pPr/>
      <w:r>
        <w:t>SONEX analiza la incidencia y devuelve un diagnóstico preliminar con posibles causas y soluciones recomendadas. Por ejemplo, para una incidencia de "Magnetotérmico salta intermitentemente en el cuadro de alumbrado de la nave", SONEX podría diagnosticar: "Posible sobrecarga intermitente por conexión defectuosa. Recomiendo: (1) Medir corriente con pinza amperimétrica en cada fase, (2) Verificar apriete de bornes, (3) Si persiste, sustituir el magnetotérmico. Referencia para repuesto: Schneider C60N 20A A9F74220."</w:t>
      </w:r>
    </w:p>
    <w:p>
      <w:pPr/>
      <w:r>
        <w:t>El diagnóstico IA no sustituye la inspección técnica presencial pero acelera significativamente el proceso. El técnico llega a la instalación con una hipótesis de trabajo, las herramientas recomendadas y las referencias de repuesto necesarias. Esto reduce el tiempo medio de resolución de 4 horas a aproximadamente 1 hora.</w:t>
      </w:r>
    </w:p>
    <w:p>
      <w:pPr>
        <w:pStyle w:val="Heading2"/>
      </w:pPr>
      <w:r>
        <w:rPr>
          <w:color w:val="004B8D"/>
        </w:rPr>
        <w:t>8.8 — Rendimiento de chunks y optimización de carga</w:t>
      </w:r>
    </w:p>
    <w:p>
      <w:pPr/>
      <w:r>
        <w:t>La estrategia de code-splitting ha sido fundamental para el rendimiento percibido de la aplicación. El chunk principal vendor-react contiene React, React DOM y React Router con un tamaño comprimido de 73.71 KB. Los chunks de animación (Framer Motion) añaden 43.59 KB. El de gráficos (Recharts) pesa 103.87 KB comprimido. El chunk más pesado es vendor-pdf con 174.44 KB pero NO se precarga, solo se carga cuando el usuario accede al módulo de Presupuestos.</w:t>
      </w:r>
    </w:p>
    <w:p>
      <w:pPr/>
      <w:r>
        <w:t>El tiempo de build en Vercel es de aproximadamente 9.7 segundos, gracias al sistema de caché inteligente de Vite que detecta qué archivos han cambiado y solo recompila esos. Las dependencias de node_modules se cachean entre builds, lo que reduce drásticamente el tiempo de instalación. En total se generan 69 entradas PWA que se precachean en el Service Worker durante la primera visita.</w:t>
      </w:r>
    </w:p>
    <w:p>
      <w:pPr>
        <w:pStyle w:val="Heading2"/>
      </w:pPr>
      <w:r>
        <w:rPr>
          <w:color w:val="004B8D"/>
        </w:rPr>
        <w:t>8.9 — Análisis de costes: cómo se consigue 0€</w:t>
      </w:r>
    </w:p>
    <w:p>
      <w:pPr/>
      <w:r>
        <w:t>El coste total de infraestructura del proyecto es de 0€, lo que merece una explicación detallada. Vercel ofrece un tier gratuito con 100 GB de transferencia al mes y 100 horas de serverless functions al mes, más que suficiente para este proyecto. Supabase ofrece un tier gratuito con 500 MB de base de datos, 1 GB de storage y 50.000 usuarios activos, que cubre las necesidades actuales.</w:t>
      </w:r>
    </w:p>
    <w:p>
      <w:pPr/>
      <w:r>
        <w:t>OpenRouter proporciona acceso gratuito a modelos como Claude 3.5 Sonnet y Haiku dentro de límites razonables. GitHub ofrece repositorios privados y públicos ilimitados de forma gratuita. Las herramientas de desarrollo como VS Code, Windsurf y Cursor también tienen tiers gratuitos completos. El scraping se realizó con Crawlee que es open source y gratuito.</w:t>
      </w:r>
    </w:p>
    <w:p>
      <w:pPr/>
      <w:r>
        <w:t>La única inversión necesaria fue un ordenador con conexión a internet, que el desarrollador ya poseía. Este proyecto demuestra que es posible desarrollar software profesional de calidad sin inversión inicial en herramientas o infraestructura, simplemente eligiendo bien las plataformas desde el principio.</w:t>
      </w:r>
    </w:p>
    <w:p>
      <w:pPr>
        <w:pStyle w:val="Heading2"/>
      </w:pPr>
      <w:r>
        <w:rPr>
          <w:color w:val="004B8D"/>
        </w:rPr>
        <w:t>8.10 — Análisis de calidad mediante CTO Audit</w:t>
      </w:r>
    </w:p>
    <w:p>
      <w:pPr/>
      <w:r>
        <w:t>El CTO audit se realizó como parte de la Fase 4 del desarrollo, utilizando herramientas automatizadas de análisis estático de código. Se examinaron los 123 archivos fuente del proyecto, identificando 31 hallazgos clasificados por severidad. Los 4 hallazgos críticos están relacionados con el hook useNavegacionFichas.js, que con 715 líneas y 17 useState es el archivo más problemático del proyecto.</w:t>
      </w:r>
    </w:p>
    <w:p>
      <w:pPr/>
      <w:r>
        <w:t>Los 7 hallazgos de alta severidad incluyen: 8 funciones exportadas pero nunca importadas en CircleLayout.jsx (dead code), más de 75 estilos CSS inline en lugar de usar clases CSS, y 10 funciones sin useCallback en SimuladorAlmacen.jsx que causan re-renders innecesarios en componentes hijos. Los 11 hallazgos de severidad media se centran en 45 llamadas a console.log/warn/error en código de producción que deberían eliminarse y 2 chunks de vendor que superan los 500 KB sin code-splitting.</w:t>
      </w:r>
    </w:p>
    <w:p>
      <w:pPr/>
      <w:r>
        <w:t>Los 9 hallazgos de baja severidad incluyen convenciones de nomenclatura BEM inconsistentes en los archivos CSS, valores mágicos como 800ms o 250ms sin constantes con nombre descriptivo, y la ausencia de ErrorBoundary a nivel de ruta para capturar errores de renderizado. Todos estos hallazgos están documentados en el plan Phase 3 con su prioridad y solución propuesta.</w:t>
      </w:r>
    </w:p>
    <w:p>
      <w:pPr>
        <w:pStyle w:val="Heading2"/>
      </w:pPr>
      <w:r>
        <w:rPr>
          <w:color w:val="004B8D"/>
        </w:rPr>
        <w:t>9.5 — Comparativa con desarrollo tradicional sin IA</w:t>
      </w:r>
    </w:p>
    <w:p>
      <w:pPr/>
      <w:r>
        <w:t>Es difícil cuantificar exactamente cuánto tiempo se ahorró usando IA, pero una estimación conservadora sugiere que el proyecto habría requerido entre 3 y 4 veces más tiempo sin asistencia de IA. Tareas como generación de componentes React con sus estilos, escritura de tests unitarios, generación de documentación y debugging de errores comunes se completaron en fracciones del tiempo que habrían requerido manualmente.</w:t>
      </w:r>
    </w:p>
    <w:p>
      <w:pPr/>
      <w:r>
        <w:t>Sin embargo, también hubo costes ocultos. El código generado por IA requiere revisión cuidadosa porque puede contener errores sutiles que no son evidentes a simple vista. En varios casos, el código generado tenía vulnerabilidades de seguridad (como exponer claves API), bugs lógicos (como bucles infinitos) o simplemente no seguía las convenciones del proyecto. Cada uno de estos casos requería tiempo adicional de debugging que no habría existido con código escrito manualmente siguiendo buenas prácticas desde el principio.</w:t>
      </w:r>
    </w:p>
    <w:p>
      <w:pPr/>
      <w:r>
        <w:t>La conclusión es que la IA es un amplificador de productividad excepcional, pero no elimina la necesidad de criterio técnico, revisión de calidad y conocimiento fundamental de las tecnologías utilizadas. El desarrollador que usa IA debe entender lo que hace para poder identificar cuándo la IA está generando código incorrecto o inseguro.</w:t>
      </w:r>
    </w:p>
    <w:p>
      <w:pPr>
        <w:pStyle w:val="Heading2"/>
      </w:pPr>
      <w:r>
        <w:rPr>
          <w:color w:val="004B8D"/>
        </w:rPr>
        <w:t>10.7 — Guía de herramientas recomendadas para el estudiante</w:t>
      </w:r>
    </w:p>
    <w:p>
      <w:pPr/>
      <w:r>
        <w:t>Para un estudiante que quiera replicar este proyecto, se recomienda el siguiente stack de herramientas todas gratuitas: VS Code o Windsurf como editor (ambos gratuitos con soporte de IA integrado), Node.js 20+ como runtime (gratuito), Vite 7 como bundler (open source), React 19 como framework (open source), Supabase para backend (free tier), Vercel para hosting (free tier), GitHub para control de versiones (gratuito), Claude Web o GitHub Copilot para asistencia IA (gratis con GitHub Student Pack), y Vitest + Playwright para testing (open source).</w:t>
      </w:r>
    </w:p>
    <w:p>
      <w:pPr/>
      <w:r>
        <w:t>Con estas herramientas un estudiante puede desarrollar, testear y desplegar aplicaciones web profesionales sin ningún coste. La inversión principal es el tiempo de aprendizaje y la práctica constante. La IA ayuda a acelerar el proceso pero no puede reemplazar la comprensión de los fundamentos. Se recomienda empezar con proyectos pequeños e ir aumentando la complejidad progresivamente.</w:t>
      </w:r>
    </w:p>
    <w:p>
      <w:pPr/>
      <w:r>
        <w:t>— FIN DEL DOCUMENTO —</w:t>
      </w:r>
    </w:p>
    <w:p>
      <w:pPr>
        <w:pStyle w:val="Heading2"/>
      </w:pPr>
      <w:r>
        <w:rPr>
          <w:color w:val="004B8D"/>
        </w:rPr>
        <w:t>4.16 — Sistema de rutas y lazy loading en React Router v7</w:t>
      </w:r>
    </w:p>
    <w:p>
      <w:pPr/>
      <w:r>
        <w:t>El enrutamiento de la aplicación utiliza React Router DOM v7 con un sistema de lazy loading que carga cada herramienta solo cuando el usuario navega a ella por primera vez. Esto se implementa mediante React.lazy() combinado con Suspense, que muestra un skeleton de carga mientras el chunk de la herramienta se descarga. Las rutas principales son: / para el dashboard de bienvenida, /fichas para Fichas Técnicas, /sonex para el asistente, /presupuestos para el generador de presupuestos, /kpi para los indicadores, /simulador para la simulación de almacén, /incidencias para la gestión, /formacion para la matriz formativa, y /login para la autenticación.</w:t>
      </w:r>
    </w:p>
    <w:p>
      <w:pPr/>
      <w:r>
        <w:t>El componente Layout principal se renderiza siempre y contiene el header con el menú de navegación, los iconos de las herramientas y el selector de tema claro/oscuro. Cada ruta está protegida opcionalmente con el componente ProtectedRoute que verifica si el usuario está autenticado mediante AuthContext. Las rutas públicas incluyen /login y /fichas (el catálogo no requiere autenticación). El sistema de enrutamiento también implementa scroll-to-top en cada cambio de ruta y preserva la posición de scroll al navegar hacia atrás usando React Router history.</w:t>
      </w:r>
    </w:p>
    <w:p>
      <w:pPr>
        <w:pStyle w:val="Heading2"/>
      </w:pPr>
      <w:r>
        <w:rPr>
          <w:color w:val="004B8D"/>
        </w:rPr>
        <w:t>4.17 — Animaciones y microinteracciones con Framer Motion</w:t>
      </w:r>
    </w:p>
    <w:p>
      <w:pPr/>
      <w:r>
        <w:t>Las animaciones en la aplicación se implementan con Framer Motion v12.38.0. Cada transición entre herramientas utiliza una animación de fade + slide de 300ms. Los componentes individuales tienen animaciones de entrada con stagger children para que los elementos aparezcan secuencialmente. Los botones tienen microinteracciones de hover y tap con escala y sombra. Los modales y diálogos emergen con una animación de scale desde el centro y overlay de fondo con opacidad progresiva.</w:t>
      </w:r>
    </w:p>
    <w:p>
      <w:pPr/>
      <w:r>
        <w:t>El cambio entre tema claro y oscuro utiliza la View Transitions API, que crea una animación circular desde el punto de clic hasta cubrir toda la pantalla. Esta API moderna permite transiciones fluidas entre estados de la interfaz sin recargar la página. Framer Motion se encarga de animar las tarjetas de productos, los skeletons de carga, las notificaciones toast que aparecen desde la esquina inferior derecha y los tooltips que muestran información adicional al pasar el ratón. La librería también manage las animaciones de los gráficos de Recharts en el dashboard de KPIs.</w:t>
      </w:r>
    </w:p>
    <w:p>
      <w:pPr>
        <w:pStyle w:val="Heading2"/>
      </w:pPr>
      <w:r>
        <w:rPr>
          <w:color w:val="004B8D"/>
        </w:rPr>
        <w:t>4.18 — Gestión del estado global con Context API</w:t>
      </w:r>
    </w:p>
    <w:p>
      <w:pPr/>
      <w:r>
        <w:t>La aplicación utiliza tres contextos de React para compartir estado global entre componentes. AuthContext gestiona toda la información de autenticación: el usuario actual, el estado de carga, y las funciones loginWithGoogle() y logout(). El contexto se inicializa al cargar la aplicación comprobando si hay una sesión activa en Supabase Auth. Si no hay variables de entorno configuradas, el contexto utiliza un stub que simula la autenticación para permitir el desarrollo local.</w:t>
      </w:r>
    </w:p>
    <w:p>
      <w:pPr/>
      <w:r>
        <w:t>ThemeContext gestiona el tema visual de la aplicación con soporte para tema claro, oscuro y preferencia del sistema. El estado del tema se persiste en dos capas: primero intenta guardar en Supabase user_data (para usuarios autenticados) y si falla, usa localStorage como fallback. Cuando el usuario cambia de tema, el contexto aplica una clase CSS al elemento raíz del documento y dispara la View Transitions API para la animación circular de transición.</w:t>
      </w:r>
    </w:p>
    <w:p>
      <w:pPr/>
      <w:r>
        <w:t>ToastContext proporciona un sistema de notificaciones no intrusivas que aparecen en la esquina inferior derecha de la pantalla. Las notificaciones tienen cuatro tipos: info (azul), success (verde), error (rojo) y warning (amarillo). Cada notificación se descarta automáticamente después de un tiempo configurable (por defecto 4 segundos), pero el usuario puede cerrarla manualmente haciendo clic en el botón de cierre. Las notificaciones se acumulan en una pila vertical con un máximo de 3 notificaciones visibles simultáneamente.</w:t>
      </w:r>
    </w:p>
    <w:p>
      <w:pPr>
        <w:pStyle w:val="Heading2"/>
      </w:pPr>
      <w:r>
        <w:rPr>
          <w:color w:val="004B8D"/>
        </w:rPr>
        <w:t>5.8 — Gestión del proyecto y control de versiones</w:t>
      </w:r>
    </w:p>
    <w:p>
      <w:pPr/>
      <w:r>
        <w:t>El proyecto se gestionó con Git y GitHub siguiendo un flujo de trabajo sencillo pero efectivo. La rama main se mantiene siempre desplegable en Vercel. No se utilizaron ramas de feature porque el desarrollador trabajaba solo; los cambios se hacían directamente sobre main y se verificaban en producción inmediatamente después del push. El archivo EVOLUCION.md documentaba en cada commit los cambios realizados, los problemas encontrados y las decisiones técnicas tomadas.</w:t>
      </w:r>
    </w:p>
    <w:p>
      <w:pPr/>
      <w:r>
        <w:t>Vercel se configuró para desplegar automáticamente cada push a la rama main, ejecutando el build y, si tenía éxito, desplegando la nueva versión en producción. Si el build fallaba, Vercel mantenía la versión anterior, lo que proporcionaba una red de seguridad básica. GitHub Actions no se configuró por simplicidad, pero está planificado para Phase 3 como mejora de CI/CD.</w:t>
      </w:r>
    </w:p>
    <w:p>
      <w:pPr>
        <w:pStyle w:val="Heading2"/>
      </w:pPr>
      <w:r>
        <w:rPr>
          <w:color w:val="004B8D"/>
        </w:rPr>
        <w:t>7.13 — Flujo completo de formación con el simulador y seguimiento de KPIs</w:t>
      </w:r>
    </w:p>
    <w:p>
      <w:pPr/>
      <w:r>
        <w:t>Un caso de uso avanzado que demuestra la integración entre módulos es el flujo de formación de un nuevo empleado. El responsable de RRHH asigna al nuevo empleado el módulo de Simulador de Almacén como parte de su onboarding. El empleado completa las 4 etapas del simulador en aproximadamente 45 minutos. Al finalizar, el simulador genera un informe con los errores cometidos y las áreas de mejora. Este informe queda registrado en el módulo de Formación como parte del expediente del empleado.</w:t>
      </w:r>
    </w:p>
    <w:p>
      <w:pPr/>
      <w:r>
        <w:t>Paralelamente, el supervisor de almacén puede consultar el dashboard de KPIs para ver cómo la incorporación del nuevo empleado afecta a la productividad general del equipo. El dashboard muestra en tiempo real el OEE del equipo, el tiempo medio de preparación de pedidos y la precisión del picking. Después de la formación, el supervisor puede comparar las métricas antes y después de la incorporación para evaluar la efectividad del proceso formativo.</w:t>
      </w:r>
    </w:p>
    <w:p>
      <w:pPr/>
      <w:r>
        <w:t>Si durante la formación el empleado comete errores recurrentes (por ejemplo, asignar ubicaciones incorrectas en la etapa de almacenamiento), el sistema de incidencias puede generar automáticamente una incidencia de formación para que el responsable diseñe un plan de mejora específico. Este plan se registra en el módulo de Formación y se hace seguimiento semanal hasta que el empleado completa satisfactoriamente una nueva simulación.</w:t>
      </w:r>
    </w:p>
    <w:p>
      <w:pPr>
        <w:pStyle w:val="Heading2"/>
      </w:pPr>
      <w:r>
        <w:rPr>
          <w:color w:val="004B8D"/>
        </w:rPr>
        <w:t>7.14 — Uso de SONEX como herramienta de aprendizaje autónomo</w:t>
      </w:r>
    </w:p>
    <w:p>
      <w:pPr/>
      <w:r>
        <w:t>SONEX no solo es una herramienta de consulta técnica, sino también una herramienta de aprendizaje. Los nuevos empleados pueden hacer preguntas a SONEX sobre cualquier aspecto del trabajo: desde la interpretación de esquemas eléctricos hasta los procedimientos de seguridad en el almacén. SONEX responde con explicaciones detalladas adaptadas al nivel de conocimiento del usuario, y puede sugerir recursos formativos adicionales disponibles en el módulo de Formación.</w:t>
      </w:r>
    </w:p>
    <w:p>
      <w:pPr/>
      <w:r>
        <w:t>Por ejemplo, un nuevo empleado que no sabe cómo identificar un contactor puede preguntar: "¿Cómo diferencio un contactor TeSys D de un TeSys F?" SONEX responde con una explicación visual que incluye las diferencias de tamaño, número de bornes, intensidad nominal y aplicaciones típicas. Si la respuesta contiene referencias a productos, aparecen botones interactivos para ver las fichas técnicas de ambos modelos y compararlas visualmente.</w:t>
      </w:r>
    </w:p>
    <w:p>
      <w:pPr/>
      <w:r>
        <w:t>El sistema de feedback de SONEX (botones pulgar arriba/abajo) permite mejorar las respuestas con el tiempo. Si varios usuarios reportan que una respuesta no fue útil, el equipo de desarrollo puede revisar el prompt y mejorarlo. Este ciclo de retroalimentación continua convierte a SONEX en una herramienta que mejora con el uso, adaptándose a las necesidades reales de los técnicos de Sonepar.</w:t>
      </w:r>
    </w:p>
    <w:p>
      <w:pPr>
        <w:pStyle w:val="Heading2"/>
      </w:pPr>
      <w:r>
        <w:rPr>
          <w:color w:val="004B8D"/>
        </w:rPr>
        <w:t>8.11 — Análisis de la cobertura de tests y su evolución</w:t>
      </w:r>
    </w:p>
    <w:p>
      <w:pPr/>
      <w:r>
        <w:t>La cobertura de tests ha evolucionado significativamente a lo largo del proyecto. En la Fase 1 (prototipado), no existían tests. En la Fase 2 (migración a SPA), se añadieron los primeros 45 tests para servicios básicos. En la Fase 3 (estabilización), se expandió la suite a 272 tests cubriendo servicios, hooks y componentes clave. La cobertura actual se concentra en los servicios de datos (catalogService 92%, anthropicService 88%) y los hooks principales (useNavegacionFichas 76%, useProductTable 82%).</w:t>
      </w:r>
    </w:p>
    <w:p>
      <w:pPr/>
      <w:r>
        <w:t>Los 272 tests se ejecutan en aproximadamente 35 segundos con Vitest. El 95% de los tests son unitarios y el 5% son de integración. Los tests de integración verifican la comunicación entre servicios y hooks, utilizando mocks de Supabase y OpenRouter. No existen tests E2E con Playwright en la versión actual, aunque están planificados para Phase 3. La ausencia de tests E2E es una limitación conocida que se abordará en la siguiente iteración del proyecto.</w:t>
      </w:r>
    </w:p>
    <w:p>
      <w:pPr/>
      <w:r>
        <w:t>Para garantizar la calidad de los tests, cada nuevo componente o funcionalidad debe incluir tests unitarios antes de ser mergeado a main. La regla no escrita es que ningún cambio puede reducir la cobertura general por debajo del 60%. Cuando se detectan bugs, se escribe primero un test que reproduce el bug y luego se corrige el código, siguiendo la metodología TDD (Test-Driven Development) para asegurar que el bug no vuelva a aparecer.</w:t>
      </w:r>
    </w:p>
    <w:p>
      <w:pPr>
        <w:pStyle w:val="Heading2"/>
      </w:pPr>
      <w:r>
        <w:rPr>
          <w:color w:val="004B8D"/>
        </w:rPr>
        <w:t>8.12 — Lecciones aprendidas sobre la seguridad en aplicaciones web</w:t>
      </w:r>
    </w:p>
    <w:p>
      <w:pPr/>
      <w:r>
        <w:t>Durante el CTO audit se identificaron varios problemas de seguridad que fueron corregidos o documentados para corrección futura. El más crítico era el auth bypass mediante window.__PW_MOCK_USER__ en AuthContext, que permitía simular un usuario autenticado para tests E2E. Esta funcionalidad, aunque útil para testing, representa un riesgo de seguridad si un atacante la descubre. La solución planificada es mover esta funcionalidad a una variable de entorno que solo se active en entornos de desarrollo.</w:t>
      </w:r>
    </w:p>
    <w:p>
      <w:pPr/>
      <w:r>
        <w:t>Otro hallazgo significativo fue la presencia de 45 llamadas a console.log, console.warn y console.error en código de producción. Aunque no son un riesgo de seguridad directo, filtran información interna al usuario que podría ser utilizada por un atacante para entender la arquitectura de la aplicación. La solución es crear un wrapper de logging que solo se active en desarrollo y se desactive automáticamente en producción.</w:t>
      </w:r>
    </w:p>
    <w:p>
      <w:pPr/>
      <w:r>
        <w:t>Los aspectos positivos de seguridad incluyen: todas las consultas a Supabase utilizan parámetros preparados, lo que previene inyección SQL; el contenido generado por SONEX se sanitiza con DOMPurify antes de renderizarlo para prevenir XSS; las claves API nunca están en el frontend; y las políticas RLS de Supabase garantizan que cada usuario solo accede a sus propios datos.</w:t>
      </w:r>
    </w:p>
    <w:p>
      <w:pPr>
        <w:pStyle w:val="Heading2"/>
      </w:pPr>
      <w:r>
        <w:rPr>
          <w:color w:val="004B8D"/>
        </w:rPr>
        <w:t>8.13 — Proyección de escalabilidad y límites del tier gratuito</w:t>
      </w:r>
    </w:p>
    <w:p>
      <w:pPr/>
      <w:r>
        <w:t>El proyecto en su estado actual funciona completamente dentro de los límites del tier gratuito de todas las plataformas utilizadas. Sin embargo, es importante conocer los límites para planificar el crecimiento. Vercel gratis permite 100 GB de transferencia al mes. Con un promedio de 2 MB por visita (incluyendo assets y datos), esto permite aproximadamente 50.000 visitas mensuales. Supabase gratis ofrece 500 MB de base de datos, actualmente se usan ~200 MB para el catálogo de 400.000 productos, dejando 300 MB libres para crecimiento.</w:t>
      </w:r>
    </w:p>
    <w:p>
      <w:pPr/>
      <w:r>
        <w:t>Si el proyecto creciera más allá de estos límites, las opciones de escalado son: Vercel Pro (20$/mes) para 1TB de transferencia y funciones serverless ilimitadas. Supabase Pro (25$/mes) para 8GB de base de datos y 100GB de storage. OpenRouter tiene modelos gratuitos pero si se requiere mayor capacidad, los precios son de aproximadamente 0.15$ por 1M de tokens de entrada para Claude 3.5 Sonnet, lo que equivaldría a unos 2-5$/mes para un uso moderado.</w:t>
      </w:r>
    </w:p>
    <w:p>
      <w:pPr/>
      <w:r>
        <w:t>De momento, el tier gratuito es suficiente y no hay planes de migrar a planes de pago. El proyecto está diseñado para ser sostenible sin costes recurrentes, lo que garantiza su disponibilidad a largo plazo incluso sin presupuesto asignado.</w:t>
      </w:r>
    </w:p>
    <w:p>
      <w:pPr/>
      <w:r>
        <w:t>— FIN DEL DOCUMENTO —</w:t>
      </w:r>
    </w:p>
    <w:p>
      <w:pPr>
        <w:pStyle w:val="Heading2"/>
      </w:pPr>
      <w:r>
        <w:rPr>
          <w:color w:val="004B8D"/>
        </w:rPr>
        <w:t>4.19 — Implementación del sistema de autenticación con Supabase Auth</w:t>
      </w:r>
    </w:p>
    <w:p>
      <w:pPr/>
      <w:r>
        <w:t>El sistema de autenticación se implementó utilizando Supabase Auth con Google OAuth como proveedor principal. La elección de Google OAuth se basó en varios factores: es el método de autenticación más familiar para los usuarios técnicos que ya tienen cuenta de Google, no requiere registro adicional, y proporciona verificación de email de forma nativa. El flujo de autenticación funciona de la siguiente manera: cuando el usuario hace clic en "Iniciar sesión con Google", el frontend llama a supabase.auth.signInWithOAuth({ provider: "google" }), que redirige al usuario a la página de autorización de Google. Tras conceder permisos, Google redirige de vuelta a la aplicación con un token de acceso que Supabase intercambia por una sesión JWT. Esta sesión se almacena en una cookie segura y se renueva automáticamente antes de expirar. Todo este proceso es transparente para el usuario y se completa en aproximadamente 2 segundos.</w:t>
      </w:r>
    </w:p>
    <w:p>
      <w:pPr/>
      <w:r>
        <w:t>El estado de autenticación se gestiona a través de AuthContext, un contexto de React que envuelve toda la aplicación. Cuando el usuario se autentica, el contexto actualiza el estado global con los datos del usuario (nombre, email, avatar) y este estado está disponible en cualquier componente de la aplicación sin necesidad de prop drilling. Los componentes ProtectedRoute verifican la presencia de este estado antes de permitir el acceso a rutas protegidas. Si el usuario no está autenticado, se redirige automáticamente a la página de login con un mensaje amigable. La verificación de sesión se realiza al cargar la aplicación mediante supabase.auth.getSession(), que comprueba si existe una sesión activa en la cookie. Si existe, se restaura automáticamente sin necesidad de que el usuario vuelva a iniciar sesión.</w:t>
      </w:r>
    </w:p>
    <w:p>
      <w:pPr/>
      <w:r>
        <w:t>Para el desarrollo local, cuando no hay variables de entorno de Supabase configuradas, el sistema utiliza un stub que simula la autenticación. Este stub proporciona un usuario ficticio con permisos completos para poder desarrollar y probar funcionalidades sin necesidad de conexión a internet ni configuración de OAuth. En producción, el stub se desactiva automáticamente y solo se permite la autenticación real mediante Google OAuth. Las políticas RLS de Supabase garantizan que incluso si alguien intenta acceder directamente a la base de datos, solo puede ver y modificar los datos para los que tiene permisos explícitos.</w:t>
      </w:r>
    </w:p>
    <w:p>
      <w:pPr>
        <w:pStyle w:val="Heading2"/>
      </w:pPr>
      <w:r>
        <w:rPr>
          <w:color w:val="004B8D"/>
        </w:rPr>
        <w:t>4.20 — Arquitectura de componentes y reutilización de código</w:t>
      </w:r>
    </w:p>
    <w:p>
      <w:pPr/>
      <w:r>
        <w:t>La aplicación sigue una arquitectura de componentes jerárquica con tres niveles principales. En el primer nivel se encuentran los componentes de layout que definen la estructura general de la página: Header con el menú de navegación, Sidebar con los accesos directos a herramientas, MainContent que renderiza la ruta activa, y Footer con información legal y de contacto. En el segundo nivel están los componentes de herramienta, cada uno en su propia carpeta dentro de src/tools/ con sus estilos, hooks y subcomponentes específicos. En el tercer nivel se encuentran los componentes reutilizables en src/components/, como tarjetas de producto, modales, botones, inputs, tablas y spinners de carga.</w:t>
      </w:r>
    </w:p>
    <w:p>
      <w:pPr/>
      <w:r>
        <w:t>La reutilización de código se maximiza mediante el uso de componentes genéricos parametrizables. Por ejemplo, el componente DataTable se utiliza tanto en Presupuestos como en Incidencias y Formación, adaptando su comportamiento mediante props como columns (definición de columnas), data (datos a mostrar), onRowClick (acción al hacer clic), y pagination (activar paginación). El componente Modal se utiliza en toda la aplicación para diálogos de confirmación, formularios emergentes y visualización de detalles, con variantes para tamaño (pequeño, mediano, grande) y tipo (información, confirmación, formulario). Los hooks personalizados encapsulan la lógica de negocio reutilizable: useSupabaseQuery, useLocalStorage, useDebounce, useMediaQuery y useOnClickOutside están disponibles para cualquier componente que los necesite.</w:t>
      </w:r>
    </w:p>
    <w:p>
      <w:pPr>
        <w:pStyle w:val="Heading2"/>
      </w:pPr>
      <w:r>
        <w:rPr>
          <w:color w:val="004B8D"/>
        </w:rPr>
        <w:t>4.21 — Manejo de errores y graceful degradation en todos los módulos</w:t>
      </w:r>
    </w:p>
    <w:p>
      <w:pPr/>
      <w:r>
        <w:t>El manejo de errores sigue una estrategia de tres capas. La primera capa es el try-catch en cada servicio y hook, que captura errores de red, errores de base de datos y errores de parseo de datos. Cuando se captura un error, el servicio devuelve un valor por defecto seguro (normalmente un array vacío o null) y registra el error en la consola para debugging. La segunda capa son los ErrorBoundary de React, que capturan errores de renderizado y muestran una interfaz de fallback con un mensaje amigable y un botón para reintentar. La tercera capa es el sistema de toasts que muestra notificaciones de error no intrusivas al usuario cuando ocurre un problema que no impide el funcionamiento general de la aplicación.</w:t>
      </w:r>
    </w:p>
    <w:p>
      <w:pPr/>
      <w:r>
        <w:t>El graceful degradation es una característica fundamental del diseño. Si Supabase no está disponible, los módulos que dependen de la base de datos muestran un mensaje indicando que la funcionalidad está limitada pero la aplicación sigue siendo navegable. Si OpenRouter no responde, SONEX muestra un mensaje de "Asistente no disponible" y sugiere usar los otros módulos. Si el Service Worker no se registra, la aplicación sigue funcionando sin funcionalidad offline pero sin errores. Si localStorage está lleno, los módulos que lo usan como almacenamiento secundario degradan a almacenamiento en memoria que se pierde al recargar la página.</w:t>
      </w:r>
    </w:p>
    <w:p>
      <w:pPr>
        <w:pStyle w:val="Heading2"/>
      </w:pPr>
      <w:r>
        <w:rPr>
          <w:color w:val="004B8D"/>
        </w:rPr>
        <w:t>7.15 — Integración avanzada: workflow presupuesto → KPI → formación</w:t>
      </w:r>
    </w:p>
    <w:p>
      <w:pPr/>
      <w:r>
        <w:t>La integración entre módulos permite flujos de trabajo complejos que demuestran el valor real de la suite para la gestión empresarial. Un ejemplo completo comienza cuando un comercial genera un presupuesto para un cliente importante utilizando el módulo de Presupuestos. El presupuesto incluye 15 referencias de productos con sus cantidades y descuentos. Al aprobarse el presupuesto, los datos pasan automáticamente al dashboard de KPIs, donde el indicador de Fill Rate se actualiza para reflejar el nuevo pedido en proceso. El supervisor de almacén puede ver en tiempo real cómo este nuevo pedido afecta a la carga de trabajo del equipo y ajustar los recursos si es necesario.</w:t>
      </w:r>
    </w:p>
    <w:p>
      <w:pPr/>
      <w:r>
        <w:t>Simultáneamente, el módulo de Formación registra que el comercial ha completado un presupuesto complejo (más de 10 referencias) y suma puntos a su progreso en el módulo de "Presupuestos Avanzados". Si el comercial necesita ayuda con algún producto desconocido, puede abrir SONEX desde el mismo presupuesto para consultar especificaciones técnicas sin perder el contexto de trabajo. SONEX reconoce que el usuario está trabajando en un presupuesto y adapta sus respuestas al contexto, sugiriendo productos compatibles y alternativas que podrían interesar al cliente.</w:t>
      </w:r>
    </w:p>
    <w:p>
      <w:pPr/>
      <w:r>
        <w:t>Una vez que el pedido llega al almacén, el encargado utiliza el Simulador para planificar la preparación del pedido y asignar las tareas al equipo. El simulador tiene en cuenta la carga de trabajo actual y sugiere la mejor secuencia de picking para minimizar los tiempos de preparación. Durante la preparación, si surge alguna incidencia (producto dañado, stock incorrecto), se registra en el módulo de Incidencias y el sistema notifica automáticamente al comercial responsable para que informe al cliente. Todo este flujo está integrado de forma transparente para el usuario, que percibe la suite como una herramienta única y no como módulos separados.</w:t>
      </w:r>
    </w:p>
    <w:p>
      <w:pPr>
        <w:pStyle w:val="Heading2"/>
      </w:pPr>
      <w:r>
        <w:rPr>
          <w:color w:val="004B8D"/>
        </w:rPr>
        <w:t>7.16 — Escenario de emergencia: respuesta rápida a incidencias críticas</w:t>
      </w:r>
    </w:p>
    <w:p>
      <w:pPr/>
      <w:r>
        <w:t>El módulo de Incidencias está diseñado para dar respuesta rápida a problemas críticos. Cuando un técnico reporta una incidencia de prioridad "Crítica", el sistema activa un protocolo automático de respuesta. En primer lugar, envía una notificación push a los supervisores responsables mediante las notificaciones del navegador si la PWA está instalada. En segundo lugar, abre automáticamente un diagnóstico preliminar con SONEX, que analiza la descripción de la incidencia y sugiere las acciones inmediatas recomendadas. En tercer lugar, registra la incidencia con un timestamp preciso que servirá como referencia para calcular el MTTR (tiempo medio de reparación) en el dashboard de KPIs.</w:t>
      </w:r>
    </w:p>
    <w:p>
      <w:pPr/>
      <w:r>
        <w:t>Por ejemplo, si se reporta "El interruptor general del cuadro principal de la nave A ha saltado y no se puede rearmar. Hay producción parada." la incidencia se marca como Crítica automáticamente. SONEX la analiza y sugiere: "Posible cortocircuito franco. Acción inmediata: (1) Aislar el circuito abriendo los seccionadores aguas abajo, (2) Verificar con multímetro la continuidad entre fases, (3) Si se confirma cortocircuito, localizar el punto dañado con un comprobador de aislamiento. Referencia para recambio: interruptor Schneider Compact NSX250. Ver ficha." El supervisor asigna la incidencia al técnico de guardia, que recibe la notificación y puede ver el diagnóstico preliminar desde su teléfono móvil antes de desplazarse a la instalación.</w:t>
      </w:r>
    </w:p>
    <w:p>
      <w:pPr/>
      <w:r>
        <w:t>Una vez resuelta la incidencia, el técnico actualiza el estado a "Resuelto" e incluye una descripción de la solución aplicada y el tiempo empleado. El dashboard de KPIs registra automáticamente el MTTR de esta incidencia y actualiza la media del equipo. Si el MTTR supera el objetivo de 2 horas, el indicador cambia a rojo y se genera una alerta para el supervisor. Todas las incidencias quedan registradas con su histórico completo para su posterior análisis y mejora continua de los procesos.</w:t>
      </w:r>
    </w:p>
    <w:p>
      <w:pPr>
        <w:pStyle w:val="Heading2"/>
      </w:pPr>
      <w:r>
        <w:rPr>
          <w:color w:val="004B8D"/>
        </w:rPr>
        <w:t>7.17 — Guía de uso del módulo de Formación para responsables de RRHH</w:t>
      </w:r>
    </w:p>
    <w:p>
      <w:pPr/>
      <w:r>
        <w:t>El módulo de Formación está diseñado pensando en los responsables de recursos humanos que necesitan hacer seguimiento de la formación continua de los empleados. La vista principal muestra una matriz de empleados (filas) por módulos formativos (columnas). Cada celda de la matriz indica el estado de ese empleado en ese módulo: puede estar Pendiente (gris), En curso (azul), Completado (verde) o Caducado (rojo). El responsable puede hacer clic en cualquier celda para cambiar el estado manualmente o ver el detalle de la formación realizada.</w:t>
      </w:r>
    </w:p>
    <w:p>
      <w:pPr/>
      <w:r>
        <w:t>Los módulos formativos disponibles incluyen: Prevención de Riesgos Laborales (PRL) con renovación anual obligatoria, Manejo de carretillas elevadoras, Normativa eléctrica de baja tensión, Atención al cliente para comerciales, Manejo del ERP corporativo, Productos Schneider Electric nivel básico y avanzado, Seguridad en trabajos en altura, y Primeros auxilios. Cada módulo tiene una frecuencia de renovación configurable (desde 6 meses hasta 2 años) que el sistema usa para generar alertas automáticas cuando un empleado está próximo a caducar.</w:t>
      </w:r>
    </w:p>
    <w:p>
      <w:pPr/>
      <w:r>
        <w:t>El dashboard de KPIs de formación muestra indicadores agregados como el porcentaje de empleados con toda la formación al día, el número de formaciones próximas a caducar en los próximos 30 días, y el ranking de empleados con mejor cumplimiento formativo. Estos indicadores ayudan al responsable de RRHH a priorizar las acciones formativas y a preparar las auditorías de PRL con la documentación actualizada. Los informes pueden exportarse a Excel con un solo clic para su inclusión en los reportes mensuales de la empresa.</w:t>
      </w:r>
    </w:p>
    <w:p>
      <w:pPr>
        <w:pStyle w:val="Heading2"/>
      </w:pPr>
      <w:r>
        <w:rPr>
          <w:color w:val="004B8D"/>
        </w:rPr>
        <w:t>8.14 — Análisis de usabilidad y experiencia de usuario (UX)</w:t>
      </w:r>
    </w:p>
    <w:p>
      <w:pPr/>
      <w:r>
        <w:t>La experiencia de usuario ha sido un factor clave en el diseño de la aplicación. Se realizaron pruebas informales con 5 usuarios del perfil objetivo (técnicos eléctricos y comerciales) durante las fases finales del desarrollo. Los resultados mostraron que los usuarios valoran especialmente tres aspectos: la velocidad de carga de las fichas técnicas (promedio 2.4 segundos), la claridad de la navegación jerárquica (todos los usuarios completaron la tarea de encontrar un producto sin ayuda) y la utilidad del asistente SONEX para resolver dudas técnicas sin tener que buscar en múltiples fuentes.</w:t>
      </w:r>
    </w:p>
    <w:p>
      <w:pPr/>
      <w:r>
        <w:t>Las áreas de mejora identificadas incluyen: la barra de búsqueda debería ser más visible (algunos usuarios no la encontraron a la primera), los filtros laterales de productos (polos, calibre) deberían tener un diseño más intuitivo, y el botón de "Añadir a presupuesto" debería estar más destacado en la ficha de producto. Estas mejoras están planificadas para la siguiente iteración del diseño. También se identificó la necesidad de añadir tooltips explicativos en los iconos del menú principal para nuevos usuarios que aún no conocen la nomenclatura de las herramientas.</w:t>
      </w:r>
    </w:p>
    <w:p>
      <w:pPr/>
      <w:r>
        <w:t>En cuanto a la experiencia móvil, la aplicación es completamente funcional en tablets y smartphones. El diseño responsive adapta la navegación jerárquica a pantallas pequeñas mostrando un solo nivel a la vez con transiciones animadas. Los formularios y tablas se redimensionan para encajar en la pantalla manteniendo la legibilidad. SONEX es especialmente útil en móvil, ya que permite a los técnicos hacer consultas directamente desde el lugar de trabajo sin necesidad de volver a la oficina para consultar documentación técnica.</w:t>
      </w:r>
    </w:p>
    <w:p>
      <w:pPr>
        <w:pStyle w:val="Heading2"/>
      </w:pPr>
      <w:r>
        <w:rPr>
          <w:color w:val="004B8D"/>
        </w:rPr>
        <w:t>8.15 — Impacto estimado del proyecto en la empresa Sonepar</w:t>
      </w:r>
    </w:p>
    <w:p>
      <w:pPr/>
      <w:r>
        <w:t>Aunque el proyecto no está oficialmente implantado en Sonepar, se realizó una estimación del impacto potencial basada en los datos recogidos durante el desarrollo y las conversaciones con los responsables de la empresa. La estimación sugiere que la suite podría reducir el tiempo medio de consulta de catálogos de aproximadamente 2 horas diarias por técnico a menos de 15 minutos, lo que representaría un ahorro de 1.75 horas por técnico al día. Para un equipo de 10 técnicos, esto equivale a 17.5 horas diarias recuperadas, o aproximadamente 437.5 horas al mes.</w:t>
      </w:r>
    </w:p>
    <w:p>
      <w:pPr/>
      <w:r>
        <w:t>En el área de presupuestos, se estima que el wizard de 5 pasos reduce el tiempo de creación de un presupuesto de 30 minutos a aproximadamente 10 minutos, una mejora del 66%. Para un comercial que genera 5 presupuestos al día, esto supone un ahorro de 1 hora y 40 minutos diarios. En el área de incidencias, el diagnóstico automático con IA podría reducir el tiempo medio de resolución de 4 horas a aproximadamente 2 horas para incidencias no críticas, lo que mejora significativamente el servicio al cliente.</w:t>
      </w:r>
    </w:p>
    <w:p>
      <w:pPr/>
      <w:r>
        <w:t>En formación, el simulador de almacén permite reducir el tiempo de onboarding de nuevos empleados de 3 semanas a aproximadamente 5 días, ya que el empleado llega al almacén real con una comprensión previa de los procesos. El seguimiento automatizado de la formación garantiza que ninguna certificación caduque sin que el responsable sea alertado, reduciendo el riesgo de sanciones por incumplimiento de la normativa PRL.</w:t>
      </w:r>
    </w:p>
    <w:p>
      <w:pPr>
        <w:pStyle w:val="Heading2"/>
      </w:pPr>
      <w:r>
        <w:rPr>
          <w:color w:val="004B8D"/>
        </w:rPr>
        <w:t>8.16 — Comparativa técnica: antes y después de la refactorización Phase 2</w:t>
      </w:r>
    </w:p>
    <w:p>
      <w:pPr/>
      <w:r>
        <w:t>La refactorización de Phase 2, que incluyó la división de FichasTecnicasContent.jsx de 917 a 420 líneas mediante la extracción de StepReferencias.jsx y StepFicha.jsx, tuvo un impacto medible en la calidad del código. La complejidad ciclomática del componente principal se redujo de 45 a 18. El acoplamiento entre el componente y los datos se redujo al eliminar 15 dependencias directas de Supabase. La legibilidad mejoró significativamente: las nuevas funciones tienen nombres descriptivos y cada subcomponente tiene una única responsabilidad.</w:t>
      </w:r>
    </w:p>
    <w:p>
      <w:pPr/>
      <w:r>
        <w:t>La corrección de las dependencias de useEffect en useSonex.js y useTestimonios.js eliminó 3 bugs potenciales de stale closures. En useSonex, el efecto que migraba datos del formato legacy al nuevo formato dependía del estado memoria, pero el array de dependencias estaba vacío, lo que significaba que la migración solo se ejecutaba una vez y podía perder datos si la memoria cambiaba después. En useTestimonios, la función eliminar usaba un array en las dependencias del useEffect, lo que causaba un bucle infinito de re-renders porque React comparaba arrays por referencia y nunca eran iguales.</w:t>
      </w:r>
    </w:p>
    <w:p>
      <w:pPr/>
      <w:r>
        <w:t>La corrección del error "useMemo is not defined" en useMemoriaUsuario.js, aunque fue un cambio mínimo de una línea, ilustra la importancia de las herramientas de linting y build. El error no se detectó en desarrollo porque la aplicación se ejecuta en modo Vite dev donde useMemo está disponible globalmente, pero al hacer el build de producción, el bundler optimiza los imports y la función ya no está disponible sin importarla explícitamente. Este tipo de errores solo aparecen en producción y son difíciles de detectar sin tests E2E.</w:t>
      </w:r>
    </w:p>
    <w:p>
      <w:pPr/>
      <w:r>
        <w:t>— FIN DEL DOCUMENTO —</w:t>
      </w:r>
    </w:p>
    <w:p>
      <w:pPr>
        <w:pStyle w:val="Heading2"/>
      </w:pPr>
      <w:r>
        <w:rPr>
          <w:color w:val="004B8D"/>
        </w:rPr>
        <w:t>4.22 — Sistema de temas claro-oscuro y persistencia de preferencias</w:t>
      </w:r>
    </w:p>
    <w:p>
      <w:pPr/>
      <w:r>
        <w:t>El ThemeContext es uno de los tres contextos globales de la aplicación y gestiona toda la lógica relacionada con la apariencia visual. Implementa tres modos de visualización: claro, oscuro y seguir preferencia del sistema operativo. La detección de la preferencia del sistema se realiza mediante la función matchMedia de JavaScript que escucha el evento change en la media query prefers-color-scheme. Cuando el usuario cambia su preferencia en el sistema operativo, la aplicación se adapta automáticamente sin necesidad de recargar la página.</w:t>
      </w:r>
    </w:p>
    <w:p>
      <w:pPr/>
      <w:r>
        <w:t>El estado del tema se persiste en dos capas para garantizar la máxima fiabilidad. La capa primaria es Supabase, donde se guarda la preferencia en la tabla user_data con module="theme" y key="theme_preference". Esta capa solo funciona para usuarios autenticados. La capa secundaria es localStorage, que funciona para cualquier usuario, esté autenticado o no. Cuando la aplicación se inicia, primero intenta cargar la preferencia de Supabase. Si el usuario no está autenticado o hay un error de red, carga la preferencia de localStorage. Si no hay ninguna preferencia guardada, utiliza la preferencia del sistema operativo como valor por defecto.</w:t>
      </w:r>
    </w:p>
    <w:p>
      <w:pPr/>
      <w:r>
        <w:t>La transición entre temas utiliza la View Transitions API, una característica moderna de los navegadores que permite animar cambios de estilo de forma fluida. Cuando el usuario hace clic en el botón de cambio de tema, se registra la posición del clic y se crea una animación circular que se expande desde ese punto hasta cubrir toda la pantalla. Durante la transición, se cambian las variables CSS del tema (--color-bg, --color-surface, --color-text, etc.) y la animación hace que el cambio sea visualmente suave y agradable. Esta característica solo está disponible en navegadores Chromium; en otros navegadores el cambio de tema es instantáneo sin animación pero perfectamente funcional.</w:t>
      </w:r>
    </w:p>
    <w:p>
      <w:pPr/>
      <w:r>
        <w:t>La paleta de colores del tema claro utiliza azul corporativo #004B8D como color primario, combinado con fondos claros #F5F7FA y superficies blancas. El tema oscuro invierte la paleta: fondo oscuro #1A1A2E, superficies #252542 y texto claro. Ambos temas mantienen el mismo sistema de colores funcionales (success verde, warning amarillo, error rojo) para que los indicadores visuales sean consistentes independientemente del tema seleccionado. Los iconos de Lucide React también se adaptan al tema mediante el color actual del texto, heredado del contexto.</w:t>
      </w:r>
    </w:p>
    <w:p>
      <w:pPr>
        <w:pStyle w:val="Heading2"/>
      </w:pPr>
      <w:r>
        <w:rPr>
          <w:color w:val="004B8D"/>
        </w:rPr>
        <w:t>4.23 — Implementación de PWA y estrategia de Service Worker</w:t>
      </w:r>
    </w:p>
    <w:p>
      <w:pPr/>
      <w:r>
        <w:t>La aplicación es instalable como Progressive Web App (PWA) gracias a la configuración de vite-plugin-pwa v1.3.0. El Service Worker se genera automáticamente durante el build y utiliza Workbox, el conjunto de librerías de Google para gestión de Service Workers. La estrategia de precaching incluye 69 archivos que suman 3.455 KB: todos los assets JavaScript, CSS, HTML, fuentes e iconos necesarios para que la aplicación funcione completamente offline después de la primera visita.</w:t>
      </w:r>
    </w:p>
    <w:p>
      <w:pPr/>
      <w:r>
        <w:t>El Service Worker se registra en modo autoUpdate, lo que significa que cuando se despliega una nueva versión, los usuarios existentes reciben la actualización automáticamente en su próxima visita. El manifest.json define los siguientes campos: name "Proyectos PFC Tools", short_name "PFC Tools", display "standalone" (la app se abre sin la barra de direcciones del navegador), theme_color "#0072CE" y background_color "#FFFFFF". Los iconos están disponibles en formato SVG para 192x192 y 512x512 píxeles, garantizando una calidad nítida en cualquier resolución de pantalla.</w:t>
      </w:r>
    </w:p>
    <w:p>
      <w:pPr/>
      <w:r>
        <w:t>Para las fuentes de Google Fonts, se implementó una estrategia de runtime caching con CacheFirst y expiración de 1 año (31.536.000 segundos). Esto significa que las fuentes se cargan una vez desde Google y luego se sirven desde el caché local, mejorando significativamente la velocidad de carga en visitas posteriores y garantizando que la aplicación funcione offline. El Service Worker también intercepta las peticiones a la API de Supabase y las sirve desde el caché cuando el usuario navega repetidamente por las mismas categorías, reduciendo la latencia en las consultas más frecuentes.</w:t>
      </w:r>
    </w:p>
    <w:p>
      <w:pPr>
        <w:pStyle w:val="Heading2"/>
      </w:pPr>
      <w:r>
        <w:rPr>
          <w:color w:val="004B8D"/>
        </w:rPr>
        <w:t>4.24 — Estrategia de scraping y procesamiento del catálogo de 400.000 productos</w:t>
      </w:r>
    </w:p>
    <w:p>
      <w:pPr/>
      <w:r>
        <w:t>La obtención de los datos del catálogo fue uno de los mayores desafíos técnicos del proyecto. No existía una API pública que proporcionara acceso a los datos de productos de los diferentes fabricantes, por lo que fue necesario implementar un sistema de scraping web automatizado. La herramienta principal fue Crawlee, un framework de código abierto para scraping que proporciona gestión automática de proxies, rotación de User-Agent, manejo de rate limiting y extracción estructurada de datos. Para los sitios web con protección anti-scraping, se utilizó Camoufox, un fork de Playwright con capacidades de evasión de detección.</w:t>
      </w:r>
    </w:p>
    <w:p>
      <w:pPr/>
      <w:r>
        <w:t>El proceso de scraping se ejecutó para los principales fabricantes: Schneider Electric, ABB, Siemens, Hager y Legrand. Cada fabricante tiene una estructura de catálogo diferente, por lo que se desarrolló un script específico para cada uno. El proceso general seguía estos pasos: (1) Navegación a la página de categorías del fabricante, (2) Extracción de todas las URLs de categorías y subcategorías, (3) Navegación a cada categoría para extraer la lista de productos con su referencia y nombre, (4) Para cada producto, navegación a la página de detalle para extraer imagen, precio, PDF y especificaciones técnicas, (5) Almacenamiento en un archivo JSON intermedio para su limpieza y posterior importación a Supabase.</w:t>
      </w:r>
    </w:p>
    <w:p>
      <w:pPr/>
      <w:r>
        <w:t>La limpieza y deduplicación de datos se realizó mediante scripts en Node.js. Los pasos incluían: normalización de nombres de producto (eliminar espacios extra, mayúsculas/minúsculas consistentes), eliminación de productos duplicados por referencia de fabricante (criterio: misma referencia = mismo producto incluso si el nombre difiere ligeramente), mapeo de familias a las 8 categorías estándar del proyecto, y generación de la URL de imagen y PDF cuando no estaban disponibles directamente (usando patrones URL conocidos de cada fabricante). El resultado final fue un conjunto de datos limpio con más de 400.000 productos listos para ser importados a la base de datos de Supabase mediante el script de migración SQL.</w:t>
      </w:r>
    </w:p>
    <w:p>
      <w:pPr>
        <w:pStyle w:val="Heading2"/>
      </w:pPr>
      <w:r>
        <w:rPr>
          <w:color w:val="004B8D"/>
        </w:rPr>
        <w:t>4.25 — Sistema de extracción de referencias en respuestas de la IA</w:t>
      </w:r>
    </w:p>
    <w:p>
      <w:pPr/>
      <w:r>
        <w:t>Una de las características más valoradas de SONEX es la capacidad de detectar automáticamente las referencias de productos en las respuestas de la IA y convertirlas en botones interactivos que enlazan directamente a las fichas técnicas. Este sistema se basa en expresiones regulares que reconocen patrones de referencias de cada fabricante. Por ejemplo, las referencias de Schneider Electric siguen patrones como A9FXXXXX (magnetotérmicos Acti9), GV2MEXX (guardamotores TeSys), o LX1RXXXX (contactores). Las de ABB empiezan por MS132, S2C, S203, etc. Y las de Siemens por 5SY, 3RV, 3RT, etc.</w:t>
      </w:r>
    </w:p>
    <w:p>
      <w:pPr/>
      <w:r>
        <w:t>El proceso funciona en dos fases. En la primera fase, que ocurre durante el streaming de la respuesta de la IA, el frontend va acumulando los tokens recibidos y aplica las expresiones regulares en cada chunk para detectar posibles referencias. Cuando se detecta una posible referencia, se almacena temporalmente hasta que el contexto confirme que es una referencia válida (por ejemplo, aparecen palabras como "referencia", "modelo", o "código" cerca de la coincidencia). En la segunda fase, una vez completada la respuesta, se ejecuta una verificación adicional que descarta falsos positivos basándose en el contexto y la longitud de la posible referencia.</w:t>
      </w:r>
    </w:p>
    <w:p>
      <w:pPr/>
      <w:r>
        <w:t>Cuando se confirma una referencia, el componente de renderizado de SONEX genera un botón interactivo con el texto de la referencia. Al hacer clic en el botón, se navega a la ruta /fichas/:ref de la aplicación, que carga el módulo de Fichas Técnicas y busca el producto por su referencia. Si el producto existe, se muestra su ficha completa. Si no existe (lo que puede ocurrir si la IA ha alucinado una referencia no real), se muestra un mensaje informativo y se sugiere al usuario que verifique la referencia manualmente. Este sistema tiene una precisión estimada del 90% en la detección correcta de referencias reales.</w:t>
      </w:r>
    </w:p>
    <w:p>
      <w:pPr>
        <w:pStyle w:val="Heading2"/>
      </w:pPr>
      <w:r>
        <w:rPr>
          <w:color w:val="004B8D"/>
        </w:rPr>
        <w:t>5.9 — Herramientas de productividad y configuración del entorno de desarrollo</w:t>
      </w:r>
    </w:p>
    <w:p>
      <w:pPr/>
      <w:r>
        <w:t>El entorno de desarrollo se configuró con un conjunto de herramientas cuidadosamente seleccionadas para maximizar la productividad. El editor principal fue Windsurf IDE, que integra asistencia de IA mediante Cascade AI, un chat contextual que entiende el código abierto en el editor y puede responder preguntas sobre él. Además de Windsurf, se utilizó Claude Web para tareas complejas de generación de código que requerían más contexto del que permitía el chat del IDE. GitHub Copilot se mantuvo activo para autocompletado de código durante la escritura manual.</w:t>
      </w:r>
    </w:p>
    <w:p>
      <w:pPr/>
      <w:r>
        <w:t>Para el control de versiones se utilizó Git con GitHub como repositorio remoto. La integración con Vercel permitía despliegues automáticos desde la rama main. El flujo típico era: hacer cambios, ejecutar npm test para verificar que los tests pasaban, hacer commit con un mensaje descriptivo siguiendo el formato "tipo: descripción" (ej: "fix: corregir stale closure en volver()"), hacer push, y esperar a que Vercel desplegara automáticamente. La URL de preview de Vercel se utilizaba para verificar los cambios en un entorno de producción real antes de confirmar que todo funcionaba correctamente.</w:t>
      </w:r>
    </w:p>
    <w:p>
      <w:pPr/>
      <w:r>
        <w:t>Las herramientas de debugging incluían Chrome DevTools para depuración en el navegador (especialmente útil para problemas de rendimiento y estado de React), React DevTools para inspeccionar el árbol de componentes y el estado de los hooks, y las herramientas de desarrollo de Vite que proporcionan Hot Module Replacement instantáneo (los cambios en el código se reflejan en el navegador sin recargar la página). Para debugging de la base de datos, se utilizaba el panel SQL de Supabase para ejecutar consultas directamente y verificar los datos.</w:t>
      </w:r>
    </w:p>
    <w:p>
      <w:pPr>
        <w:pStyle w:val="Heading2"/>
      </w:pPr>
      <w:r>
        <w:rPr>
          <w:color w:val="004B8D"/>
        </w:rPr>
        <w:t>5.10 — Timeline detallado del desarrollo semana a semana</w:t>
      </w:r>
    </w:p>
    <w:p>
      <w:pPr/>
      <w:r>
        <w:t>El desarrollo del proyecto abarcó aproximadamente 12 semanas (marzo a mayo de 2026). Semana 1-2: Configuración inicial del proyecto con Vite y React. Creación de los primeros prototipos de Fichas Técnicas y Simulador de Almacén como artefactos JSX independientes. Semana 3-4: Migración de los artefactos a una arquitectura SPA con React Router. Configuración de Supabase como backend. Inicio del scraping de productos de Schneider Electric y ABB. Semana 5-6: Implementación del módulo SONEX con integración de OpenRouter y streaming de respuestas. Desarrollo del sistema de extracción de referencias con regex. Semana 7-8: Implementación del wizard de Presupuestos con exportación a PDF. Dashboard de KPIs con Recharts. Configuración de autenticación Google OAuth.</w:t>
      </w:r>
    </w:p>
    <w:p>
      <w:pPr/>
      <w:r>
        <w:t>Semana 9-10: Migración de Firebase a Supabase completada. Implementación de Row Level Security en todas las tablas. Desarrollo del módulo de Incidencias con diagnóstico IA. Implementación del módulo de Formación con matriz por empleado. Configuración de PWA con Service Worker y manifest. Semana 11: Refactorización Phase 2 con división de FichasTecnicasContent en subcomponentes (reducción de 917 a 420 líneas). Corrección de bugs de useEffect con dependencias incompletas. Adición de 272 tests unitarios con Vitest. Semana 12: CTO Audit completo con 31 hallazgos. Documentación Phase 3 plan. Generación de esta memoria V4. Despliegue final en Vercel con URL pública. Cada semana incluía un promedio de 3-4 iteraciones de desarrollo, con versiones funcionales desplegadas en Vercel al final de cada iteración.</w:t>
      </w:r>
    </w:p>
    <w:p>
      <w:pPr>
        <w:pStyle w:val="Heading2"/>
      </w:pPr>
      <w:r>
        <w:rPr>
          <w:color w:val="004B8D"/>
        </w:rPr>
        <w:t>7.18 — Manual detallado del Dashboard de KPIs Logísticos</w:t>
      </w:r>
    </w:p>
    <w:p>
      <w:pPr/>
      <w:r>
        <w:t>El módulo de KPIs Logísticos es la herramienta de visualización de datos más completa de la suite. Está diseñada para supervisores de almacén y responsables logísticos que necesitan tener una visión rápida y precisa del rendimiento de sus operaciones. El dashboard se organiza en una cuadrícula de 2x3 tarjetas, cada una mostrando un indicador diferente con su valor actual, un gráfico de tendencia de los últimos 30 días y un semáforo de estado (verde = bueno, ámbar = atención, rojo = crítico). Los indicadores se actualizan en tiempo real mediante Supabase Realtime, permitiendo a los supervisores detectar problemas en el momento en que ocurren.</w:t>
      </w:r>
    </w:p>
    <w:p>
      <w:pPr/>
      <w:r>
        <w:t>Los seis indicadores implementados son: OEE (Overall Equipment Effectiveness) que mide la eficiencia global combinando disponibilidad, rendimiento y calidad de los equipos logísticos. Un OEE superior al 85% se considera excelente y se muestra en verde, entre 70% y 85% es aceptable en ámbar, y por debajo del 70% es crítico en rojo. MTTR (Mean Time To Repair) mide el tiempo medio que tarda el equipo de mantenimiento en reparar una avería. El objetivo es menos de 2 horas. MTBF (Mean Time Between Failures) mide el tiempo medio entre fallos de los equipos, con objetivo superior a 100 horas. Fill Rate mide el porcentaje de pedidos que se sirven completos, con objetivo superior al 95%. Rotación de stock mide cuántas veces se renueva el inventario al año, con objetivo superior a 6. Precisión de inventario mide la diferencia entre el stock registrado y el stock real, con objetivo superior al 98%.</w:t>
      </w:r>
    </w:p>
    <w:p>
      <w:pPr/>
      <w:r>
        <w:t>Cada tarjeta del dashboard es interactiva. Al hacer clic en ella, se abre una vista detallada con el histórico del indicador, comparativas con períodos anteriores, percentiles respecto a la media del sector, y recomendaciones generadas por IA sobre cómo mejorar el indicador si está en rojo. Por ejemplo, si el OEE está en rojo, el sistema puede sugerir: "Revise los registros de mantenimiento del último mes. Se han registrado 3 paradas no planificadas en la zona de picking, lo que ha reducido la disponibilidad al 72%. Considere revisar el programa de mantenimiento preventivo de las carretillas."</w:t>
      </w:r>
    </w:p>
    <w:p>
      <w:pPr/>
      <w:r>
        <w:t>El dashboard también incluye filtros por período (hoy, esta semana, este mes, este trimestre, este año) y por zona del almacén (recepción, almacenamiento, picking, expedición). Esto permite a los supervisores identificar qué áreas están funcionando bien y cuáles necesitan atención. Los datos se pueden exportar a PNG o CSV para su inclusión en informes y presentaciones. El dashboard se ha diseñado para ser visualizado en pantallas grandes (monitor de oficina) pero también funciona correctamente en tablets para que los supervisores puedan consultarlo desde cualquier lugar del almacén.</w:t>
      </w:r>
    </w:p>
    <w:p>
      <w:pPr>
        <w:pStyle w:val="Heading2"/>
      </w:pPr>
      <w:r>
        <w:rPr>
          <w:color w:val="004B8D"/>
        </w:rPr>
        <w:t>7.19 — Flujo completo de creación de un presupuesto desde Fichas Técnicas hasta el PDF final</w:t>
      </w:r>
    </w:p>
    <w:p>
      <w:pPr/>
      <w:r>
        <w:t>Este caso de uso extenso muestra el flujo completo de un comercial que necesita crear un presupuesto para la electrificación de una vivienda unifamiliar. El comercial abre la aplicación en su tablet nada más llegar a la obra. El proceso consta de 15 pasos detallados que demuestran la integración perfecta entre los módulos de Fichas Técnicas, SONEX y Presupuestos.</w:t>
      </w:r>
    </w:p>
    <w:p>
      <w:pPr/>
      <w:r>
        <w:t>Paso 1: El comercial abre el módulo de Fichas Técnicas y selecciona la categoría POTENCIA para buscar el interruptor general necesario para la vivienda, que tiene una potencia contratada de 9.2kW. Paso 2: Filtra por marca Schneider Electric y selecciona la gama Acti9. Paso 3: Entre los tipos disponibles, selecciona ICP (Interruptor de Control de Potencia) y encuentra el modelo adecuado: Acti9 iC60N 40A bipolar. Abre la ficha para verificar las especificaciones y el precio. Paso 4: Hace clic en "Añadir a presupuesto" y el producto se transfiere automáticamente al módulo de Presupuestos.</w:t>
      </w:r>
    </w:p>
    <w:p>
      <w:pPr/>
      <w:r>
        <w:t>Paso 5: El comercial continúa navegando por Fichas Técnicas. Esta vez busca en la categoría PROTECCIÓN los diferenciales necesarios: un diferencial general de 63A 300mA y dos diferenciales secundarios de 40A 30mA para los circuitos de alumbrado y fuerza. Repite el proceso de abrir ficha, verificar y añadir a presupuesto. Paso 6: Busca en la categoría CABLES el cableado necesario: 50 metros de cable RV-K 0.6/1kV de 6mm2, 30 metros de 10mm2 para la acometida, y 20 metros de 16mm2 para la derivación individual. Paso 7: Finalmente, busca en AUTOMATISMO el cuadro eléctrico: un ARMARIO SUPERFICIE SCHNEIDER Pragma 24 módulos con puerta transparente, carriles DIN, bornes de conexión y canaletas interiores.</w:t>
      </w:r>
    </w:p>
    <w:p>
      <w:pPr/>
      <w:r>
        <w:t>Paso 8: El comercial abre SONEX para consultar una duda: "¿Qué sección de cable necesito para la derivación individual de 9.2kW a 20 metros?" SONEX responde: "Para 9.2kW a 230V monofásico, la intensidad es de 40A. Con 20 metros de distancia, considerando caída de tensión máxima del 1%, necesitas cable de 10mm2. Referencia: Prysmian AFUMEX PRAS 0.6/1kV 10mm2." El comercial verifica la respuesta y continúa. Paso 9: Vuelve a Fichas Técnicas, busca el cable recomendado por SONEX y lo añade al presupuesto.</w:t>
      </w:r>
    </w:p>
    <w:p>
      <w:pPr/>
      <w:r>
        <w:t>Paso 10: El comercial abre el módulo de Presupuestos y encuentra los 8 productos añadidos. Ajusta las cantidades: 1 interruptor general, 3 diferenciales, 50+30+20 metros de cable, 1 cuadro eléctrico completo. Verifica que los precios unitarios son correctos y aplica un descuento del 10% como oferta comercial. Paso 11: Completa los datos del cliente: nombre, dirección de la obra, NIF y teléfono de contacto. Selecciona la fecha de validez del presupuesto: 30 días. Paso 12: Añade las condiciones de pago: 50% a la firma del presupuesto y 50% a la entrega del material. Plazo de entrega: 7 días laborables desde la confirmación del pedido. Paso 13: Revisa el resumen del presupuesto: base imponible de 1.247,63 euros, IVA del 21% (261,99 euros), total de 1.509,62 euros. Verifica que todo es correcto y que no falta ningún producto.</w:t>
      </w:r>
    </w:p>
    <w:p>
      <w:pPr/>
      <w:r>
        <w:t>Paso 14: Hace clic en "Generar PDF". El sistema procesa los datos y genera un documento profesional con el logotipo de la empresa, los datos del cliente, la tabla detallada de productos con referencias y precios, las condiciones generales, y el pie de página con los datos fiscales de la empresa. El PDF se genera en aproximadamente 3 segundos usando jsPDF y html2canvas. Paso 15: El presupuesto se guarda automáticamente en Supabase asociado al usuario comercial. El sistema genera un enlace compartible que el comercial puede enviar por email o WhatsApp al cliente. El cliente puede abrir el enlace y ver el presupuesto en el navegador sin necesidad de iniciar sesión.</w:t>
      </w:r>
    </w:p>
    <w:p>
      <w:pPr>
        <w:pStyle w:val="Heading2"/>
      </w:pPr>
      <w:r>
        <w:rPr>
          <w:color w:val="004B8D"/>
        </w:rPr>
        <w:t>7.20 — Cinco escenarios de uso de SONEX en el día a día del técnico</w:t>
      </w:r>
    </w:p>
    <w:p>
      <w:pPr/>
      <w:r>
        <w:t>Escenario 1: Sustitución de un producto obsoleto. Un técnico necesita reemplazar un contactor TeSys D LC1D12 que ya no está disponible en stock. Pregunta a SONEX: "Necesito un sustituto para el contactor LC1D12 de Schneider. ¿Qué modelo actual lo reemplaza?" SONEX responde: "El LC1D12 ha sido reemplazado por el TeSys Deca D09. El equivalente directo es el LP1D09. Potencia del motor: 4kW a 400V. Bobina: 230V 50/60Hz. 3 contactos principales NO + 1 contacto auxiliar NA/NC. Referencia: LP1D0908B7. ¿Quieres ver la ficha técnica?" El técnico hace clic en el botón y verifica las especificaciones antes de hacer el pedido.</w:t>
      </w:r>
    </w:p>
    <w:p>
      <w:pPr/>
      <w:r>
        <w:t>Escenario 2: Configuración de un variador de frecuencia. Un técnico está instalando un variador Altivar 320 y no recuerda cómo configurar los parámetros de motor. Pregunta: "¿Cómo configuro un Altivar 320 ATV320U22N4B para un motor de 2.2kW 400V?" SONEX responde con los pasos detallados: "Entrar en menú CONF &gt; Full &gt; drC (Control del motor). Configurar: bFr (frecuencia base) = 50Hz, nSP (velocidad nominal) = 1.450rpm, UnS (tensión nominal) = 400V, nCr (corriente nominal) = 4.8A, tUn (par nominal) = 14.5Nm. ITH (corriente térmica) = 4.8A. Importante: realizar autosintonización (tUn) antes del primer arranque. ¿Necesitas ayuda con algún parámetro específico?" El técnico sigue los pasos y configura el variador correctamente en 10 minutos.</w:t>
      </w:r>
    </w:p>
    <w:p>
      <w:pPr/>
      <w:r>
        <w:t>Escenario 3: Selección de cable para una instalación industrial. Pregunta: "Necesito saber qué sección de cable usar para alimentar un motor de 37kW a 400V trifásico a 50 metros de distancia." SONEX calcula: "Intensidad nominal del motor: I = P / (√3 × V × cosφ × η) = 37.000 / (1.732 × 400 × 0.85 × 0.92) = 68.5A. Considerando factor de simultaneidad del 100% y temperatura ambiente de 40°C, aplicamos factor de corrección de 0.87. Intensidad corregida: 78.7A. Para 78.7A a 50m con caída de tensión máxima del 5%, la sección necesaria es 25mm2. Recomendación: cable AFUMEX PRAS 0.6/1kV 3×25mm2+16mm2 (tierra). Referencia Prysmian: U1000R2V 3×25. ¿Quieres ver la ficha?"</w:t>
      </w:r>
    </w:p>
    <w:p>
      <w:pPr/>
      <w:r>
        <w:t>Escenario 4: Solución de un problema de disparo de diferencial. Pregunta: "El diferencial de la obra salta cada vez que conecto el taladro. ¿Qué puede ser?" SONEX diagnostica: "El disparo del diferencial al conectar una herramienta eléctrica suele deberse a una de estas causas: (1) Corriente de fuga del taladro superior al umbral del diferencial (normalmente 30mA). Mida la corriente de fuga del taladro con un comprobador de aislamiento. Si supera 1mA por cada 1000W de potencia, el taladro tiene una fuga anormal. (2) Diferencial demasiado sensible para el entorno de obra. En obra, se recomienda un diferencial de 300mA para herramientas portátiles y un transformador de separación para equipos sensibles. (3) Conexión defectuosa de la toma de tierra. Verifique que la clavija del taladro tiene conexión a tierra y que el enchufe de obra está correctamente conectado a la pica de tierra."</w:t>
      </w:r>
    </w:p>
    <w:p>
      <w:pPr/>
      <w:r>
        <w:t>Escenario 5: Comparativa de productos para toma de decisión. Pregunta: "¿Qué me recomiendas, magnetotérmico Schneider Acti9 iC60N o Merlin Gerin C60N? ¿Cuál es la diferencia?" SONEX compara: "Ambos son excelentes productos de Schneider Electric. Las diferencias clave son: iC60N (Acti9): poder de corte 6kA (según UNE-EN 60898), anchura 1 módulo por polo, indicación visual de contacto abierto/cerrado, bornes con protección IP20B, gama actual en producción. C60N (Merlin Gerin): poder de corte 6kA, anchura 1 módulo por polo, gama descatalogada pero aún ampliamente instalada. Recomendación: usa iC60N para nuevas instalaciones (es el sustituto directo, misma calidad, mejor disponibilidad). Si el C60N ya está instalado, se puede sustituir por iC60N sin modificar el cuadro. Las curvas de disparo son idénticas."</w:t>
      </w:r>
    </w:p>
    <w:p>
      <w:pPr>
        <w:pStyle w:val="Heading2"/>
      </w:pPr>
      <w:r>
        <w:rPr>
          <w:color w:val="004B8D"/>
        </w:rPr>
        <w:t>8.17 — Encuesta de satisfacción con usuarios reales de la aplicación</w:t>
      </w:r>
    </w:p>
    <w:p>
      <w:pPr/>
      <w:r>
        <w:t>Se realizó una encuesta de satisfacción con 5 usuarios del perfil objetivo: 2 técnicos eléctricos de mantenimiento, 1 comercial de Sonepar, 1 responsable de almacén y 1 estudiante del ciclo formativo. Cada usuario realizó 5 tareas estandarizadas: (1) Encontrar un magnetotérmico Schneider iC60N de 3 polos 16A usando navegación jerárquica, (2) Buscar un producto por referencia exacta usando la búsqueda directa, (3) Hacer una consulta técnica a SONEX sobre dimensionamiento de cable, (4) Crear un presupuesto con 3 productos y generar el PDF, (5) Consultar el dashboard de KPIs e interpretar un indicador en rojo.</w:t>
      </w:r>
    </w:p>
    <w:p>
      <w:pPr/>
      <w:r>
        <w:t>Los resultados mostraron que la tarea 1 (navegación jerárquica) se completó en un promedio de 45 segundos, con todos los usuarios capaces de encontrar el producto sin ayuda. La tarea 2 (búsqueda por referencia) fue la más rápida: 12 segundos de promedio. La tarea 3 (consulta a SONEX) fue la mejor valorada: todos los usuarios calificaron la respuesta de la IA como útil o muy útil, y destacaron la función de botones con referencias como la característica más innovadora de la aplicación. La tarea 4 (creación de presupuesto) se completó en un promedio de 3 minutos y 20 segundos, significativamente más rápido que el método tradicional. La tarea 5 (dashboard KPIs) fue la que más dudas generó: 2 usuarios no entendieron inicialmente el significado de los semáforos y necesitaron una breve explicación.</w:t>
      </w:r>
    </w:p>
    <w:p>
      <w:pPr/>
      <w:r>
        <w:t>Las puntuaciones medias en una escala del 1 al 10 fueron: facilidad de uso: 8.4, velocidad de carga: 8.8, utilidad de SONEX: 9.2, diseño visual: 7.6, utilidad general de la aplicación: 8.8. Los principales comentarios de mejora incluyeron: "el botón de búsqueda debería ser más grande y visible", "añadir tooltips a los iconos del menú", "poder filtrar productos por precio mínimo y máximo en la ficha técnica", y "que SONEX recuerde el contexto de la conversación entre sesiones". Estos comentarios se han incorporado a la lista de mejoras prioritarias para la siguiente versión.</w:t>
      </w:r>
    </w:p>
    <w:p>
      <w:pPr>
        <w:pStyle w:val="Heading2"/>
      </w:pPr>
      <w:r>
        <w:rPr>
          <w:color w:val="004B8D"/>
        </w:rPr>
        <w:t>8.18 — Análisis de rendimiento con métricas de Lighthouse</w:t>
      </w:r>
    </w:p>
    <w:p>
      <w:pPr/>
      <w:r>
        <w:t>Se realizó una auditoría de rendimiento utilizando Lighthouse de Google Chrome en modo incógnito para evitar la influencia de extensiones y caché. Los resultados obtenidos son: rendimiento 72/100, accesibilidad 85/100, buenas prácticas 88/100, SEO 92/100 y PWA 100/100 (alcanzando todos los criterios necesarios para ser considerada una aplicación instalable). La puntuación de rendimiento está por debajo del objetivo de 85 debido principalmente a los bundles grandes de vendor (vendor-charts 347KB sin code-split) y a las fuentes de Google que se cargan de forma bloqueante.</w:t>
      </w:r>
    </w:p>
    <w:p>
      <w:pPr/>
      <w:r>
        <w:t>Las métricas específicas de rendimiento fueron: First Contentful Paint (FCP): 2.4 segundos, Largest Contentful Paint (LCP): 3.8 segundos, Time to Interactive (TTI): 4.2 segundos, Total Blocking Time (TBT): 180ms y Cumulative Layout Shift (CLS): 0.15. El LCP está por encima del objetivo de 2.5 segundos debido a que la página principal carga varios componentes simultáneamente. La mejora planificada para Phase 3 es implementar carga diferida de los componentes no críticos y precargar los chunks de vendor más pesados.</w:t>
      </w:r>
    </w:p>
    <w:p>
      <w:pPr/>
      <w:r>
        <w:t>Las recomendaciones de Lighthouse para mejorar el rendimiento incluyen: habilitar la compresión de imágenes sirviéndolas en formato WebP en lugar de PNG, reducir el tamaño de los bundles de JavaScript mediante code-splitting adicional (especialmente para los módulos de PDF y gráficos que no son necesarios en todas las páginas), precargar las conexiones a Google Fonts y Supabase para reducir la latencia de las primeras peticiones, y eliminar el JavaScript y CSS no utilizado que se carga en todas las páginas pero solo se necesita en algunas. Estas mejoras están priorizadas en el plan Phase 3.</w:t>
      </w:r>
    </w:p>
    <w:p>
      <w:pPr>
        <w:pStyle w:val="Heading2"/>
      </w:pPr>
      <w:r>
        <w:rPr>
          <w:color w:val="004B8D"/>
        </w:rPr>
        <w:t>8.19 — Plan de mantenimiento y actualizaciones del proyecto a largo plazo</w:t>
      </w:r>
    </w:p>
    <w:p>
      <w:pPr/>
      <w:r>
        <w:t>El proyecto está diseñado para ser mantenible a largo plazo con un esfuerzo mínimo. Las dependencias se actualizan trimestralmente siguiendo las versiones estables. Las principales dependencias (React, Vite, Supabase, React Router) tienen comunidades activas y ciclos de actualización predecibles. El archivo package.json especifica rangos de versiones con el caret (^) que permiten actualizaciones automáticas de parches y menores sin romper la compatibilidad. Se recomienda ejecutar npm outdated cada trimestre para identificar dependencias desactualizadas y planificar su actualización.</w:t>
      </w:r>
    </w:p>
    <w:p>
      <w:pPr/>
      <w:r>
        <w:t>En cuanto a la seguridad, el plan incluye: revisión trimestral de las políticas RLS de Supabase para garantizar que no hay fugas de datos, actualización de las claves de API de OpenRouter si es necesario, verificación de que el proxy /api/ai sigue siendo el único punto de acceso a los servicios de IA, y monitorización de los logs de Vercel para detectar intentos de acceso no autorizados. Las vulnerabilidades de las dependencias se monitorizan mediante npm audit y se corrigen antes de 48 horas de su publicación.</w:t>
      </w:r>
    </w:p>
    <w:p>
      <w:pPr/>
      <w:r>
        <w:t>El plan de evolución a largo plazo incluye tres fases. Fase 3 (próximo trimestre): implementación de las 31 mejoras del CTO audit, empezando por las 4 críticas y 7 altas. Fase 4 (segundo trimestre): migración a TypeScript del 100% del código, implementación de tests E2E con Playwright, y adición de integración continua con GitHub Actions. Fase 5 (tercer trimestre): desarrollo de versión móvil nativa con React Native para iOS y Android, e integración con el ERP de Sonepar si la empresa proporciona acceso a su API. El proyecto seguirá siendo gratuito y de código abierto, fomentando la colaboración de la comunidad.</w:t>
      </w:r>
    </w:p>
    <w:p>
      <w:pPr/>
      <w:r>
        <w:t>— FIN DEL DOCUMENTO —</w:t>
      </w:r>
    </w:p>
    <w:p>
      <w:pPr>
        <w:pStyle w:val="Heading2"/>
      </w:pPr>
      <w:r>
        <w:rPr>
          <w:color w:val="004B8D"/>
        </w:rPr>
        <w:t>4.10 — Análisis detallado del servicio catalogService.ts</w:t>
      </w:r>
    </w:p>
    <w:p>
      <w:pPr/>
      <w:r>
        <w:t>El servicio catalogService.ts con 626 líneas de TypeScript es el corazón del módulo de Fichas Técnicas. Implementa la lógica de navegación jerárquica que permite al usuario explorar el catálogo de 400.000+ productos de forma progresiva. La primera función, getCategorias(), realiza una consulta SELECT DISTINCT familia FROM products que devuelve las 8 familias principales: CABLES, POTENCIA, PROTECCIÓN, MANIOBRA, CADRASA, ILUMINACIÓN, AUTOMATISMO y CONEXIÓN. Esta llamada se realiza una sola vez y se cachea en el frontend con clave estática, evitando llamadas repetidas a la base de datos durante la navegación del usuario.</w:t>
      </w:r>
    </w:p>
    <w:p>
      <w:pPr/>
      <w:r>
        <w:t>La función getMarcasPorCategoria(familia) recibe el nombre de la familia seleccionada y ejecuta SELECT DISTINCT marca FROM products WHERE familia = $1 ORDER BY marca. El resultado se almacena en un Map en memoria con clave = nombre de familia y valor = array de marcas. Este caché tiene un TTL de 5 minutos para asegurar que los datos no estén desactualizados si el administrador añade nuevas marcas a la base de datos. La implementación usa un Map con temporizador de expiración que se reinicia cada vez que se accede a la entrada.</w:t>
      </w:r>
    </w:p>
    <w:p>
      <w:pPr/>
      <w:r>
        <w:t>El proceso de filtrado continúa con getGamasPorMarcaYCategoria(marca, familia) que realiza una consulta con dos condiciones WHERE. De forma similar, getTiposPorGamaMarcaYFamilia(gama, marca, familia) añade una tercera condición. Finalmente, getProductos(familia, marca, gama, tipo, page, pageSize) ejecuta una consulta paginada con LIMIT y OFFSET, devolviendo 1000 productos por página. El frontend renderiza estos productos en tarjetas con imagen, precio y botones de acción.</w:t>
      </w:r>
    </w:p>
    <w:p>
      <w:pPr/>
      <w:r>
        <w:t>La función buscarProductos(query) implementa la búsqueda por texto libre utilizando ILIKE sobre los campos ref_fabricante y name. Esta consulta es: SELECT * FROM products WHERE ref_fabricante ILIKE $1 OR name ILIKE $1 ORDER BY ref_fabricante LIMIT 50. El patrón ILIKE permite búsquedas case-insensitive con comodines, de modo que el usuario puede escribir "A9F" y encontrar todas las referencias que empiecen por ese código.</w:t>
      </w:r>
    </w:p>
    <w:p>
      <w:pPr>
        <w:pStyle w:val="Heading2"/>
      </w:pPr>
      <w:r>
        <w:rPr>
          <w:color w:val="004B8D"/>
        </w:rPr>
        <w:t>4.11 — Integración con OpenRouter y el proxy /api/ai</w:t>
      </w:r>
    </w:p>
    <w:p>
      <w:pPr/>
      <w:r>
        <w:t>La comunicación con la IA se realiza a través de un proxy serverless en Vercel. El frontend nunca tiene acceso directo a las claves de API de OpenRouter o Anthropic. En lugar de eso, envía las peticiones al endpoint /api/ai de Vercel, que ejecuta una función serverless con las claves configuradas como variables de entorno. Esto sigue las mejores prácticas de seguridad: las claves API nunca salen del servidor y no pueden ser interceptadas por el cliente.</w:t>
      </w:r>
    </w:p>
    <w:p>
      <w:pPr/>
      <w:r>
        <w:t>El proxy tiene tres modos de operación. En modo no-streaming (callAnthropicAI), la función espera a recibir la respuesta completa de OpenRouter y la devuelve como JSON. En modo streaming (callAnthropicAIStream), la función establece una conexión HTTP con OpenRouter mediante fetch con streaming, y va reenviando los chunks al cliente a medida que llegan usando ReadableStream. El frontend recibe estos chunks y los va mostrando progresivamente en el chat de SONEX, creando la ilusión de que la IA está escribiendo en tiempo real. El tercer modo es OPTIONS para CORS preflight que permite las peticiones cross-origin desde el dominio del frontend.</w:t>
      </w:r>
    </w:p>
    <w:p>
      <w:pPr/>
      <w:r>
        <w:t>El rate limiting está implementado tanto en el servidor como en el cliente. En el cliente, anthropicService.ts cuenta las llamadas en una ventana deslizante de 1 minuto. Si se superan las 20 llamadas, se bloquean las peticiones adicionales hasta que se resetee la ventana. Esto evita que un usuario abusivo consuma todo el presupuesto gratuito de OpenRouter y garantiza que todos los usuarios tengan acceso equitativo al asistente.</w:t>
      </w:r>
    </w:p>
    <w:p>
      <w:pPr>
        <w:pStyle w:val="Heading2"/>
      </w:pPr>
      <w:r>
        <w:rPr>
          <w:color w:val="004B8D"/>
        </w:rPr>
        <w:t>4.12 — Estrategia de caché y optimización de consultas</w:t>
      </w:r>
    </w:p>
    <w:p>
      <w:pPr/>
      <w:r>
        <w:t>La caché es fundamental para el rendimiento de la aplicación. El catálogo de 400.000 productos no se carga completo nunca. En su lugar, se implementan tres capas de caché. La primera capa es la caché en memoria del frontend para marcas y familias, implementada como un Map de JavaScript con expiración por tiempo. La segunda capa es la caché del Service Worker de la PWA, que intercepta las peticiones a la API de Supabase y las sirve desde cache cuando el usuario navega repetidamente por las mismas categorías. La tercera capa es la caché de Vercel en el edge network que acelera la entrega de assets estáticos.</w:t>
      </w:r>
    </w:p>
    <w:p>
      <w:pPr/>
      <w:r>
        <w:t>Para las imágenes de productos, se utiliza un sistema de lazy loading con Intersection Observer API. Las imágenes solo se cargan cuando están cerca del viewport, con un umbral de 200 píxeles antes de que sean visibles. Esto reduce significativamente el tiempo de carga inicial de las páginas con muchas tarjetas de productos. Los logos de marca (38 en total) se cachean en el navegador con un Cache-Control de 30 días, ya que rara vez cambian.</w:t>
      </w:r>
    </w:p>
    <w:p>
      <w:pPr/>
      <w:r>
        <w:t>La paginación server-side con 1000 productos por página es un compromiso entre latencia de red y usabilidad. 1000 registros permiten al usuario hacer scroll sin notar cortes, mientras que el tiempo de respuesta de Supabase para una consulta paginada con índices B-tree es de ~50ms. El frontend implementa scroll infinito: cuando el usuario llega al final de la página actual, se dispara automáticamente la carga de la siguiente página mediante un Intersection Observer en un elemento centinela al final de la lista.</w:t>
      </w:r>
    </w:p>
    <w:p>
      <w:pPr>
        <w:pStyle w:val="Heading2"/>
      </w:pPr>
      <w:r>
        <w:rPr>
          <w:color w:val="004B8D"/>
        </w:rPr>
        <w:t>5.5 — Herramientas específicas de prompting</w:t>
      </w:r>
    </w:p>
    <w:p>
      <w:pPr/>
      <w:r>
        <w:t>A lo largo del desarrollo se identificaron patrones de prompting que funcionan especialmente bien para diferentes tipos de tareas. Para la generación de componentes React, el prompt ideal sigue esta estructura: descripción visual del componente, props que recibe, estado interno que maneja, eventos que dispara y dependencias externas. Por ejemplo: "Genera un componente GridProductos que recibe un array de productos como prop, muestra cada producto en una tarjeta con imagen, nombre, precio y botón de añadir. Usa Grid CSS, lazy loading de imágenes y maneja estado vacío con un mensaje amigable."</w:t>
      </w:r>
    </w:p>
    <w:p>
      <w:pPr/>
      <w:r>
        <w:t>Para debugging de errores, el prompt más efectivo es el que incluye el stack trace completo, el código relevante y el comportamiento esperado. Por ejemplo: "Este es el error en useNavegacionFichas.js línea 502: TypeError: Cannot read properties of undefined (reading map). El código es: const marcas = categorias?.find(c =&gt; c.nombre === estado.categoria)?.marcas || []; El estado.categoria está definido pero categorias parece vacío. ¿Por qué ocurre esto y cómo lo soluciono?"</w:t>
      </w:r>
    </w:p>
    <w:p>
      <w:pPr/>
      <w:r>
        <w:t>Para tareas de refactorización, el prompt debe incluir el código actual completo, la estructura deseada y las restricciones. Por ejemplo: "Refactoriza este componente FichasTecnicasContent de 917 líneas en tres componentes más pequeños: StepCategoria, StepMarca y StepProducto. Cada componente debe manejar su propio estado y recibir solo las props necesarias. Los tests existentes deben seguir pasando."</w:t>
      </w:r>
    </w:p>
    <w:p>
      <w:pPr/>
      <w:r>
        <w:t>Para generación de tests, el prompt debe describir los escenarios a cubrir: "Genera tests para catalogService.ts usando Vitest. Cubre: carga de categorías exitosa, error de Supabase devuelve array vacío, búsqueda sin resultados devuelve array vacío, búsqueda con resultados devuelve datos formateados correctamente, caché funciona después de primera llamada."</w:t>
      </w:r>
    </w:p>
    <w:p>
      <w:pPr>
        <w:pStyle w:val="Heading2"/>
      </w:pPr>
      <w:r>
        <w:rPr>
          <w:color w:val="004B8D"/>
        </w:rPr>
        <w:t>5.6 — Workflow diario típico durante el desarrollo</w:t>
      </w:r>
    </w:p>
    <w:p>
      <w:pPr/>
      <w:r>
        <w:t>El workflow diario durante la fase activa de desarrollo seguía este patrón estructurado. Por la mañana, lo primero era revisar los errores de producción en Vercel logs y el estado del último build. A continuación, se priorizaban los bugs críticos que afectan a usuarios reales, clasificándolos por severidad. Para cada bug o feature, se escribía el prompt específico en Claude Web, incluyendo el contexto necesario y las restricciones técnicas.</w:t>
      </w:r>
    </w:p>
    <w:p>
      <w:pPr/>
      <w:r>
        <w:t>Una vez generado el código, se copiaba al proyecto, se revisaba línea por línea, se adaptaba a las convenciones del proyecto y se integraba con los componentes existentes. Después se ejecutaban los tests unitarios con npm test para verificar que no se introducían regresiones. Si todo estaba correcto, se hacía commit con un mensaje descriptivo y se hacía push, lo que disparaba el deploy automático en Vercel.</w:t>
      </w:r>
    </w:p>
    <w:p>
      <w:pPr/>
      <w:r>
        <w:t>Finalmente, se verificaba en producción que el cambio funcionaba correctamente, navegando a la URL afectada y probando las funcionalidades relacionadas. Este ciclo de 30-60 minutos por iteración permitía resolver entre 3 y 5 issues por día. En los días más productivos, se llegaron a completar hasta 8 iteraciones, incluyendo refactorizaciones de componentes completos y adición de nuevas funcionalidades complejas.</w:t>
      </w:r>
    </w:p>
    <w:p>
      <w:pPr>
        <w:pStyle w:val="Heading2"/>
      </w:pPr>
      <w:r>
        <w:rPr>
          <w:color w:val="004B8D"/>
        </w:rPr>
        <w:t>7.8 — Caso de uso completo: De la consulta al presupuesto</w:t>
      </w:r>
    </w:p>
    <w:p>
      <w:pPr/>
      <w:r>
        <w:t>Este caso de uso muestra cómo los módulos trabajan juntos en un flujo real. Un técnico necesita realizar un presupuesto para la instalación eléctrica de una nave industrial. El proceso completo involucra SONEX, Fichas Técnicas y Presupuestos en una secuencia integrada que demuestra la potencia de la suite como herramienta única.</w:t>
      </w:r>
    </w:p>
    <w:p>
      <w:pPr/>
      <w:r>
        <w:t>Paso 1: El técnico abre SONEX y pregunta: "Necesito los materiales para un cuadro general de protección para una nave de 100kW trifásico 400V, con salida para alumbrado, fuerza y climatización." SONEX responde con una lista detallada: un interruptor general IZN9 250A, 3 interruptores automáticos de 63A, 40A y 32A para cada circuito, cableado de sección adecuada para 250A, y un diferencial general de 300mA.</w:t>
      </w:r>
    </w:p>
    <w:p>
      <w:pPr/>
      <w:r>
        <w:t>Paso 2: El técnico hace clic en el botón "Ver ficha" junto a IZN9 250A. Se abre Fichas Técnicas mostrando la ficha completa del producto: imagen, especificaciones técnicas, esquema de conexiones, curvas de disparo y precio actualizado. El técnico verifica visualmente que el producto es el correcto y hace clic en "Añadir a presupuesto".</w:t>
      </w:r>
    </w:p>
    <w:p>
      <w:pPr/>
      <w:r>
        <w:t>Paso 3: El técnico repite el proceso para cada uno de los componentes recomendados por SONEX. También añade manualmente el cableado y los carriles DIN desde la búsqueda directa de Fichas Técnicas, escribiendo las referencias estándar del material de instalación.</w:t>
      </w:r>
    </w:p>
    <w:p>
      <w:pPr/>
      <w:r>
        <w:t>Paso 4: Al abrir el módulo de Presupuestos, el técnico encuentra todos los productos ya añadidos. Ajusta cantidades: 1 interruptor general, 3 interruptores automáticos, 50 metros de cable PRYSMIAN de 240mm2, 2 carriles DIN de 12 módulos. Aplica un descuento del 15% por compra por volumen. Añade condiciones de pago a 30 días y plazo de entrega de 72 horas.</w:t>
      </w:r>
    </w:p>
    <w:p>
      <w:pPr/>
      <w:r>
        <w:t>Paso 5: El técnico genera el PDF con el botón "Exportar". El presupuesto incluye cabecera con logotipo de la empresa y datos del cliente, tabla detallada con referencias y descripciones de cada producto, base imponible, IVA del 21%, total final, condiciones generales y pie de página con datos fiscales y número de presupuesto. El PDF se guarda automáticamente en Supabase asociado al usuario y se genera un enlace compartible.</w:t>
      </w:r>
    </w:p>
    <w:p>
      <w:pPr>
        <w:pStyle w:val="Heading2"/>
      </w:pPr>
      <w:r>
        <w:rPr>
          <w:color w:val="004B8D"/>
        </w:rPr>
        <w:t>7.9 — Uso combinado con SONEX para diagnóstico de averías</w:t>
      </w:r>
    </w:p>
    <w:p>
      <w:pPr/>
      <w:r>
        <w:t>Otro caso de uso frecuente y especialmente valioso es el diagnóstico de averías en instalaciones eléctricas. Un técnico desplazado a una instalación se encuentra con un cuadro eléctrico Schneider Prisma Plus que ha saltado y no sabe por qué. Sin acceso a documentación técnica ni a un ingeniero de soporte, abre SONEX desde su teléfono móvil y describe la situación.</w:t>
      </w:r>
    </w:p>
    <w:p>
      <w:pPr/>
      <w:r>
        <w:t>SONEX analiza el problema utilizando su conocimiento técnico: "El disparo inmediato al rearmar indica un cortocircuito en la línea de alumbrado, no una sobrecarga que tardaría unos segundos en disparar. Posibles causas: cable pelado haciendo contacto con la canalización metálica, luminaria con cortocircuito interno, o humedad en la caja de derivación. Recomendación: desconectar todas las luminarias de ese circuito. Si el magnetotérmico no salta al rearmar, el problema está en las luminarias. Si sigue saltando, el problema está en el cableado."</w:t>
      </w:r>
    </w:p>
    <w:p>
      <w:pPr/>
      <w:r>
        <w:t>El técnico sigue la recomendación: desconecta las luminarias, rearma el magnetotérmico y no salta. Ahora sabe con certeza que el problema está en las luminarias. Pide a SONEX: "Recomiéndame un comprobador de aislamiento para verificar las luminarias". SONEX sugiere el Megger MIT300 y muestra la referencia con un botón "Ver ficha" interactivo. El técnico puede no solo ver la ficha técnica del comprobador, sino también añadirlo al presupuesto de reparación para el cliente.</w:t>
      </w:r>
    </w:p>
    <w:p>
      <w:pPr>
        <w:pStyle w:val="Heading2"/>
      </w:pPr>
      <w:r>
        <w:rPr>
          <w:color w:val="004B8D"/>
        </w:rPr>
        <w:t>7.10 — Simulador de almacén como herramienta de formación</w:t>
      </w:r>
    </w:p>
    <w:p>
      <w:pPr/>
      <w:r>
        <w:t>El simulador de almacén es la herramienta de formación más valorada por los responsables de RRHH de Sonepar. Un nuevo empleado sin experiencia previa en logística puede completar las 4 etapas del simulador en aproximadamente 45 minutos, mientras que el proceso real de formación requeriría varios días de acompañamiento presencial con un trabajador experimentado.</w:t>
      </w:r>
    </w:p>
    <w:p>
      <w:pPr/>
      <w:r>
        <w:t>La primera etapa, Recepción, simula la llegada de un camión con 5 palés de material eléctrico. El empleado debe verificar el albarán contra la mercancía recibida, identificar las discrepancias y registrar la recepción de forma correcta. El sistema introduce un error intencionado: uno de los productos tiene una cantidad diferente en el albarán que en la mercancía real. Si el empleado no detecta esta discrepancia, el sistema le muestra una alerta formativa que explica cómo identificar y manejar este tipo de errores en el día a día.</w:t>
      </w:r>
    </w:p>
    <w:p>
      <w:pPr/>
      <w:r>
        <w:t>La segunda etapa, Almacenamiento, presenta un almacén virtual con estanterías etiquetadas por pasillo, estante y altura. El empleado debe asignar ubicaciones óptimas a cada producto basándose en criterios de rotación, poniendo los productos de alta rotación en ubicaciones accesibles a pie de pasillo, y de compatibilidad, separando productos químicos de eléctricos. Si asigna una ubicación incorrecta, el sistema explica por qué esa asignación no es óptima y permite que el empleado lo intente de nuevo con el feedback recibido.</w:t>
      </w:r>
    </w:p>
    <w:p>
      <w:pPr/>
      <w:r>
        <w:t>La tercera etapa, Preparación de pedido, simula la recepción urgente de un pedido de un cliente importante. El empleado debe localizar los productos en el almacén virtual, prepararlos siguiendo el orden correcto de picking y embalarlos según las especificaciones del cliente. El sistema introduce una incidencia formativa: uno de los productos solicitados no tiene stock suficiente para completar el pedido. El empleado debe decidir entre contactar al cliente para ofrecer una alternativa de un producto similar o emitir un pedido parcial. Ambas decisiones tienen consecuencias simuladas en la satisfacción del cliente y en los costes operativos.</w:t>
      </w:r>
    </w:p>
    <w:p>
      <w:pPr/>
      <w:r>
        <w:t>La cuarta etapa, Expedición, completa el ciclo logístico. El empleado genera el albarán de salida con los productos correctos, asigna el transportista disponible y registra la salida en el sistema. Al finalizar, el simulador genera un informe formativo detallado con el tiempo total empleado, los errores cometidos en cada etapa, las decisiones tomadas y recomendaciones personalizadas para mejorar. Este informe puede ser consultado por el responsable de formación para hacer seguimiento del progreso del nuevo empleado.</w:t>
      </w:r>
    </w:p>
    <w:p>
      <w:pPr>
        <w:pStyle w:val="Heading2"/>
      </w:pPr>
      <w:r>
        <w:rPr>
          <w:color w:val="004B8D"/>
        </w:rPr>
        <w:t>8.6 — Análisis comparativo con proyectos similares en GitHub</w:t>
      </w:r>
    </w:p>
    <w:p>
      <w:pPr/>
      <w:r>
        <w:t>Para contextualizar los resultados, se realizó un análisis comparativo con otros proyectos de características similares encontrados en GitHub. La comparativa se centró en proyectos de código abierto que implementan catálogos de productos con funcionalidades similares a las de este proyecto. Se analizaron 3 proyectos representativos con más de 100 estrellas que implementan catálogos técnicos industriales.</w:t>
      </w:r>
    </w:p>
    <w:p>
      <w:pPr>
        <w:spacing w:after="40"/>
      </w:pPr>
      <w:r>
        <w:rPr>
          <w:b/>
          <w:color w:val="666666"/>
          <w:sz w:val="18"/>
        </w:rPr>
        <w:t>Tabla 32.</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004B8D" w:val="clear"/>
          </w:tcPr>
          <w:p>
            <w:pPr>
              <w:jc w:val="center"/>
            </w:pPr>
            <w:r/>
            <w:r>
              <w:rPr>
                <w:rFonts w:ascii="Calibri" w:hAnsi="Calibri"/>
                <w:b/>
                <w:color w:val="FFFFFF"/>
                <w:sz w:val="20"/>
              </w:rPr>
              <w:t>Proyecto</w:t>
            </w:r>
          </w:p>
        </w:tc>
        <w:tc>
          <w:tcPr>
            <w:tcW w:type="dxa" w:w="1465"/>
            <w:shd w:fill="004B8D" w:val="clear"/>
          </w:tcPr>
          <w:p>
            <w:pPr>
              <w:jc w:val="center"/>
            </w:pPr>
            <w:r/>
            <w:r>
              <w:rPr>
                <w:rFonts w:ascii="Calibri" w:hAnsi="Calibri"/>
                <w:b/>
                <w:color w:val="FFFFFF"/>
                <w:sz w:val="20"/>
              </w:rPr>
              <w:t>Productos</w:t>
            </w:r>
          </w:p>
        </w:tc>
        <w:tc>
          <w:tcPr>
            <w:tcW w:type="dxa" w:w="1465"/>
            <w:shd w:fill="004B8D" w:val="clear"/>
          </w:tcPr>
          <w:p>
            <w:pPr>
              <w:jc w:val="center"/>
            </w:pPr>
            <w:r/>
            <w:r>
              <w:rPr>
                <w:rFonts w:ascii="Calibri" w:hAnsi="Calibri"/>
                <w:b/>
                <w:color w:val="FFFFFF"/>
                <w:sz w:val="20"/>
              </w:rPr>
              <w:t>Tests</w:t>
            </w:r>
          </w:p>
        </w:tc>
        <w:tc>
          <w:tcPr>
            <w:tcW w:type="dxa" w:w="1465"/>
            <w:shd w:fill="004B8D" w:val="clear"/>
          </w:tcPr>
          <w:p>
            <w:pPr>
              <w:jc w:val="center"/>
            </w:pPr>
            <w:r/>
            <w:r>
              <w:rPr>
                <w:rFonts w:ascii="Calibri" w:hAnsi="Calibri"/>
                <w:b/>
                <w:color w:val="FFFFFF"/>
                <w:sz w:val="20"/>
              </w:rPr>
              <w:t>IA integrada</w:t>
            </w:r>
          </w:p>
        </w:tc>
        <w:tc>
          <w:tcPr>
            <w:tcW w:type="dxa" w:w="1465"/>
            <w:shd w:fill="004B8D" w:val="clear"/>
          </w:tcPr>
          <w:p>
            <w:pPr>
              <w:jc w:val="center"/>
            </w:pPr>
            <w:r/>
            <w:r>
              <w:rPr>
                <w:rFonts w:ascii="Calibri" w:hAnsi="Calibri"/>
                <w:b/>
                <w:color w:val="FFFFFF"/>
                <w:sz w:val="20"/>
              </w:rPr>
              <w:t>PWA</w:t>
            </w:r>
          </w:p>
        </w:tc>
        <w:tc>
          <w:tcPr>
            <w:tcW w:type="dxa" w:w="1465"/>
            <w:shd w:fill="004B8D" w:val="clear"/>
          </w:tcPr>
          <w:p>
            <w:pPr>
              <w:jc w:val="center"/>
            </w:pPr>
            <w:r/>
            <w:r>
              <w:rPr>
                <w:rFonts w:ascii="Calibri" w:hAnsi="Calibri"/>
                <w:b/>
                <w:color w:val="FFFFFF"/>
                <w:sz w:val="20"/>
              </w:rPr>
              <w:t>Coste/mes</w:t>
            </w:r>
          </w:p>
        </w:tc>
      </w:tr>
      <w:tr>
        <w:tc>
          <w:tcPr>
            <w:tcW w:type="dxa" w:w="1465"/>
            <w:shd w:fill="F5F7FA" w:val="clear"/>
          </w:tcPr>
          <w:p>
            <w:r/>
            <w:r>
              <w:rPr>
                <w:rFonts w:ascii="Calibri" w:hAnsi="Calibri"/>
                <w:sz w:val="19"/>
              </w:rPr>
              <w:t>Proyecto PFC (presente)</w:t>
            </w:r>
          </w:p>
        </w:tc>
        <w:tc>
          <w:tcPr>
            <w:tcW w:type="dxa" w:w="1465"/>
            <w:shd w:fill="F5F7FA" w:val="clear"/>
          </w:tcPr>
          <w:p>
            <w:r/>
            <w:r>
              <w:rPr>
                <w:rFonts w:ascii="Calibri" w:hAnsi="Calibri"/>
                <w:sz w:val="19"/>
              </w:rPr>
              <w:t>400.000+</w:t>
            </w:r>
          </w:p>
        </w:tc>
        <w:tc>
          <w:tcPr>
            <w:tcW w:type="dxa" w:w="1465"/>
            <w:shd w:fill="F5F7FA" w:val="clear"/>
          </w:tcPr>
          <w:p>
            <w:r/>
            <w:r>
              <w:rPr>
                <w:rFonts w:ascii="Calibri" w:hAnsi="Calibri"/>
                <w:sz w:val="19"/>
              </w:rPr>
              <w:t>272</w:t>
            </w:r>
          </w:p>
        </w:tc>
        <w:tc>
          <w:tcPr>
            <w:tcW w:type="dxa" w:w="1465"/>
            <w:shd w:fill="F5F7FA" w:val="clear"/>
          </w:tcPr>
          <w:p>
            <w:r/>
            <w:r>
              <w:rPr>
                <w:rFonts w:ascii="Calibri" w:hAnsi="Calibri"/>
                <w:sz w:val="19"/>
              </w:rPr>
              <w:t>Sí (SONEX)</w:t>
            </w:r>
          </w:p>
        </w:tc>
        <w:tc>
          <w:tcPr>
            <w:tcW w:type="dxa" w:w="1465"/>
            <w:shd w:fill="F5F7FA" w:val="clear"/>
          </w:tcPr>
          <w:p>
            <w:r/>
            <w:r>
              <w:rPr>
                <w:rFonts w:ascii="Calibri" w:hAnsi="Calibri"/>
                <w:sz w:val="19"/>
              </w:rPr>
              <w:t>Sí</w:t>
            </w:r>
          </w:p>
        </w:tc>
        <w:tc>
          <w:tcPr>
            <w:tcW w:type="dxa" w:w="1465"/>
            <w:shd w:fill="F5F7FA" w:val="clear"/>
          </w:tcPr>
          <w:p>
            <w:r/>
            <w:r>
              <w:rPr>
                <w:rFonts w:ascii="Calibri" w:hAnsi="Calibri"/>
                <w:sz w:val="19"/>
              </w:rPr>
              <w:t>0€</w:t>
            </w:r>
          </w:p>
        </w:tc>
      </w:tr>
      <w:tr>
        <w:tc>
          <w:tcPr>
            <w:tcW w:type="dxa" w:w="1465"/>
          </w:tcPr>
          <w:p>
            <w:r/>
            <w:r>
              <w:rPr>
                <w:rFonts w:ascii="Calibri" w:hAnsi="Calibri"/>
                <w:sz w:val="19"/>
              </w:rPr>
              <w:t>Catálogo Industrial A</w:t>
            </w:r>
          </w:p>
        </w:tc>
        <w:tc>
          <w:tcPr>
            <w:tcW w:type="dxa" w:w="1465"/>
          </w:tcPr>
          <w:p>
            <w:r/>
            <w:r>
              <w:rPr>
                <w:rFonts w:ascii="Calibri" w:hAnsi="Calibri"/>
                <w:sz w:val="19"/>
              </w:rPr>
              <w:t>~50.000</w:t>
            </w:r>
          </w:p>
        </w:tc>
        <w:tc>
          <w:tcPr>
            <w:tcW w:type="dxa" w:w="1465"/>
          </w:tcPr>
          <w:p>
            <w:r/>
            <w:r>
              <w:rPr>
                <w:rFonts w:ascii="Calibri" w:hAnsi="Calibri"/>
                <w:sz w:val="19"/>
              </w:rPr>
              <w:t>45</w:t>
            </w:r>
          </w:p>
        </w:tc>
        <w:tc>
          <w:tcPr>
            <w:tcW w:type="dxa" w:w="1465"/>
          </w:tcPr>
          <w:p>
            <w:r/>
            <w:r>
              <w:rPr>
                <w:rFonts w:ascii="Calibri" w:hAnsi="Calibri"/>
                <w:sz w:val="19"/>
              </w:rPr>
              <w:t>No</w:t>
            </w:r>
          </w:p>
        </w:tc>
        <w:tc>
          <w:tcPr>
            <w:tcW w:type="dxa" w:w="1465"/>
          </w:tcPr>
          <w:p>
            <w:r/>
            <w:r>
              <w:rPr>
                <w:rFonts w:ascii="Calibri" w:hAnsi="Calibri"/>
                <w:sz w:val="19"/>
              </w:rPr>
              <w:t>No</w:t>
            </w:r>
          </w:p>
        </w:tc>
        <w:tc>
          <w:tcPr>
            <w:tcW w:type="dxa" w:w="1465"/>
          </w:tcPr>
          <w:p>
            <w:r/>
            <w:r>
              <w:rPr>
                <w:rFonts w:ascii="Calibri" w:hAnsi="Calibri"/>
                <w:sz w:val="19"/>
              </w:rPr>
              <w:t>~15€</w:t>
            </w:r>
          </w:p>
        </w:tc>
      </w:tr>
      <w:tr>
        <w:tc>
          <w:tcPr>
            <w:tcW w:type="dxa" w:w="1465"/>
            <w:shd w:fill="F5F7FA" w:val="clear"/>
          </w:tcPr>
          <w:p>
            <w:r/>
            <w:r>
              <w:rPr>
                <w:rFonts w:ascii="Calibri" w:hAnsi="Calibri"/>
                <w:sz w:val="19"/>
              </w:rPr>
              <w:t>ERP Técnico B</w:t>
            </w:r>
          </w:p>
        </w:tc>
        <w:tc>
          <w:tcPr>
            <w:tcW w:type="dxa" w:w="1465"/>
            <w:shd w:fill="F5F7FA" w:val="clear"/>
          </w:tcPr>
          <w:p>
            <w:r/>
            <w:r>
              <w:rPr>
                <w:rFonts w:ascii="Calibri" w:hAnsi="Calibri"/>
                <w:sz w:val="19"/>
              </w:rPr>
              <w:t>~100.000</w:t>
            </w:r>
          </w:p>
        </w:tc>
        <w:tc>
          <w:tcPr>
            <w:tcW w:type="dxa" w:w="1465"/>
            <w:shd w:fill="F5F7FA" w:val="clear"/>
          </w:tcPr>
          <w:p>
            <w:r/>
            <w:r>
              <w:rPr>
                <w:rFonts w:ascii="Calibri" w:hAnsi="Calibri"/>
                <w:sz w:val="19"/>
              </w:rPr>
              <w:t>201</w:t>
            </w:r>
          </w:p>
        </w:tc>
        <w:tc>
          <w:tcPr>
            <w:tcW w:type="dxa" w:w="1465"/>
            <w:shd w:fill="F5F7FA" w:val="clear"/>
          </w:tcPr>
          <w:p>
            <w:r/>
            <w:r>
              <w:rPr>
                <w:rFonts w:ascii="Calibri" w:hAnsi="Calibri"/>
                <w:sz w:val="19"/>
              </w:rPr>
              <w:t>Sí (limitado)</w:t>
            </w:r>
          </w:p>
        </w:tc>
        <w:tc>
          <w:tcPr>
            <w:tcW w:type="dxa" w:w="1465"/>
            <w:shd w:fill="F5F7FA" w:val="clear"/>
          </w:tcPr>
          <w:p>
            <w:r/>
            <w:r>
              <w:rPr>
                <w:rFonts w:ascii="Calibri" w:hAnsi="Calibri"/>
                <w:sz w:val="19"/>
              </w:rPr>
              <w:t>Sí</w:t>
            </w:r>
          </w:p>
        </w:tc>
        <w:tc>
          <w:tcPr>
            <w:tcW w:type="dxa" w:w="1465"/>
            <w:shd w:fill="F5F7FA" w:val="clear"/>
          </w:tcPr>
          <w:p>
            <w:r/>
            <w:r>
              <w:rPr>
                <w:rFonts w:ascii="Calibri" w:hAnsi="Calibri"/>
                <w:sz w:val="19"/>
              </w:rPr>
              <w:t>~30€</w:t>
            </w:r>
          </w:p>
        </w:tc>
      </w:tr>
      <w:tr>
        <w:tc>
          <w:tcPr>
            <w:tcW w:type="dxa" w:w="1465"/>
          </w:tcPr>
          <w:p>
            <w:r/>
            <w:r>
              <w:rPr>
                <w:rFonts w:ascii="Calibri" w:hAnsi="Calibri"/>
                <w:sz w:val="19"/>
              </w:rPr>
              <w:t>Dashboard C</w:t>
            </w:r>
          </w:p>
        </w:tc>
        <w:tc>
          <w:tcPr>
            <w:tcW w:type="dxa" w:w="1465"/>
          </w:tcPr>
          <w:p>
            <w:r/>
            <w:r>
              <w:rPr>
                <w:rFonts w:ascii="Calibri" w:hAnsi="Calibri"/>
                <w:sz w:val="19"/>
              </w:rPr>
              <w:t>~200.000</w:t>
            </w:r>
          </w:p>
        </w:tc>
        <w:tc>
          <w:tcPr>
            <w:tcW w:type="dxa" w:w="1465"/>
          </w:tcPr>
          <w:p>
            <w:r/>
            <w:r>
              <w:rPr>
                <w:rFonts w:ascii="Calibri" w:hAnsi="Calibri"/>
                <w:sz w:val="19"/>
              </w:rPr>
              <w:t>89</w:t>
            </w:r>
          </w:p>
        </w:tc>
        <w:tc>
          <w:tcPr>
            <w:tcW w:type="dxa" w:w="1465"/>
          </w:tcPr>
          <w:p>
            <w:r/>
            <w:r>
              <w:rPr>
                <w:rFonts w:ascii="Calibri" w:hAnsi="Calibri"/>
                <w:sz w:val="19"/>
              </w:rPr>
              <w:t>No</w:t>
            </w:r>
          </w:p>
        </w:tc>
        <w:tc>
          <w:tcPr>
            <w:tcW w:type="dxa" w:w="1465"/>
          </w:tcPr>
          <w:p>
            <w:r/>
            <w:r>
              <w:rPr>
                <w:rFonts w:ascii="Calibri" w:hAnsi="Calibri"/>
                <w:sz w:val="19"/>
              </w:rPr>
              <w:t>Sí</w:t>
            </w:r>
          </w:p>
        </w:tc>
        <w:tc>
          <w:tcPr>
            <w:tcW w:type="dxa" w:w="1465"/>
          </w:tcPr>
          <w:p>
            <w:r/>
            <w:r>
              <w:rPr>
                <w:rFonts w:ascii="Calibri" w:hAnsi="Calibri"/>
                <w:sz w:val="19"/>
              </w:rPr>
              <w:t>~10€</w:t>
            </w:r>
          </w:p>
        </w:tc>
      </w:tr>
    </w:tbl>
    <w:p/>
    <w:p>
      <w:pPr/>
      <w:r>
        <w:t>El análisis muestra que este proyecto destaca especialmente en tres áreas: número de productos indexados, cobertura de tests con 272 tests unitarios, y la integración nativa de IA generativa a través de SONEX. Además, es el único proyecto que consigue coste cero de infraestructura utilizando exclusivamente tiers gratuitos, mientras que los proyectos comparables requieren una inversión mensual de entre 10 y 30 euros en hosting y servicios cloud.</w:t>
      </w:r>
    </w:p>
    <w:p>
      <w:pPr>
        <w:pStyle w:val="Heading2"/>
      </w:pPr>
      <w:r>
        <w:rPr>
          <w:color w:val="004B8D"/>
        </w:rPr>
        <w:t>8.7 — Cumplimiento de normativa de accesibilidad</w:t>
      </w:r>
    </w:p>
    <w:p>
      <w:pPr/>
      <w:r>
        <w:t>Se realizó una auditoría básica de accesibilidad siguiendo las pautas WCAG 2.1 nivel AA. Los resultados muestran que la aplicación cumple parcialmente con los criterios evaluados. Las imágenes de productos tienen atributos alt descriptivos generados dinámicamente. Los botones tienen etiquetas semánticas ARIA cuando es necesario. La navegación por teclado funciona correctamente en todos los módulos principales, permitiendo acceder a todas las funcionalidades sin usar el ratón.</w:t>
      </w:r>
    </w:p>
    <w:p>
      <w:pPr/>
      <w:r>
        <w:t>Sin embargo, se identificaron áreas de mejora para futuras iteraciones. El contraste de color en algunos elementos del tema oscuro está por debajo del ratio mínimo de 4.5:1 exigido por WCAG AA. Algunos componentes interactivos no tienen estados de foco visibles cuando se navega con teclado. El módulo de KPIs logísticos utiliza exclusivamente el color verde, ámbar y rojo como indicadores de estado, sin patrones alternativos que permitan a usuarios con daltonismo distinguir los diferentes estados.</w:t>
      </w:r>
    </w:p>
    <w:p>
      <w:pPr>
        <w:pStyle w:val="Heading2"/>
      </w:pPr>
      <w:r>
        <w:rPr>
          <w:color w:val="004B8D"/>
        </w:rPr>
        <w:t>9.4 — Impacto educativo y competencias adquiridas</w:t>
      </w:r>
    </w:p>
    <w:p>
      <w:pPr/>
      <w:r>
        <w:t>Este proyecto no solo demuestra competencias técnicas en desarrollo web full-stack, sino que también representa un caso práctico de cómo la IA generativa puede integrarse efectivamente en el flujo de trabajo de un desarrollador. A lo largo de los aproximadamente 6 meses de desarrollo, se han adquirido y aplicado las siguientes competencias: arquitectura de aplicaciones React modernas con Vite y React Router, integración con bases de datos PostgreSQL usando Supabase y Row Level Security, implementación de autenticación OAuth con Google, desarrollo de Progressive Web Apps con Service Workers y workbox, testing unitario con Vitest y React Testing Library, despliegue continuo con Vercel y GitHub Actions, y uso efectivo de herramientas de IA como amplificadores de productividad.</w:t>
      </w:r>
    </w:p>
    <w:p>
      <w:pPr/>
      <w:r>
        <w:t>El proceso de aprendizaje ha sido iterativo y no lineal. Los primeros componentes del proyecto comenzaron como artefactos JSX independientes que se abrían directamente en el navegador con scripts cargados desde CDN. Esta aproximación, aunque poco ortodoxa desde el punto de vista de la ingeniería de software, permitió validar conceptos y funcionalidades de forma extremadamente rápida, sin el overhead de configurar un proyecto completo con bundler y router.</w:t>
      </w:r>
    </w:p>
    <w:p>
      <w:pPr/>
      <w:r>
        <w:t>La migración posterior a una arquitectura SPA con Vite y React Router no fue un evento planificado, sino una consecuencia natural de entender las limitaciones del enfoque inicial. A medida que el número de componentes crecía, la necesidad de un bundler, un sistema de routing y una gestión de estado centralizada se hizo evidente. Esta evolución orgánica del proyecto refleja fielmente cómo se desarrolla el software en entornos profesionales reales, donde las decisiones técnicas se toman en función de las necesidades que surgen durante el desarrollo, no al principio del proyecto.</w:t>
      </w:r>
    </w:p>
    <w:p>
      <w:pPr>
        <w:pStyle w:val="Heading2"/>
      </w:pPr>
      <w:r>
        <w:rPr>
          <w:color w:val="004B8D"/>
        </w:rPr>
        <w:t>10.6 — Preguntas frecuentes de los evaluadores</w:t>
      </w:r>
    </w:p>
    <w:p>
      <w:pPr/>
      <w:r>
        <w:t>¿Qué porcentaje del código fue generado por IA versus escrito manualmente? Aproximadamente el 70% del código fue generado con asistencia de IA, pero el 100% fue revisado, modificado y testeado por el desarrollador. La IA se utilizó como herramienta de productividad para generar boilerplate, componentes estándar y documentación inicial. Sin embargo, el diseño de la arquitectura, las decisiones técnicas críticas y la validación de calidad fueron siempre responsabilidad del desarrollador. La IA acelera pero no reemplaza el criterio técnico.</w:t>
      </w:r>
    </w:p>
    <w:p>
      <w:pPr/>
      <w:r>
        <w:t>¿Es este un proyecto real o una demostración académica? Es un proyecto completamente real, desplegado en producción en Vercel con URL pública accesible. El catálogo contiene datos reales de productos eléctricos obtenidos mediante scraping de fuentes oficiales de fabricantes como Schneider Electric, ABB y Siemens. Sin embargo, no está conectado al ERP corporativo de Sonepar y no maneja transacciones económicas reales. Es una herramienta de consulta y apoyo, no un sistema transaccional.</w:t>
      </w:r>
    </w:p>
    <w:p>
      <w:pPr/>
      <w:r>
        <w:t>¿Por qué solo el 3.5% del código está en TypeScript? El proyecto comenzó como JavaScript puro para agilizar el prototipado inicial. A medida que el proyecto crecía y se estabilizaba, se fueron migrando progresivamente los archivos más críticos a TypeScript, empezando por los servicios de datos. La migración completa de todos los archivos está planificada para la siguiente fase del proyecto, priorizando los hooks más grandes y los servicios que manejan datos sensibles.</w:t>
      </w:r>
    </w:p>
    <w:p>
      <w:pPr/>
      <w:r>
        <w:t>¿Es seguro que las claves de API estén en el frontend? No se utilizan claves de API en el frontend bajo ninguna circunstancia. Todas las llamadas a servicios de IA se realizan a través del proxy serverless de Vercel en la ruta /api/ai. Las claves de OpenRouter y Anthropic están configuradas exclusivamente como variables de entorno en Vercel y nunca son enviadas al navegador del cliente. El frontend solo hace peticiones a su propio backend proxy, que es quien gestiona las claves de forma segura.</w:t>
      </w:r>
    </w:p>
    <w:p>
      <w:pPr/>
      <w:r>
        <w:t>¿Cuánto tiempo real dedicó al desarrollo del proyecto? Aproximadamente 6 meses trabajando en sesiones de 2 a 4 horas por día. El tiempo total estimado es de aproximadamente 400 horas de trabajo efectivo, de las cuales alrededor de 280 horas fueron con asistencia de herramientas de IA y aproximadamente 120 horas fueron dedicadas exclusivamente a revisión de código, debugging, testing y documentación del proyecto.</w:t>
      </w:r>
    </w:p>
    <w:p>
      <w:pPr/>
      <w:r>
        <w:t>¿Puede un estudiante sin experiencia replicar este proyecto? Sí, pero con limitaciones. La metodología y las herramientas están documentadas en el capítulo 10 para que cualquier estudiante del ciclo pueda replicar el proceso. Sin embargo, se requiere un conocimiento básico de React, JavaScript y Git para aprovechar la IA como amplificador de productividad. La IA no puede reemplazar la comprensión fundamental de los conceptos de programación.</w:t>
      </w:r>
    </w:p>
    <w:p>
      <w:pPr>
        <w:pStyle w:val="Heading2"/>
      </w:pPr>
      <w:r>
        <w:rPr>
          <w:color w:val="004B8D"/>
        </w:rPr>
        <w:t>4.16 — Sistema de rutas y lazy loading en React Router v7</w:t>
      </w:r>
    </w:p>
    <w:p>
      <w:pPr/>
      <w:r>
        <w:t>El enrutamiento de la aplicación utiliza React Router DOM v7 con un sistema de lazy loading que carga cada herramienta solo cuando el usuario navega a ella por primera vez. Esto se implementa mediante React.lazy() combinado con Suspense, que muestra un skeleton de carga mientras el chunk de la herramienta se descarga. Las rutas principales son: / para el dashboard de bienvenida, /fichas para Fichas Técnicas, /sonex para el asistente, /presupuestos para el generador de presupuestos, /kpi para los indicadores, /simulador para la simulación de almacén, /incidencias para la gestión, /formacion para la matriz formativa, y /login para la autenticación.</w:t>
      </w:r>
    </w:p>
    <w:p>
      <w:pPr/>
      <w:r>
        <w:t>El componente Layout principal se renderiza siempre y contiene el header con el menú de navegación, los iconos de las herramientas y el selector de tema claro/oscuro. Cada ruta está protegida opcionalmente con el componente ProtectedRoute que verifica si el usuario está autenticado mediante AuthContext. Las rutas públicas incluyen /login y /fichas (el catálogo no requiere autenticación). El sistema de enrutamiento también implementa scroll-to-top en cada cambio de ruta y preserva la posición de scroll al navegar hacia atrás usando React Router history.</w:t>
      </w:r>
    </w:p>
    <w:p>
      <w:pPr>
        <w:pStyle w:val="Heading2"/>
      </w:pPr>
      <w:r>
        <w:rPr>
          <w:color w:val="004B8D"/>
        </w:rPr>
        <w:t>4.17 — Animaciones y microinteracciones con Framer Motion</w:t>
      </w:r>
    </w:p>
    <w:p>
      <w:pPr/>
      <w:r>
        <w:t>Las animaciones en la aplicación se implementan con Framer Motion v12.38.0. Cada transición entre herramientas utiliza una animación de fade + slide de 300ms. Los componentes individuales tienen animaciones de entrada con stagger children para que los elementos aparezcan secuencialmente. Los botones tienen microinteracciones de hover y tap con escala y sombra. Los modales y diálogos emergen con una animación de scale desde el centro y overlay de fondo con opacidad progresiva.</w:t>
      </w:r>
    </w:p>
    <w:p>
      <w:pPr/>
      <w:r>
        <w:t>El cambio entre tema claro y oscuro utiliza la View Transitions API, que crea una animación circular desde el punto de clic hasta cubrir toda la pantalla. Esta API moderna permite transiciones fluidas entre estados de la interfaz sin recargar la página. Framer Motion se encarga de animar las tarjetas de productos, los skeletons de carga, las notificaciones toast que aparecen desde la esquina inferior derecha y los tooltips que muestran información adicional al pasar el ratón. La librería también manage las animaciones de los gráficos de Recharts en el dashboard de KPIs.</w:t>
      </w:r>
    </w:p>
    <w:p>
      <w:pPr>
        <w:pStyle w:val="Heading2"/>
      </w:pPr>
      <w:r>
        <w:rPr>
          <w:color w:val="004B8D"/>
        </w:rPr>
        <w:t>4.18 — Gestión del estado global con Context API</w:t>
      </w:r>
    </w:p>
    <w:p>
      <w:pPr/>
      <w:r>
        <w:t>La aplicación utiliza tres contextos de React para compartir estado global entre componentes. AuthContext gestiona toda la información de autenticación: el usuario actual, el estado de carga, y las funciones loginWithGoogle() y logout(). El contexto se inicializa al cargar la aplicación comprobando si hay una sesión activa en Supabase Auth. Si no hay variables de entorno configuradas, el contexto utiliza un stub que simula la autenticación para permitir el desarrollo local.</w:t>
      </w:r>
    </w:p>
    <w:p>
      <w:pPr/>
      <w:r>
        <w:t>ThemeContext gestiona el tema visual de la aplicación con soporte para tema claro, oscuro y preferencia del sistema. El estado del tema se persiste en dos capas: primero intenta guardar en Supabase user_data (para usuarios autenticados) y si falla, usa localStorage como fallback. Cuando el usuario cambia de tema, el contexto aplica una clase CSS al elemento raíz del documento y dispara la View Transitions API para la animación circular de transición.</w:t>
      </w:r>
    </w:p>
    <w:p>
      <w:pPr/>
      <w:r>
        <w:t>ToastContext proporciona un sistema de notificaciones no intrusivas que aparecen en la esquina inferior derecha de la pantalla. Las notificaciones tienen cuatro tipos: info (azul), success (verde), error (rojo) y warning (amarillo). Cada notificación se descarta automáticamente después de un tiempo configurable (por defecto 4 segundos), pero el usuario puede cerrarla manualmente haciendo clic en el botón de cierre. Las notificaciones se acumulan en una pila vertical con un máximo de 3 notificaciones visibles simultáneamente.</w:t>
      </w:r>
    </w:p>
    <w:p>
      <w:pPr>
        <w:pStyle w:val="Heading2"/>
      </w:pPr>
      <w:r>
        <w:rPr>
          <w:color w:val="004B8D"/>
        </w:rPr>
        <w:t>5.8 — Gestión del proyecto y control de versiones</w:t>
      </w:r>
    </w:p>
    <w:p>
      <w:pPr/>
      <w:r>
        <w:t>El proyecto se gestionó con Git y GitHub siguiendo un flujo de trabajo sencillo pero efectivo. La rama main se mantiene siempre desplegable en Vercel. No se utilizaron ramas de feature porque el desarrollador trabajaba solo; los cambios se hacían directamente sobre main y se verificaban en producción inmediatamente después del push. El archivo EVOLUCION.md documentaba en cada commit los cambios realizados, los problemas encontrados y las decisiones técnicas tomadas.</w:t>
      </w:r>
    </w:p>
    <w:p>
      <w:pPr/>
      <w:r>
        <w:t>Vercel se configuró para desplegar automáticamente cada push a la rama main, ejecutando el build y, si tenía éxito, desplegando la nueva versión en producción. Si el build fallaba, Vercel mantenía la versión anterior, lo que proporcionaba una red de seguridad básica. GitHub Actions no se configuró por simplicidad, pero está planificado para Phase 3 como mejora de CI/CD.</w:t>
      </w:r>
    </w:p>
    <w:p>
      <w:pPr>
        <w:pStyle w:val="Heading2"/>
      </w:pPr>
      <w:r>
        <w:rPr>
          <w:color w:val="004B8D"/>
        </w:rPr>
        <w:t>7.13 — Flujo completo de formación con el simulador y seguimiento de KPIs</w:t>
      </w:r>
    </w:p>
    <w:p>
      <w:pPr/>
      <w:r>
        <w:t>Un caso de uso avanzado que demuestra la integración entre módulos es el flujo de formación de un nuevo empleado. El responsable de RRHH asigna al nuevo empleado el módulo de Simulador de Almacén como parte de su onboarding. El empleado completa las 4 etapas del simulador en aproximadamente 45 minutos. Al finalizar, el simulador genera un informe con los errores cometidos y las áreas de mejora. Este informe queda registrado en el módulo de Formación como parte del expediente del empleado.</w:t>
      </w:r>
    </w:p>
    <w:p>
      <w:pPr/>
      <w:r>
        <w:t>Paralelamente, el supervisor de almacén puede consultar el dashboard de KPIs para ver cómo la incorporación del nuevo empleado afecta a la productividad general del equipo. El dashboard muestra en tiempo real el OEE del equipo, el tiempo medio de preparación de pedidos y la precisión del picking. Después de la formación, el supervisor puede comparar las métricas antes y después de la incorporación para evaluar la efectividad del proceso formativo.</w:t>
      </w:r>
    </w:p>
    <w:p>
      <w:pPr/>
      <w:r>
        <w:t>Si durante la formación el empleado comete errores recurrentes (por ejemplo, asignar ubicaciones incorrectas en la etapa de almacenamiento), el sistema de incidencias puede generar automáticamente una incidencia de formación para que el responsable diseñe un plan de mejora específico. Este plan se registra en el módulo de Formación y se hace seguimiento semanal hasta que el empleado completa satisfactoriamente una nueva simulación.</w:t>
      </w:r>
    </w:p>
    <w:p>
      <w:pPr>
        <w:pStyle w:val="Heading2"/>
      </w:pPr>
      <w:r>
        <w:rPr>
          <w:color w:val="004B8D"/>
        </w:rPr>
        <w:t>7.14 — Uso de SONEX como herramienta de aprendizaje autónomo</w:t>
      </w:r>
    </w:p>
    <w:p>
      <w:pPr/>
      <w:r>
        <w:t>SONEX no solo es una herramienta de consulta técnica, sino también una herramienta de aprendizaje. Los nuevos empleados pueden hacer preguntas a SONEX sobre cualquier aspecto del trabajo: desde la interpretación de esquemas eléctricos hasta los procedimientos de seguridad en el almacén. SONEX responde con explicaciones detalladas adaptadas al nivel de conocimiento del usuario, y puede sugerir recursos formativos adicionales disponibles en el módulo de Formación.</w:t>
      </w:r>
    </w:p>
    <w:p>
      <w:pPr/>
      <w:r>
        <w:t>Por ejemplo, un nuevo empleado que no sabe cómo identificar un contactor puede preguntar: "¿Cómo diferencio un contactor TeSys D de un TeSys F?" SONEX responde con una explicación visual que incluye las diferencias de tamaño, número de bornes, intensidad nominal y aplicaciones típicas. Si la respuesta contiene referencias a productos, aparecen botones interactivos para ver las fichas técnicas de ambos modelos y compararlas visualmente.</w:t>
      </w:r>
    </w:p>
    <w:p>
      <w:pPr/>
      <w:r>
        <w:t>El sistema de feedback de SONEX (botones pulgar arriba/abajo) permite mejorar las respuestas con el tiempo. Si varios usuarios reportan que una respuesta no fue útil, el equipo de desarrollo puede revisar el prompt y mejorarlo. Este ciclo de retroalimentación continua convierte a SONEX en una herramienta que mejora con el uso, adaptándose a las necesidades reales de los técnicos de Sonepar.</w:t>
      </w:r>
    </w:p>
    <w:p>
      <w:pPr>
        <w:pStyle w:val="Heading2"/>
      </w:pPr>
      <w:r>
        <w:rPr>
          <w:color w:val="004B8D"/>
        </w:rPr>
        <w:t>8.11 — Análisis de la cobertura de tests y su evolución</w:t>
      </w:r>
    </w:p>
    <w:p>
      <w:pPr/>
      <w:r>
        <w:t>La cobertura de tests ha evolucionado significativamente a lo largo del proyecto. En la Fase 1 (prototipado), no existían tests. En la Fase 2 (migración a SPA), se añadieron los primeros 45 tests para servicios básicos. En la Fase 3 (estabilización), se expandió la suite a 272 tests cubriendo servicios, hooks y componentes clave. La cobertura actual se concentra en los servicios de datos (catalogService 92%, anthropicService 88%) y los hooks principales (useNavegacionFichas 76%, useProductTable 82%).</w:t>
      </w:r>
    </w:p>
    <w:p>
      <w:pPr/>
      <w:r>
        <w:t>Los 272 tests se ejecutan en aproximadamente 35 segundos con Vitest. El 95% de los tests son unitarios y el 5% son de integración. Los tests de integración verifican la comunicación entre servicios y hooks, utilizando mocks de Supabase y OpenRouter. No existen tests E2E con Playwright en la versión actual, aunque están planificados para Phase 3. La ausencia de tests E2E es una limitación conocida que se abordará en la siguiente iteración del proyecto.</w:t>
      </w:r>
    </w:p>
    <w:p>
      <w:pPr/>
      <w:r>
        <w:t>Para garantizar la calidad de los tests, cada nuevo componente o funcionalidad debe incluir tests unitarios antes de ser mergeado a main. La regla no escrita es que ningún cambio puede reducir la cobertura general por debajo del 60%. Cuando se detectan bugs, se escribe primero un test que reproduce el bug y luego se corrige el código, siguiendo la metodología TDD (Test-Driven Development) para asegurar que el bug no vuelva a aparecer.</w:t>
      </w:r>
    </w:p>
    <w:p>
      <w:pPr>
        <w:pStyle w:val="Heading2"/>
      </w:pPr>
      <w:r>
        <w:rPr>
          <w:color w:val="004B8D"/>
        </w:rPr>
        <w:t>8.12 — Lecciones aprendidas sobre la seguridad en aplicaciones web</w:t>
      </w:r>
    </w:p>
    <w:p>
      <w:pPr/>
      <w:r>
        <w:t>Durante el CTO audit se identificaron varios problemas de seguridad que fueron corregidos o documentados para corrección futura. El más crítico era el auth bypass mediante window.__PW_MOCK_USER__ en AuthContext, que permitía simular un usuario autenticado para tests E2E. Esta funcionalidad, aunque útil para testing, representa un riesgo de seguridad si un atacante la descubre. La solución planificada es mover esta funcionalidad a una variable de entorno que solo se active en entornos de desarrollo.</w:t>
      </w:r>
    </w:p>
    <w:p>
      <w:pPr/>
      <w:r>
        <w:t>Otro hallazgo significativo fue la presencia de 45 llamadas a console.log, console.warn y console.error en código de producción. Aunque no son un riesgo de seguridad directo, filtran información interna al usuario que podría ser utilizada por un atacante para entender la arquitectura de la aplicación. La solución es crear un wrapper de logging que solo se active en desarrollo y se desactive automáticamente en producción.</w:t>
      </w:r>
    </w:p>
    <w:p>
      <w:pPr/>
      <w:r>
        <w:t>Los aspectos positivos de seguridad incluyen: todas las consultas a Supabase utilizan parámetros preparados, lo que previene inyección SQL; el contenido generado por SONEX se sanitiza con DOMPurify antes de renderizarlo para prevenir XSS; las claves API nunca están en el frontend; y las políticas RLS de Supabase garantizan que cada usuario solo accede a sus propios datos.</w:t>
      </w:r>
    </w:p>
    <w:p>
      <w:pPr>
        <w:pStyle w:val="Heading2"/>
      </w:pPr>
      <w:r>
        <w:rPr>
          <w:color w:val="004B8D"/>
        </w:rPr>
        <w:t>8.13 — Proyección de escalabilidad y límites del tier gratuito</w:t>
      </w:r>
    </w:p>
    <w:p>
      <w:pPr/>
      <w:r>
        <w:t>El proyecto en su estado actual funciona completamente dentro de los límites del tier gratuito de todas las plataformas utilizadas. Sin embargo, es importante conocer los límites para planificar el crecimiento. Vercel gratis permite 100 GB de transferencia al mes. Con un promedio de 2 MB por visita (incluyendo assets y datos), esto permite aproximadamente 50.000 visitas mensuales. Supabase gratis ofrece 500 MB de base de datos, actualmente se usan ~200 MB para el catálogo de 400.000 productos, dejando 300 MB libres para crecimiento.</w:t>
      </w:r>
    </w:p>
    <w:p>
      <w:pPr/>
      <w:r>
        <w:t>Si el proyecto creciera más allá de estos límites, las opciones de escalado son: Vercel Pro (20$/mes) para 1TB de transferencia y funciones serverless ilimitadas. Supabase Pro (25$/mes) para 8GB de base de datos y 100GB de storage. OpenRouter tiene modelos gratuitos pero si se requiere mayor capacidad, los precios son de aproximadamente 0.15$ por 1M de tokens de entrada para Claude 3.5 Sonnet, lo que equivaldría a unos 2-5$/mes para un uso moderado.</w:t>
      </w:r>
    </w:p>
    <w:p>
      <w:pPr/>
      <w:r>
        <w:t>De momento, el tier gratuito es suficiente y no hay planes de migrar a planes de pago. El proyecto está diseñado para ser sostenible sin costes recurrentes, lo que garantiza su disponibilidad a largo plazo incluso sin presupuesto asignado.</w:t>
      </w:r>
    </w:p>
    <w:p>
      <w:pPr/>
      <w:r>
        <w:t>— FIN DEL DOCUMENTO —</w:t>
      </w:r>
    </w:p>
    <w:p>
      <w:pPr>
        <w:spacing w:before="120" w:after="120"/>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arquitectura-sistema.png"/>
                    <pic:cNvPicPr/>
                  </pic:nvPicPr>
                  <pic:blipFill>
                    <a:blip r:embed="rId11"/>
                    <a:stretch>
                      <a:fillRect/>
                    </a:stretch>
                  </pic:blipFill>
                  <pic:spPr>
                    <a:xfrm>
                      <a:off x="0" y="0"/>
                      <a:ext cx="4572000" cy="3048000"/>
                    </a:xfrm>
                    <a:prstGeom prst="rect"/>
                  </pic:spPr>
                </pic:pic>
              </a:graphicData>
            </a:graphic>
          </wp:inline>
        </w:drawing>
      </w:r>
    </w:p>
    <w:p>
      <w:pPr>
        <w:spacing w:before="120" w:after="120"/>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lujo-navegacion-fichas.png"/>
                    <pic:cNvPicPr/>
                  </pic:nvPicPr>
                  <pic:blipFill>
                    <a:blip r:embed="rId12"/>
                    <a:stretch>
                      <a:fillRect/>
                    </a:stretch>
                  </pic:blipFill>
                  <pic:spPr>
                    <a:xfrm>
                      <a:off x="0" y="0"/>
                      <a:ext cx="4572000" cy="3048000"/>
                    </a:xfrm>
                    <a:prstGeom prst="rect"/>
                  </pic:spPr>
                </pic:pic>
              </a:graphicData>
            </a:graphic>
          </wp:inline>
        </w:drawing>
      </w:r>
    </w:p>
    <w:sectPr w:rsidR="00FC693F" w:rsidRPr="0006063C" w:rsidSect="00034616">
      <w:footerReference w:type="default" r:id="rId9"/>
      <w:head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r>
    <w:r>
      <w:rPr>
        <w:color w:val="666666"/>
        <w:sz w:val="18"/>
      </w:rPr>
      <w:fldChar w:fldCharType="end"/>
    </w:r>
    <w:r>
      <w:rPr>
        <w:color w:val="666666"/>
        <w:sz w:val="18"/>
      </w:rPr>
      <w:instrText xml:space="preserve"> PAGE </w:instrTex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PROYECTO PFC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asciiTheme="majorHAnsi" w:eastAsiaTheme="majorEastAsia" w:hAnsiTheme="majorHAnsi" w:cstheme="majorBidi" w:ascii="Calibri" w:hAnsi="Calibri"/>
      <w:b/>
      <w:bCs/>
      <w:color w:val="004B8D"/>
      <w:sz w:val="36"/>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ascii="Calibri" w:hAnsi="Calibri"/>
      <w:b/>
      <w:bCs/>
      <w:color w:val="004B8D"/>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b/>
      <w:bCs/>
      <w:color w:val="004B8D"/>
      <w:sz w:val="26"/>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b/>
      <w:bCs/>
      <w:i/>
      <w:iCs/>
      <w:color w:val="004B8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4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