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SONEPAR TOOLS  ·  PLAN DE ACTUALIZACIÓN</w:t>
      </w:r>
    </w:p>
    <w:p>
      <w:pPr>
        <w:spacing w:before="0" w:after="1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Dashboard de Incidencias Técnicas</w:t>
      </w:r>
    </w:p>
    <w:p>
      <w:pPr>
        <w:pBdr>
          <w:bottom w:val="single" w:color="C62828" w:sz="12" w:space="6"/>
        </w:pBdr>
        <w:spacing w:before="0" w:after="30"/>
      </w:pPr>
      <w:r>
        <w:rPr>
          <w:rFonts w:ascii="Arial" w:cs="Arial" w:eastAsia="Arial" w:hAnsi="Arial"/>
          <w:b/>
          <w:bCs/>
          <w:color w:val="C62828"/>
          <w:sz w:val="26"/>
          <w:szCs w:val="26"/>
        </w:rPr>
        <w:t xml:space="preserve">v2.0  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·  Plan previo al desarrollo  ·  Marzo 2026  ·  Iago Robo  ·  dashboard-incidencias/</w:t>
      </w:r>
    </w:p>
    <w:p>
      <w:pPr>
        <w:pBdr>
          <w:left w:val="single" w:color="C07010" w:sz="20" w:space="6"/>
        </w:pBdr>
        <w:spacing w:before="200" w:after="200"/>
        <w:ind w:left="200"/>
      </w:pPr>
      <w:r>
        <w:rPr>
          <w:rFonts w:ascii="Arial" w:cs="Arial" w:eastAsia="Arial" w:hAnsi="Arial"/>
          <w:b/>
          <w:bCs/>
          <w:color w:val="C07010"/>
          <w:sz w:val="19"/>
          <w:szCs w:val="19"/>
        </w:rPr>
        <w:t xml:space="preserve">Este documento recoge la intención de desarrollo antes de tocar el código.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El CHANGELOG v2.0 documentará lo que finalmente se implementó.</w:t>
      </w:r>
    </w:p>
    <w:p>
      <w:pPr>
        <w:spacing w:before="26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1. Contexto — por qué se actualiza</w:t>
      </w:r>
    </w:p>
    <w:p>
      <w:pPr>
        <w:spacing w:before="60" w:after="8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El Dashboard v1.0 es funcional como demo pero presenta tres bloqueos para uso real: los datos no persisten (cualquier incidencia registrada en turno desaparece al recargar), no hay diferenciación visual entre incidencias con y sin diagnóstico IA, y no existe alerta para situaciones críticas sin atender. Estos tres puntos hacen que la herramienta no sea fiable en un entorno de trabajo real.</w:t>
      </w:r>
    </w:p>
    <w:p>
      <w:pPr>
        <w:spacing w:before="26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2. Objetivo de la v2.0</w:t>
      </w:r>
    </w:p>
    <w:p>
      <w:pPr>
        <w:spacing w:before="60" w:after="8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Convertir el dashboard en operativo para un turno real: incidencias que sobreviven a recargas, visibilidad inmediata del estado de diagnóstico en el listado, y alerta automática para críticas sin atender más de 2 horas.</w:t>
      </w:r>
    </w:p>
    <w:p>
      <w:pPr>
        <w:spacing w:before="26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 Alcance de los cambios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c>
          <w:tcPr>
            <w:tcW w:type="dxa" w:w="12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Prioridad</w:t>
            </w:r>
          </w:p>
        </w:tc>
        <w:tc>
          <w:tcPr>
            <w:tcW w:type="dxa" w:w="28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Cambio</w:t>
            </w:r>
          </w:p>
        </w:tc>
        <w:tc>
          <w:tcPr>
            <w:tcW w:type="dxa" w:w="5026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Descripción del objetivo</w:t>
            </w:r>
          </w:p>
        </w:tc>
      </w:tr>
      <w:tr>
        <w:tc>
          <w:tcPr>
            <w:tcW w:type="dxa" w:w="1200"/>
            <w:tcBorders>
              <w:top w:val="single" w:color="C62828" w:sz="6"/>
              <w:left w:val="single" w:color="C62828" w:sz="6"/>
              <w:bottom w:val="single" w:color="C62828" w:sz="6"/>
              <w:right w:val="single" w:color="C62828" w:sz="6"/>
            </w:tcBorders>
            <w:shd w:fill="C6282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ALTA</w:t>
            </w:r>
          </w:p>
        </w:tc>
        <w:tc>
          <w:tcPr>
            <w:tcW w:type="dxa" w:w="2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Persistencia localStorage</w:t>
            </w:r>
          </w:p>
        </w:tc>
        <w:tc>
          <w:tcPr>
            <w:tcW w:type="dxa" w:w="5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Las incidencias sobreviven a recargas. Clave 'sonepar_incidencias'. Fallback a las 4 de demo si está vacío.</w:t>
            </w:r>
          </w:p>
        </w:tc>
      </w:tr>
      <w:tr>
        <w:tc>
          <w:tcPr>
            <w:tcW w:type="dxa" w:w="1200"/>
            <w:tcBorders>
              <w:top w:val="single" w:color="C62828" w:sz="6"/>
              <w:left w:val="single" w:color="C62828" w:sz="6"/>
              <w:bottom w:val="single" w:color="C62828" w:sz="6"/>
              <w:right w:val="single" w:color="C62828" w:sz="6"/>
            </w:tcBorders>
            <w:shd w:fill="C6282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ALTA</w:t>
            </w:r>
          </w:p>
        </w:tc>
        <w:tc>
          <w:tcPr>
            <w:tcW w:type="dxa" w:w="2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Indicador diagnóstico IA</w:t>
            </w:r>
          </w:p>
        </w:tc>
        <w:tc>
          <w:tcPr>
            <w:tcW w:type="dxa" w:w="5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Badge en cada fila del listado: verde 'CON DIAGNÓSTICO' vs gris 'PENDIENTE'. Sin necesidad de abrir la incidencia.</w:t>
            </w:r>
          </w:p>
        </w:tc>
      </w:tr>
      <w:tr>
        <w:tc>
          <w:tcPr>
            <w:tcW w:type="dxa" w:w="1200"/>
            <w:tcBorders>
              <w:top w:val="single" w:color="C62828" w:sz="6"/>
              <w:left w:val="single" w:color="C62828" w:sz="6"/>
              <w:bottom w:val="single" w:color="C62828" w:sz="6"/>
              <w:right w:val="single" w:color="C62828" w:sz="6"/>
            </w:tcBorders>
            <w:shd w:fill="C6282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ALTA</w:t>
            </w:r>
          </w:p>
        </w:tc>
        <w:tc>
          <w:tcPr>
            <w:tcW w:type="dxa" w:w="2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Alerta incidencias críticas</w:t>
            </w:r>
          </w:p>
        </w:tc>
        <w:tc>
          <w:tcPr>
            <w:tcW w:type="dxa" w:w="5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Banner rojo si hay incidencias con severidad Crítica, estado Abierta y más de 2 horas de antigüedad (&gt; 7.200.000 ms).</w:t>
            </w:r>
          </w:p>
        </w:tc>
      </w:tr>
      <w:tr>
        <w:tc>
          <w:tcPr>
            <w:tcW w:type="dxa" w:w="1200"/>
            <w:tcBorders>
              <w:top w:val="single" w:color="C07010" w:sz="6"/>
              <w:left w:val="single" w:color="C07010" w:sz="6"/>
              <w:bottom w:val="single" w:color="C07010" w:sz="6"/>
              <w:right w:val="single" w:color="C07010" w:sz="6"/>
            </w:tcBorders>
            <w:shd w:fill="C0701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MEDIA</w:t>
            </w:r>
          </w:p>
        </w:tc>
        <w:tc>
          <w:tcPr>
            <w:tcW w:type="dxa" w:w="2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Toast de confirmación</w:t>
            </w:r>
          </w:p>
        </w:tc>
        <w:tc>
          <w:tcPr>
            <w:tcW w:type="dxa" w:w="5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Feedback visual al guardar incidencia, cambiar estado o guardar observación. Auto-limpieza a los 2500ms.</w:t>
            </w:r>
          </w:p>
        </w:tc>
      </w:tr>
      <w:tr>
        <w:tc>
          <w:tcPr>
            <w:tcW w:type="dxa" w:w="1200"/>
            <w:tcBorders>
              <w:top w:val="single" w:color="C07010" w:sz="6"/>
              <w:left w:val="single" w:color="C07010" w:sz="6"/>
              <w:bottom w:val="single" w:color="C07010" w:sz="6"/>
              <w:right w:val="single" w:color="C07010" w:sz="6"/>
            </w:tcBorders>
            <w:shd w:fill="C0701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MEDIA</w:t>
            </w:r>
          </w:p>
        </w:tc>
        <w:tc>
          <w:tcPr>
            <w:tcW w:type="dxa" w:w="2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Campo de observaciones</w:t>
            </w:r>
          </w:p>
        </w:tc>
        <w:tc>
          <w:tcPr>
            <w:tcW w:type="dxa" w:w="5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Textarea en vista detalle para notas de seguimiento. Campo 'observaciones' en el objeto incidencia, string vacío por defecto.</w:t>
            </w:r>
          </w:p>
        </w:tc>
      </w:tr>
      <w:tr>
        <w:tc>
          <w:tcPr>
            <w:tcW w:type="dxa" w:w="1200"/>
            <w:tcBorders>
              <w:top w:val="single" w:color="C07010" w:sz="6"/>
              <w:left w:val="single" w:color="C07010" w:sz="6"/>
              <w:bottom w:val="single" w:color="C07010" w:sz="6"/>
              <w:right w:val="single" w:color="C07010" w:sz="6"/>
            </w:tcBorders>
            <w:shd w:fill="C0701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MEDIA</w:t>
            </w:r>
          </w:p>
        </w:tc>
        <w:tc>
          <w:tcPr>
            <w:tcW w:type="dxa" w:w="2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Estadísticas de resolución</w:t>
            </w:r>
          </w:p>
        </w:tc>
        <w:tc>
          <w:tcPr>
            <w:tcW w:type="dxa" w:w="5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Tiempo medio de resolución en horas por tipo de equipo, calculado sobre incidencias resueltas con ambos timestamps.</w:t>
            </w:r>
          </w:p>
        </w:tc>
      </w:tr>
      <w:tr>
        <w:tc>
          <w:tcPr>
            <w:tcW w:type="dxa" w:w="1200"/>
            <w:tcBorders>
              <w:top w:val="single" w:color="1A6040" w:sz="6"/>
              <w:left w:val="single" w:color="1A6040" w:sz="6"/>
              <w:bottom w:val="single" w:color="1A6040" w:sz="6"/>
              <w:right w:val="single" w:color="1A6040" w:sz="6"/>
            </w:tcBorders>
            <w:shd w:fill="1A604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BAJA</w:t>
            </w:r>
          </w:p>
        </w:tc>
        <w:tc>
          <w:tcPr>
            <w:tcW w:type="dxa" w:w="2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Animación de entrada</w:t>
            </w:r>
          </w:p>
        </w:tc>
        <w:tc>
          <w:tcPr>
            <w:tcW w:type="dxa" w:w="5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Transición CSS al añadir una nueva incidencia al listado.</w:t>
            </w:r>
          </w:p>
        </w:tc>
      </w:tr>
    </w:tbl>
    <w:p>
      <w:pPr>
        <w:spacing w:before="26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4. Detalle técnico por cambio</w:t>
      </w:r>
    </w:p>
    <w:p>
      <w:pPr>
        <w:spacing w:before="260" w:after="80"/>
      </w:pPr>
      <w:r>
        <w:rPr>
          <w:rFonts w:ascii="Arial" w:cs="Arial" w:eastAsia="Arial" w:hAnsi="Arial"/>
          <w:b/>
          <w:bCs/>
          <w:color w:val="C62828"/>
          <w:sz w:val="22"/>
          <w:szCs w:val="22"/>
        </w:rPr>
        <w:t xml:space="preserve">4.1  Persistencia</w:t>
      </w:r>
    </w:p>
    <w:p>
      <w:pPr>
        <w:spacing w:before="60" w:after="8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Clave: 'sonepar_incidencias'. Escritura en cada modificación (crear, cambiar estado, guardar diagnóstico, guardar observación). Lectura en useEffect de montaje. Si vacío, cargar las 4 de demo con timestamps de Date.now() - 1800000 (hace 30 min) para no activar la alerta de 2h por defecto.</w:t>
      </w:r>
    </w:p>
    <w:p>
      <w:pPr>
        <w:spacing w:before="60" w:after="8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Migración automática: si una incidencia cargada no tiene campo 'fechaCreacion' (dato de v1), añadirlo con Date.now() en el momento de la carga.</w:t>
      </w:r>
    </w:p>
    <w:p>
      <w:pPr>
        <w:spacing w:before="260" w:after="80"/>
      </w:pPr>
      <w:r>
        <w:rPr>
          <w:rFonts w:ascii="Arial" w:cs="Arial" w:eastAsia="Arial" w:hAnsi="Arial"/>
          <w:b/>
          <w:bCs/>
          <w:color w:val="C62828"/>
          <w:sz w:val="22"/>
          <w:szCs w:val="22"/>
        </w:rPr>
        <w:t xml:space="preserve">4.2  Alerta incidencias críticas</w:t>
      </w:r>
    </w:p>
    <w:p>
      <w:pPr>
        <w:spacing w:before="60" w:after="8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Condición: severidad === 'Crítica' AND estado === 'Abierta' AND (Date.now() - fechaCreacion) &gt; 7200000. El campo fechaCreacion debe guardarse como timestamp numérico (Date.now()), no como string formateado como en v1.</w:t>
      </w:r>
    </w:p>
    <w:p>
      <w:pPr>
        <w:spacing w:before="60" w:after="8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Renderizado: banner fijo bajo el header con fondo rojo oscuro, mostrando el número de incidencias críticas sin atender y sus referencias. Se oculta si la condición no se cumple para ninguna incidencia.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Detalle</w:t>
            </w:r>
          </w:p>
        </w:tc>
        <w:tc>
          <w:tcPr>
            <w:tcW w:type="dxa" w:w="6026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Valor / Descripción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Umbral de tiempo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7.200.000 ms = 2 horas exactas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Campo requerido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fechaCreacion: number (Date.now() al crear la incidencia)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Campo nuevo v2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fechaResolucion: number|null — Date.now() al cambiar a estado Resuelta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Demos con timestamps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Date.now() - 1800000 (30 min atrás) — no activa la alerta al cargar</w:t>
            </w:r>
          </w:p>
        </w:tc>
      </w:tr>
    </w:tbl>
    <w:p>
      <w:pPr>
        <w:spacing w:before="260" w:after="80"/>
      </w:pPr>
      <w:r>
        <w:rPr>
          <w:rFonts w:ascii="Arial" w:cs="Arial" w:eastAsia="Arial" w:hAnsi="Arial"/>
          <w:b/>
          <w:bCs/>
          <w:color w:val="C62828"/>
          <w:sz w:val="22"/>
          <w:szCs w:val="22"/>
        </w:rPr>
        <w:t xml:space="preserve">4.3  Campo observaciones</w:t>
      </w:r>
    </w:p>
    <w:p>
      <w:pPr>
        <w:spacing w:before="60" w:after="8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Nuevo campo 'observaciones' en el objeto incidencia, inicializado como string vacío. Textarea en vista detalle con botón 'Guardar observación'. Al guardar: update inmutable del array con map(), escritura en localStorage, toast de confirmación. maxLength: 500 caracteres.</w:t>
      </w:r>
    </w:p>
    <w:p>
      <w:pPr>
        <w:spacing w:before="260" w:after="80"/>
      </w:pPr>
      <w:r>
        <w:rPr>
          <w:rFonts w:ascii="Arial" w:cs="Arial" w:eastAsia="Arial" w:hAnsi="Arial"/>
          <w:b/>
          <w:bCs/>
          <w:color w:val="C62828"/>
          <w:sz w:val="22"/>
          <w:szCs w:val="22"/>
        </w:rPr>
        <w:t xml:space="preserve">4.4  Estadísticas de resolución</w:t>
      </w:r>
    </w:p>
    <w:p>
      <w:pPr>
        <w:spacing w:before="60" w:after="8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Calculadas sobre incidencias con estado === 'Resuelta' y fechaResolucion !== null. Agrupación por campo 'equipo'. Métrica: (fechaResolucion - fechaCreacion) / 3600000 para obtener horas. Panel colapsable en el footer del dashboard, visible solo si hay 2 o más incidencias resueltas con datos completos.</w:t>
      </w:r>
    </w:p>
    <w:p>
      <w:pPr>
        <w:pBdr>
          <w:bottom w:val="single" w:color="E0DBD4" w:sz="2" w:space="1"/>
        </w:pBdr>
        <w:spacing w:before="220" w:after="220"/>
      </w:pPr>
      <w:r>
        <w:t xml:space="preserve"/>
      </w:r>
    </w:p>
    <w:p>
      <w:pPr>
        <w:spacing w:before="26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5. Estructura de datos — objeto incidencia v2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Detalle</w:t>
            </w:r>
          </w:p>
        </w:tc>
        <w:tc>
          <w:tcPr>
            <w:tcW w:type="dxa" w:w="6026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Valor / Descripción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Date.now() — timestamp como ID único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equipo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string — nombre del equipo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zona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string — zona del almacén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operario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string — operario que reporta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sintoma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string — descripción del síntoma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severidad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string — Crítica / Alta / Media / Baja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estado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string — Abierta / En diagnóstico / Resuelta / Escalada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fechaCreacion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number — Date.now() — NUEVO en v2: timestamp numérico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fechaResolucion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number|null — NUEVO en v2: Date.now() al resolver, null si no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observaciones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string — NUEVO en v2: notas de seguimiento, vacío por defecto</w:t>
            </w:r>
          </w:p>
        </w:tc>
      </w:tr>
      <w:tr>
        <w:tc>
          <w:tcPr>
            <w:tcW w:type="dxa" w:w="30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diagnostico</w:t>
            </w:r>
          </w:p>
        </w:tc>
        <w:tc>
          <w:tcPr>
            <w:tcW w:type="dxa" w:w="6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object|null — JSON IA con causa, pasos, solución, prevención</w:t>
            </w:r>
          </w:p>
        </w:tc>
      </w:tr>
    </w:tbl>
    <w:p>
      <w:pPr>
        <w:pBdr>
          <w:bottom w:val="single" w:color="E0DBD4" w:sz="2" w:space="1"/>
        </w:pBdr>
        <w:spacing w:before="220" w:after="220"/>
      </w:pPr>
      <w:r>
        <w:t xml:space="preserve"/>
      </w:r>
    </w:p>
    <w:p>
      <w:pPr>
        <w:spacing w:before="26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6. Fuera del alcance de v2.0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Exportación a Excel o PDF: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Se evalúa para v3 cuando el historial tenga volumen suficiente.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Notificaciones externas: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Email o Slack para críticas. Requiere backend fuera del alcance standalone.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Multi-usuario: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Control de acceso y roles se plantea en fase de integración real.</w:t>
      </w:r>
    </w:p>
    <w:p>
      <w:pPr>
        <w:pBdr>
          <w:bottom w:val="single" w:color="E0DBD4" w:sz="2" w:space="1"/>
        </w:pBdr>
        <w:spacing w:before="220" w:after="220"/>
      </w:pPr>
      <w:r>
        <w:t xml:space="preserve"/>
      </w:r>
    </w:p>
    <w:p>
      <w:pPr>
        <w:spacing w:before="26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7. Riesgos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026"/>
      </w:tblGrid>
      <w:tr>
        <w:tc>
          <w:tcPr>
            <w:tcW w:type="dxa" w:w="32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Riesgo</w:t>
            </w:r>
          </w:p>
        </w:tc>
        <w:tc>
          <w:tcPr>
            <w:tcW w:type="dxa" w:w="1800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Probabilidad</w:t>
            </w:r>
          </w:p>
        </w:tc>
        <w:tc>
          <w:tcPr>
            <w:tcW w:type="dxa" w:w="4026"/>
            <w:tcBorders>
              <w:top w:val="single" w:color="1A1A2E" w:sz="6"/>
              <w:left w:val="single" w:color="1A1A2E" w:sz="6"/>
              <w:bottom w:val="single" w:color="1A1A2E" w:sz="6"/>
              <w:right w:val="single" w:color="1A1A2E" w:sz="6"/>
            </w:tcBorders>
            <w:shd w:fill="1A1A2E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7"/>
                <w:szCs w:val="17"/>
              </w:rPr>
              <w:t xml:space="preserve">Mitigación</w:t>
            </w:r>
          </w:p>
        </w:tc>
      </w:tr>
      <w:tr>
        <w:tc>
          <w:tcPr>
            <w:tcW w:type="dxa" w:w="32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Timestamps de demos activan la alerta al cargar</w:t>
            </w:r>
          </w:p>
        </w:tc>
        <w:tc>
          <w:tcPr>
            <w:tcW w:type="dxa" w:w="1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8"/>
                <w:szCs w:val="18"/>
              </w:rPr>
              <w:t xml:space="preserve">Alta</w:t>
            </w:r>
          </w:p>
        </w:tc>
        <w:tc>
          <w:tcPr>
            <w:tcW w:type="dxa" w:w="4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Asignar Date.now() - 1800000 en los demos. Nunca fechas hardcodeadas absolutas.</w:t>
            </w:r>
          </w:p>
        </w:tc>
      </w:tr>
      <w:tr>
        <w:tc>
          <w:tcPr>
            <w:tcW w:type="dxa" w:w="32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localStorage no disponible en entorno Claude</w:t>
            </w:r>
          </w:p>
        </w:tc>
        <w:tc>
          <w:tcPr>
            <w:tcW w:type="dxa" w:w="1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8"/>
                <w:szCs w:val="18"/>
              </w:rPr>
              <w:t xml:space="preserve">Alta</w:t>
            </w:r>
          </w:p>
        </w:tc>
        <w:tc>
          <w:tcPr>
            <w:tcW w:type="dxa" w:w="4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try/catch en todas las operaciones. Fallo silencioso sin romper la UI.</w:t>
            </w:r>
          </w:p>
        </w:tc>
      </w:tr>
      <w:tr>
        <w:tc>
          <w:tcPr>
            <w:tcW w:type="dxa" w:w="32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Datos v1 sin fechaCreacion rompen el cálculo de alerta</w:t>
            </w:r>
          </w:p>
        </w:tc>
        <w:tc>
          <w:tcPr>
            <w:tcW w:type="dxa" w:w="1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7010"/>
                <w:sz w:val="18"/>
                <w:szCs w:val="18"/>
              </w:rPr>
              <w:t xml:space="preserve">Media</w:t>
            </w:r>
          </w:p>
        </w:tc>
        <w:tc>
          <w:tcPr>
            <w:tcW w:type="dxa" w:w="4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Migración automática en useEffect: añadir Date.now() a incidencias sin ese campo.</w:t>
            </w:r>
          </w:p>
        </w:tc>
      </w:tr>
      <w:tr>
        <w:tc>
          <w:tcPr>
            <w:tcW w:type="dxa" w:w="32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Textarea de observaciones desborda el layout</w:t>
            </w:r>
          </w:p>
        </w:tc>
        <w:tc>
          <w:tcPr>
            <w:tcW w:type="dxa" w:w="1800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6040"/>
                <w:sz w:val="18"/>
                <w:szCs w:val="18"/>
              </w:rPr>
              <w:t xml:space="preserve">Baja</w:t>
            </w:r>
          </w:p>
        </w:tc>
        <w:tc>
          <w:tcPr>
            <w:tcW w:type="dxa" w:w="4026"/>
            <w:tcBorders>
              <w:top w:val="single" w:color="E0DBD4" w:sz="6"/>
              <w:left w:val="single" w:color="E0DBD4" w:sz="6"/>
              <w:bottom w:val="single" w:color="E0DBD4" w:sz="6"/>
              <w:right w:val="single" w:color="E0DBD4" w:sz="6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maxLength 500, overflow-y: auto en el contenedor de la vista detalle.</w:t>
            </w:r>
          </w:p>
        </w:tc>
      </w:tr>
    </w:tbl>
    <w:p>
      <w:pPr>
        <w:pBdr>
          <w:bottom w:val="single" w:color="E0DBD4" w:sz="2" w:space="1"/>
        </w:pBdr>
        <w:spacing w:before="220" w:after="220"/>
      </w:pPr>
      <w:r>
        <w:t xml:space="preserve"/>
      </w:r>
    </w:p>
    <w:p>
      <w:pPr>
        <w:spacing w:before="260" w:after="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8. Criterios de aceptación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Persistencia: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Crear incidencia, recargar, la incidencia sigue presente con todos sus campos.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Indicador diagnóstico: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En el listado es visible sin abrir ninguna incidencia cuáles tienen diagnóstico y cuáles no.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Alerta: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Incidencia Crítica + Abierta + más de 2h muestra banner. Al cambiar su estado el banner desaparece.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Toast: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Al guardar aparece confirmación visual que desaparece sola en menos de 3 segundos.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Observaciones: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Texto añadido en observaciones persiste tras recargar.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Sin regresiones: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Filtros, cambio de estado, diagnóstico IA y KPIs funcionan igual que en v1.</w:t>
      </w:r>
    </w:p>
    <w:p>
      <w:pPr>
        <w:pBdr>
          <w:bottom w:val="single" w:color="E0DBD4" w:sz="2" w:space="1"/>
        </w:pBdr>
        <w:spacing w:before="220" w:after="220"/>
      </w:pPr>
      <w:r>
        <w:t xml:space="preserve"/>
      </w:r>
    </w:p>
    <w:p>
      <w:pPr>
        <w:spacing w:before="0" w:after="0"/>
      </w:pPr>
      <w:r>
        <w:rPr>
          <w:rFonts w:ascii="Arial" w:cs="Arial" w:eastAsia="Arial" w:hAnsi="Arial"/>
          <w:i/>
          <w:iCs/>
          <w:color w:val="999999"/>
          <w:sz w:val="17"/>
          <w:szCs w:val="17"/>
        </w:rPr>
        <w:t xml:space="preserve">Sonepar Tools · Iago Robo · Prácticas Sonepar A Coruña 2026 · dashboard-incidencias/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2026-03-07T06:01:42.381Z</dcterms:created>
  <dcterms:modified xsi:type="dcterms:W3CDTF">2026-03-07T06:01:42.382Z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