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color w:val="999999"/>
          <w:sz w:val="20"/>
          <w:szCs w:val="20"/>
        </w:rPr>
        <w:t xml:space="preserve">SONEPAR TOOLS  ·  CHANGELOG</w:t>
      </w:r>
    </w:p>
    <w:p>
      <w:pPr>
        <w:spacing w:before="0" w:after="10"/>
      </w:pPr>
      <w:r>
        <w:rPr>
          <w:rFonts w:ascii="Arial" w:cs="Arial" w:eastAsia="Arial" w:hAnsi="Arial"/>
          <w:b/>
          <w:bCs/>
          <w:color w:val="1A1A2E"/>
          <w:sz w:val="40"/>
          <w:szCs w:val="40"/>
        </w:rPr>
        <w:t xml:space="preserve">Asistente de Fichas Técnicas</w:t>
      </w:r>
    </w:p>
    <w:p>
      <w:pPr>
        <w:pBdr>
          <w:bottom w:val="single" w:color="1A6040" w:sz="12" w:space="6"/>
        </w:pBdr>
        <w:spacing w:before="0" w:after="30"/>
      </w:pPr>
      <w:r>
        <w:rPr>
          <w:rFonts w:ascii="Arial" w:cs="Arial" w:eastAsia="Arial" w:hAnsi="Arial"/>
          <w:b/>
          <w:bCs/>
          <w:color w:val="1A6040"/>
          <w:sz w:val="26"/>
          <w:szCs w:val="26"/>
        </w:rPr>
        <w:t xml:space="preserve">v2.0  </w:t>
      </w:r>
      <w:r>
        <w:rPr>
          <w:rFonts w:ascii="Arial" w:cs="Arial" w:eastAsia="Arial" w:hAnsi="Arial"/>
          <w:color w:val="999999"/>
          <w:sz w:val="20"/>
          <w:szCs w:val="20"/>
        </w:rPr>
        <w:t xml:space="preserve">·  Marzo 2026  ·  Iago Robo  ·  fichas-tecnicas/sonepar-fichas-tecnicas-v2.jsx</w:t>
      </w:r>
    </w:p>
    <w:p>
      <w:pPr>
        <w:spacing w:before="260" w:after="80"/>
      </w:pPr>
      <w:r>
        <w:rPr>
          <w:rFonts w:ascii="Arial" w:cs="Arial" w:eastAsia="Arial" w:hAnsi="Arial"/>
          <w:b/>
          <w:bCs/>
          <w:color w:val="1A1A2E"/>
          <w:sz w:val="22"/>
          <w:szCs w:val="22"/>
        </w:rPr>
        <w:t xml:space="preserve">Resumen de la actualización</w:t>
      </w:r>
    </w:p>
    <w:p>
      <w:pPr>
        <w:spacing w:before="60" w:after="80"/>
      </w:pPr>
      <w:r>
        <w:rPr>
          <w:rFonts w:ascii="Arial" w:cs="Arial" w:eastAsia="Arial" w:hAnsi="Arial"/>
          <w:color w:val="555555"/>
          <w:sz w:val="19"/>
          <w:szCs w:val="19"/>
        </w:rPr>
        <w:t xml:space="preserve">La v2.0 añade cuatro funcionalidades que convierten el asistente de consulta básica en herramienta de trabajo real: la validación de consultas vagas evita fichas de baja calidad, el modo comparativa resuelve el caso de uso más frecuente en el mostrador (elegir entre dos productos similares), el historial persistente evita buscar lo mismo dos veces en el mismo turno, y la exportación PDF/copiar permite compartir la información sin copiar manualmente. El motor de búsqueda (llamada a la API, schema base) no cambia salvo la adición del campo precio_orientativo y la rama de error.</w:t>
      </w:r>
    </w:p>
    <w:p>
      <w:pPr>
        <w:spacing w:before="260" w:after="80"/>
      </w:pPr>
      <w:r>
        <w:rPr>
          <w:rFonts w:ascii="Arial" w:cs="Arial" w:eastAsia="Arial" w:hAnsi="Arial"/>
          <w:b/>
          <w:bCs/>
          <w:color w:val="1A1A2E"/>
          <w:sz w:val="22"/>
          <w:szCs w:val="22"/>
        </w:rPr>
        <w:t xml:space="preserve">Versiones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3626"/>
      </w:tblGrid>
      <w:tr>
        <w:tc>
          <w:tcPr>
            <w:tcW w:type="dxa" w:w="14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Versión</w:t>
            </w:r>
          </w:p>
        </w:tc>
        <w:tc>
          <w:tcPr>
            <w:tcW w:type="dxa" w:w="18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Fecha</w:t>
            </w:r>
          </w:p>
        </w:tc>
        <w:tc>
          <w:tcPr>
            <w:tcW w:type="dxa" w:w="22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Estado</w:t>
            </w:r>
          </w:p>
        </w:tc>
        <w:tc>
          <w:tcPr>
            <w:tcW w:type="dxa" w:w="3626"/>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Descripción</w:t>
            </w:r>
          </w:p>
        </w:tc>
      </w:tr>
      <w:tr>
        <w:tc>
          <w:tcPr>
            <w:tcW w:type="dxa" w:w="14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999999"/>
                <w:sz w:val="18"/>
                <w:szCs w:val="18"/>
              </w:rPr>
              <w:t xml:space="preserve">v1.0</w:t>
            </w:r>
          </w:p>
        </w:tc>
        <w:tc>
          <w:tcPr>
            <w:tcW w:type="dxa" w:w="18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val="false"/>
                <w:bCs w:val="false"/>
                <w:i w:val="false"/>
                <w:iCs w:val="false"/>
                <w:color w:val="999999"/>
                <w:sz w:val="18"/>
                <w:szCs w:val="18"/>
              </w:rPr>
              <w:t xml:space="preserve">Marzo 2026</w:t>
            </w:r>
          </w:p>
        </w:tc>
        <w:tc>
          <w:tcPr>
            <w:tcW w:type="dxa" w:w="22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val="false"/>
                <w:bCs w:val="false"/>
                <w:i/>
                <w:iCs/>
                <w:color w:val="999999"/>
                <w:sz w:val="18"/>
                <w:szCs w:val="18"/>
              </w:rPr>
              <w:t xml:space="preserve">Superado</w:t>
            </w:r>
          </w:p>
        </w:tc>
        <w:tc>
          <w:tcPr>
            <w:tcW w:type="dxa" w:w="3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val="false"/>
                <w:bCs w:val="false"/>
                <w:i w:val="false"/>
                <w:iCs w:val="false"/>
                <w:color w:val="999999"/>
                <w:sz w:val="18"/>
                <w:szCs w:val="18"/>
              </w:rPr>
              <w:t xml:space="preserve">Prototipo. Búsqueda libre, ficha estructurada, filtros categoría, accesos rápidos, historial de sesión.</w:t>
            </w:r>
          </w:p>
        </w:tc>
      </w:tr>
      <w:tr>
        <w:tc>
          <w:tcPr>
            <w:tcW w:type="dxa" w:w="14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6040"/>
                <w:sz w:val="18"/>
                <w:szCs w:val="18"/>
              </w:rPr>
              <w:t xml:space="preserve">v2.0</w:t>
            </w:r>
          </w:p>
        </w:tc>
        <w:tc>
          <w:tcPr>
            <w:tcW w:type="dxa" w:w="18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val="false"/>
                <w:bCs w:val="false"/>
                <w:i w:val="false"/>
                <w:iCs w:val="false"/>
                <w:color w:val="1A1A2E"/>
                <w:sz w:val="18"/>
                <w:szCs w:val="18"/>
              </w:rPr>
              <w:t xml:space="preserve">Marzo 2026</w:t>
            </w:r>
          </w:p>
        </w:tc>
        <w:tc>
          <w:tcPr>
            <w:tcW w:type="dxa" w:w="22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6040"/>
                <w:sz w:val="18"/>
                <w:szCs w:val="18"/>
              </w:rPr>
              <w:t xml:space="preserve">Publicado</w:t>
            </w:r>
          </w:p>
        </w:tc>
        <w:tc>
          <w:tcPr>
            <w:tcW w:type="dxa" w:w="3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val="false"/>
                <w:bCs w:val="false"/>
                <w:i w:val="false"/>
                <w:iCs w:val="false"/>
                <w:color w:val="1A1A2E"/>
                <w:sz w:val="18"/>
                <w:szCs w:val="18"/>
              </w:rPr>
              <w:t xml:space="preserve">Validación vagas, comparativa IA, historial persistente, PDF, copiar, precio orientativo, disclaimer.</w:t>
            </w:r>
          </w:p>
        </w:tc>
      </w:tr>
      <w:tr>
        <w:tc>
          <w:tcPr>
            <w:tcW w:type="dxa" w:w="14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999999"/>
                <w:sz w:val="18"/>
                <w:szCs w:val="18"/>
              </w:rPr>
              <w:t xml:space="preserve">v3.0</w:t>
            </w:r>
          </w:p>
        </w:tc>
        <w:tc>
          <w:tcPr>
            <w:tcW w:type="dxa" w:w="18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val="false"/>
                <w:bCs w:val="false"/>
                <w:i/>
                <w:iCs/>
                <w:color w:val="999999"/>
                <w:sz w:val="18"/>
                <w:szCs w:val="18"/>
              </w:rPr>
              <w:t xml:space="preserve">Pendiente</w:t>
            </w:r>
          </w:p>
        </w:tc>
        <w:tc>
          <w:tcPr>
            <w:tcW w:type="dxa" w:w="22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val="false"/>
                <w:bCs w:val="false"/>
                <w:i/>
                <w:iCs/>
                <w:color w:val="999999"/>
                <w:sz w:val="18"/>
                <w:szCs w:val="18"/>
              </w:rPr>
              <w:t xml:space="preserve">Planificado</w:t>
            </w:r>
          </w:p>
        </w:tc>
        <w:tc>
          <w:tcPr>
            <w:tcW w:type="dxa" w:w="3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val="false"/>
                <w:bCs w:val="false"/>
                <w:i w:val="false"/>
                <w:iCs w:val="false"/>
                <w:color w:val="999999"/>
                <w:sz w:val="18"/>
                <w:szCs w:val="18"/>
              </w:rPr>
              <w:t xml:space="preserve">Búsqueda por síntoma de avería, exportación comparativa a PDF, modo offline con caché.</w:t>
            </w:r>
          </w:p>
        </w:tc>
      </w:tr>
    </w:tbl>
    <w:p>
      <w:pPr>
        <w:spacing w:before="260" w:after="80"/>
      </w:pPr>
      <w:r>
        <w:rPr>
          <w:rFonts w:ascii="Arial" w:cs="Arial" w:eastAsia="Arial" w:hAnsi="Arial"/>
          <w:b/>
          <w:bCs/>
          <w:color w:val="1A1A2E"/>
          <w:sz w:val="22"/>
          <w:szCs w:val="22"/>
        </w:rPr>
        <w:t xml:space="preserve">Cambios detallados — v1.0 → v2.0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626"/>
      </w:tblGrid>
      <w:tr>
        <w:tc>
          <w:tcPr>
            <w:tcW w:type="dxa" w:w="14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Tipo</w:t>
            </w:r>
          </w:p>
        </w:tc>
        <w:tc>
          <w:tcPr>
            <w:tcW w:type="dxa" w:w="20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Componente</w:t>
            </w:r>
          </w:p>
        </w:tc>
        <w:tc>
          <w:tcPr>
            <w:tcW w:type="dxa" w:w="5626"/>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Descripción y detalle técnico</w:t>
            </w:r>
          </w:p>
        </w:tc>
      </w:tr>
      <w:tr>
        <w:tc>
          <w:tcPr>
            <w:tcW w:type="dxa" w:w="1400"/>
            <w:tcBorders>
              <w:top w:val="single" w:color="1A6040" w:sz="6"/>
              <w:left w:val="single" w:color="1A6040" w:sz="6"/>
              <w:bottom w:val="single" w:color="1A6040" w:sz="6"/>
              <w:right w:val="single" w:color="1A6040" w:sz="6"/>
            </w:tcBorders>
            <w:shd w:fill="1A6040"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NUEVO</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Validación consultas vagas</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Consultas genéricas devuelven error con 3 sugerencias clicables en lugar de ficha de baja calidad</w:t>
            </w:r>
          </w:p>
          <w:p>
            <w:pPr>
              <w:spacing w:before="40"/>
            </w:pPr>
            <w:r>
              <w:rPr>
                <w:rFonts w:ascii="Arial" w:cs="Arial" w:eastAsia="Arial" w:hAnsi="Arial"/>
                <w:i/>
                <w:iCs/>
                <w:color w:val="555555"/>
                <w:sz w:val="17"/>
                <w:szCs w:val="17"/>
              </w:rPr>
              <w:t xml:space="preserve">El prompt v2 define dos ramas: si la consulta no identifica un producto concreto, la IA devuelve {error: true, mensaje, sugerencias[3]}. Si es válida, devuelve el schema completo. La UI detecta parsed.error === true y renderiza el panel de error con fondo amarillo. Cada sugerencia es un botón que llama a buscar(sugerencia) automáticamente — rellena el input y lanza la búsqueda sin interacción adicional.</w:t>
            </w:r>
          </w:p>
        </w:tc>
      </w:tr>
      <w:tr>
        <w:tc>
          <w:tcPr>
            <w:tcW w:type="dxa" w:w="1400"/>
            <w:tcBorders>
              <w:top w:val="single" w:color="1A6040" w:sz="6"/>
              <w:left w:val="single" w:color="1A6040" w:sz="6"/>
              <w:bottom w:val="single" w:color="1A6040" w:sz="6"/>
              <w:right w:val="single" w:color="1A6040" w:sz="6"/>
            </w:tcBorders>
            <w:shd w:fill="1A6040"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NUEVO</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Precio orientativo</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Campo precio_orientativo en el schema — rango estimado visible en la cabecera de la ficha</w:t>
            </w:r>
          </w:p>
          <w:p>
            <w:pPr>
              <w:spacing w:before="40"/>
            </w:pPr>
            <w:r>
              <w:rPr>
                <w:rFonts w:ascii="Arial" w:cs="Arial" w:eastAsia="Arial" w:hAnsi="Arial"/>
                <w:i/>
                <w:iCs/>
                <w:color w:val="555555"/>
                <w:sz w:val="17"/>
                <w:szCs w:val="17"/>
              </w:rPr>
              <w:t xml:space="preserve">Añadido al prompt como campo obligatorio: 'precio_orientativo: rango orientativo en € sin IVA (ej: 45–65€)'. Se renderiza en la cabecera junto a referencia y fabricante, en verde para diferenciarlo. Cubierto por el disclaimer visible en la parte inferior de la ficha.</w:t>
            </w:r>
          </w:p>
        </w:tc>
      </w:tr>
      <w:tr>
        <w:tc>
          <w:tcPr>
            <w:tcW w:type="dxa" w:w="1400"/>
            <w:tcBorders>
              <w:top w:val="single" w:color="1A6040" w:sz="6"/>
              <w:left w:val="single" w:color="1A6040" w:sz="6"/>
              <w:bottom w:val="single" w:color="1A6040" w:sz="6"/>
              <w:right w:val="single" w:color="1A6040" w:sz="6"/>
            </w:tcBorders>
            <w:shd w:fill="1A6040"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NUEVO</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Botón copiar ficha</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Texto plano de la ficha completa copiado al portapapeles con un clic</w:t>
            </w:r>
          </w:p>
          <w:p>
            <w:pPr>
              <w:spacing w:before="40"/>
            </w:pPr>
            <w:r>
              <w:rPr>
                <w:rFonts w:ascii="Arial" w:cs="Arial" w:eastAsia="Arial" w:hAnsi="Arial"/>
                <w:i/>
                <w:iCs/>
                <w:color w:val="555555"/>
                <w:sz w:val="17"/>
                <w:szCs w:val="17"/>
              </w:rPr>
              <w:t xml:space="preserve">Función copiarFicha() construye un string con todos los campos: nombre, referencia, fabricante, precio orientativo, descripción, características, aplicaciones, normativas, consejo técnico y disclaimer. navigator.clipboard.writeText() con toast de confirmación de 2500ms. Formato optimizado para pegar directamente en WhatsApp o email.</w:t>
            </w:r>
          </w:p>
        </w:tc>
      </w:tr>
      <w:tr>
        <w:tc>
          <w:tcPr>
            <w:tcW w:type="dxa" w:w="1400"/>
            <w:tcBorders>
              <w:top w:val="single" w:color="1A6040" w:sz="6"/>
              <w:left w:val="single" w:color="1A6040" w:sz="6"/>
              <w:bottom w:val="single" w:color="1A6040" w:sz="6"/>
              <w:right w:val="single" w:color="1A6040" w:sz="6"/>
            </w:tcBorders>
            <w:shd w:fill="1A6040"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NUEVO</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Exportación PDF</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Impresión limpia de la ficha activa con window.print()</w:t>
            </w:r>
          </w:p>
          <w:p>
            <w:pPr>
              <w:spacing w:before="40"/>
            </w:pPr>
            <w:r>
              <w:rPr>
                <w:rFonts w:ascii="Arial" w:cs="Arial" w:eastAsia="Arial" w:hAnsi="Arial"/>
                <w:i/>
                <w:iCs/>
                <w:color w:val="555555"/>
                <w:sz w:val="17"/>
                <w:szCs w:val="17"/>
              </w:rPr>
              <w:t xml:space="preserve">Clase 'no-print' en: header, sidebar, buscador, botones de acción. @media print en el bloque &lt;style&gt;. El bloque de ficha se imprime con fondo blanco. El disclaimer de precios orientativos sí se incluye en el PDF al ser parte relevante del documento.</w:t>
            </w:r>
          </w:p>
        </w:tc>
      </w:tr>
      <w:tr>
        <w:tc>
          <w:tcPr>
            <w:tcW w:type="dxa" w:w="1400"/>
            <w:tcBorders>
              <w:top w:val="single" w:color="1A6040" w:sz="6"/>
              <w:left w:val="single" w:color="1A6040" w:sz="6"/>
              <w:bottom w:val="single" w:color="1A6040" w:sz="6"/>
              <w:right w:val="single" w:color="1A6040" w:sz="6"/>
            </w:tcBorders>
            <w:shd w:fill="1A6040"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NUEVO</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Modo comparativa</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Vista dedicada para comparar dos productos con tabla de criterios IA y recomendación</w:t>
            </w:r>
          </w:p>
          <w:p>
            <w:pPr>
              <w:spacing w:before="40"/>
            </w:pPr>
            <w:r>
              <w:rPr>
                <w:rFonts w:ascii="Arial" w:cs="Arial" w:eastAsia="Arial" w:hAnsi="Arial"/>
                <w:i/>
                <w:iCs/>
                <w:color w:val="555555"/>
                <w:sz w:val="17"/>
                <w:szCs w:val="17"/>
              </w:rPr>
              <w:t xml:space="preserve">Estado 'modo' con valores 'busqueda' y 'comparativa'. Botón '+ COMPARAR' en cada ficha. Estado comparativa: {a, b}. Al tener ambos slots, botón 'GENERAR COMPARATIVA IA' lanza llamada independiente a la API con PROMPT_COMPARATIVA. Respuesta JSON: {resumen, criterios[{criterio, producto_a, producto_b, ventaja}], recomendacion_general, casos_uso_a, casos_uso_b}. Entre 5 y 7 criterios. Indicador ▶ en la celda ganadora de cada fila.</w:t>
            </w:r>
          </w:p>
        </w:tc>
      </w:tr>
      <w:tr>
        <w:tc>
          <w:tcPr>
            <w:tcW w:type="dxa" w:w="1400"/>
            <w:tcBorders>
              <w:top w:val="single" w:color="1A6040" w:sz="6"/>
              <w:left w:val="single" w:color="1A6040" w:sz="6"/>
              <w:bottom w:val="single" w:color="1A6040" w:sz="6"/>
              <w:right w:val="single" w:color="1A6040" w:sz="6"/>
            </w:tcBorders>
            <w:shd w:fill="1A6040"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NUEVO</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Historial persistente</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Las últimas 10 fichas consultadas se guardan en localStorage entre sesiones</w:t>
            </w:r>
          </w:p>
          <w:p>
            <w:pPr>
              <w:spacing w:before="40"/>
            </w:pPr>
            <w:r>
              <w:rPr>
                <w:rFonts w:ascii="Arial" w:cs="Arial" w:eastAsia="Arial" w:hAnsi="Arial"/>
                <w:i/>
                <w:iCs/>
                <w:color w:val="555555"/>
                <w:sz w:val="17"/>
                <w:szCs w:val="17"/>
              </w:rPr>
              <w:t xml:space="preserve">Clave localStorage: 'sonepar_fichas_historial'. Cada entrada: {query, resultado (objeto ficha completo), ts (hora formateada)}. Deduplicación por campo 'referencia' antes de guardar — si la misma referencia ya está en el historial, no se añade de nuevo. Límite 10 entradas con slice(0, 10). Panel en el sidebar con nombre, referencia y hora. Botón LIMPIAR que elimina el array del estado y del localStorage.</w:t>
            </w:r>
          </w:p>
        </w:tc>
      </w:tr>
      <w:tr>
        <w:tc>
          <w:tcPr>
            <w:tcW w:type="dxa" w:w="1400"/>
            <w:tcBorders>
              <w:top w:val="single" w:color="1A6040" w:sz="6"/>
              <w:left w:val="single" w:color="1A6040" w:sz="6"/>
              <w:bottom w:val="single" w:color="1A6040" w:sz="6"/>
              <w:right w:val="single" w:color="1A6040" w:sz="6"/>
            </w:tcBorders>
            <w:shd w:fill="1A6040"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NUEVO</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Disclaimer permanente</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Aviso de precios y stock orientativos siempre visible bajo cada ficha</w:t>
            </w:r>
          </w:p>
          <w:p>
            <w:pPr>
              <w:spacing w:before="40"/>
            </w:pPr>
            <w:r>
              <w:rPr>
                <w:rFonts w:ascii="Arial" w:cs="Arial" w:eastAsia="Arial" w:hAnsi="Arial"/>
                <w:i/>
                <w:iCs/>
                <w:color w:val="555555"/>
                <w:sz w:val="17"/>
                <w:szCs w:val="17"/>
              </w:rPr>
              <w:t xml:space="preserve">Div con fondo amarillo claro y borde izquierdo naranja. Texto fijo: 'Precios y stock orientativos. Los datos de precio, disponibilidad y tiempo de entrega son estimaciones generadas con IA. Verificar con Sonepar antes de presupuestar.' Visible sin scroll en el resultado. Se incluye en el PDF impreso.</w:t>
            </w:r>
          </w:p>
        </w:tc>
      </w:tr>
      <w:tr>
        <w:tc>
          <w:tcPr>
            <w:tcW w:type="dxa" w:w="1400"/>
            <w:tcBorders>
              <w:top w:val="single" w:color="1A6040" w:sz="6"/>
              <w:left w:val="single" w:color="1A6040" w:sz="6"/>
              <w:bottom w:val="single" w:color="1A6040" w:sz="6"/>
              <w:right w:val="single" w:color="1A6040" w:sz="6"/>
            </w:tcBorders>
            <w:shd w:fill="1A6040"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NUEVO</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Toast unificado</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Feedback visual para copia, comparativa y errores de acción</w:t>
            </w:r>
          </w:p>
          <w:p>
            <w:pPr>
              <w:spacing w:before="40"/>
            </w:pPr>
            <w:r>
              <w:rPr>
                <w:rFonts w:ascii="Arial" w:cs="Arial" w:eastAsia="Arial" w:hAnsi="Arial"/>
                <w:i/>
                <w:iCs/>
                <w:color w:val="555555"/>
                <w:sz w:val="17"/>
                <w:szCs w:val="17"/>
              </w:rPr>
              <w:t xml:space="preserve">Estado 'toast' con string del mensaje. Auto-limpieza con setTimeout a 2500ms. Posición fixed bottom-right. Activado en: ficha copiada, producto A seleccionado para comparativa, intento de añadir producto ya seleccionado.</w:t>
            </w:r>
          </w:p>
        </w:tc>
      </w:tr>
      <w:tr>
        <w:tc>
          <w:tcPr>
            <w:tcW w:type="dxa" w:w="1400"/>
            <w:tcBorders>
              <w:top w:val="single" w:color="1A3A6A" w:sz="6"/>
              <w:left w:val="single" w:color="1A3A6A" w:sz="6"/>
              <w:bottom w:val="single" w:color="1A3A6A" w:sz="6"/>
              <w:right w:val="single" w:color="1A3A6A" w:sz="6"/>
            </w:tcBorders>
            <w:shd w:fill="1A3A6A"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MEJORA</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Schema JSON del prompt</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Añadido campo precio_orientativo y rama de error estructurado</w:t>
            </w:r>
          </w:p>
          <w:p>
            <w:pPr>
              <w:spacing w:before="40"/>
            </w:pPr>
            <w:r>
              <w:rPr>
                <w:rFonts w:ascii="Arial" w:cs="Arial" w:eastAsia="Arial" w:hAnsi="Arial"/>
                <w:i/>
                <w:iCs/>
                <w:color w:val="555555"/>
                <w:sz w:val="17"/>
                <w:szCs w:val="17"/>
              </w:rPr>
              <w:t xml:space="preserve">En v1 el schema no tenía precio y cualquier consulta devolvía una ficha, por vaga que fuera. En v2 el prompt define explícitamente los dos casos posibles con instrucción: 'Si la consulta es vaga, responde ÚNICAMENTE con el JSON de error, sin intentar generar una ficha'. Esto fuerza la rama de error en lugar de fichas genéricas de baja calidad.</w:t>
            </w:r>
          </w:p>
        </w:tc>
      </w:tr>
    </w:tbl>
    <w:p>
      <w:pPr>
        <w:pBdr>
          <w:bottom w:val="single" w:color="E0DBD4" w:sz="2" w:space="1"/>
        </w:pBdr>
        <w:spacing w:before="220" w:after="220"/>
      </w:pPr>
      <w:r>
        <w:t xml:space="preserve"/>
      </w:r>
    </w:p>
    <w:p>
      <w:pPr>
        <w:spacing w:before="260" w:after="80"/>
      </w:pPr>
      <w:r>
        <w:rPr>
          <w:rFonts w:ascii="Arial" w:cs="Arial" w:eastAsia="Arial" w:hAnsi="Arial"/>
          <w:b/>
          <w:bCs/>
          <w:color w:val="1A1A2E"/>
          <w:sz w:val="22"/>
          <w:szCs w:val="22"/>
        </w:rPr>
        <w:t xml:space="preserve">Compatibilidad y dependencias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Aspecto</w:t>
            </w:r>
          </w:p>
        </w:tc>
        <w:tc>
          <w:tcPr>
            <w:tcW w:type="dxa" w:w="6026"/>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Detalle</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API Anthropic</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val="false"/>
                <w:bCs w:val="false"/>
                <w:i w:val="false"/>
                <w:iCs w:val="false"/>
                <w:color w:val="1A1A2E"/>
                <w:sz w:val="18"/>
                <w:szCs w:val="18"/>
              </w:rPr>
              <w:t xml:space="preserve">Sin cambios en endpoint ni modelo. El prompt añade rama de error y campo precio_orientativo.</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localStorage — clave</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val="false"/>
                <w:bCs w:val="false"/>
                <w:i w:val="false"/>
                <w:iCs w:val="false"/>
                <w:color w:val="1A1A2E"/>
                <w:sz w:val="18"/>
                <w:szCs w:val="18"/>
              </w:rPr>
              <w:t xml:space="preserve">'sonepar_fichas_historial' — nueva en v2</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navigator.clipboard</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val="false"/>
                <w:bCs w:val="false"/>
                <w:i w:val="false"/>
                <w:iCs w:val="false"/>
                <w:color w:val="1A1A2E"/>
                <w:sz w:val="18"/>
                <w:szCs w:val="18"/>
              </w:rPr>
              <w:t xml:space="preserve">Requiere HTTPS o localhost. try/catch silencioso si no está disponible.</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localStorage en Claude</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val="false"/>
                <w:bCs w:val="false"/>
                <w:i w:val="false"/>
                <w:iCs w:val="false"/>
                <w:color w:val="1A1A2E"/>
                <w:sz w:val="18"/>
                <w:szCs w:val="18"/>
              </w:rPr>
              <w:t xml:space="preserve">No disponible en el sandbox. try/catch — el historial funciona en sesión aunque no persista.</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Compatibilidad con v1</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val="false"/>
                <w:bCs w:val="false"/>
                <w:i w:val="false"/>
                <w:iCs w:val="false"/>
                <w:color w:val="1A1A2E"/>
                <w:sz w:val="18"/>
                <w:szCs w:val="18"/>
              </w:rPr>
              <w:t xml:space="preserve">Archivo independiente: sonepar-fichas-tecnicas-v2.jsx</w:t>
            </w:r>
          </w:p>
        </w:tc>
      </w:tr>
    </w:tbl>
    <w:p>
      <w:pPr>
        <w:pBdr>
          <w:bottom w:val="single" w:color="E0DBD4" w:sz="2" w:space="1"/>
        </w:pBdr>
        <w:spacing w:before="220" w:after="220"/>
      </w:pPr>
      <w:r>
        <w:t xml:space="preserve"/>
      </w:r>
    </w:p>
    <w:p>
      <w:pPr>
        <w:spacing w:before="260" w:after="80"/>
      </w:pPr>
      <w:r>
        <w:rPr>
          <w:rFonts w:ascii="Arial" w:cs="Arial" w:eastAsia="Arial" w:hAnsi="Arial"/>
          <w:b/>
          <w:bCs/>
          <w:color w:val="1A1A2E"/>
          <w:sz w:val="22"/>
          <w:szCs w:val="22"/>
        </w:rPr>
        <w:t xml:space="preserve">Pendiente para v3.0</w:t>
      </w:r>
    </w:p>
    <w:p>
      <w:pPr>
        <w:pStyle w:val="ListParagraph"/>
        <w:numPr>
          <w:ilvl w:val="0"/>
          <w:numId w:val="2"/>
        </w:numPr>
        <w:spacing w:before="50" w:after="50"/>
      </w:pPr>
      <w:r>
        <w:rPr>
          <w:rFonts w:ascii="Arial" w:cs="Arial" w:eastAsia="Arial" w:hAnsi="Arial"/>
          <w:b/>
          <w:bCs/>
          <w:color w:val="1A1A2E"/>
          <w:sz w:val="19"/>
          <w:szCs w:val="19"/>
        </w:rPr>
        <w:t xml:space="preserve">Búsqueda por síntoma: </w:t>
      </w:r>
      <w:r>
        <w:rPr>
          <w:rFonts w:ascii="Arial" w:cs="Arial" w:eastAsia="Arial" w:hAnsi="Arial"/>
          <w:color w:val="555555"/>
          <w:sz w:val="19"/>
          <w:szCs w:val="19"/>
        </w:rPr>
        <w:t xml:space="preserve">El técnico describe un problema (motor no arranca, trip térmico frecuente) y la IA identifica el componente a revisar o sustituir.</w:t>
      </w:r>
    </w:p>
    <w:p>
      <w:pPr>
        <w:pStyle w:val="ListParagraph"/>
        <w:numPr>
          <w:ilvl w:val="0"/>
          <w:numId w:val="2"/>
        </w:numPr>
        <w:spacing w:before="50" w:after="50"/>
      </w:pPr>
      <w:r>
        <w:rPr>
          <w:rFonts w:ascii="Arial" w:cs="Arial" w:eastAsia="Arial" w:hAnsi="Arial"/>
          <w:b/>
          <w:bCs/>
          <w:color w:val="1A1A2E"/>
          <w:sz w:val="19"/>
          <w:szCs w:val="19"/>
        </w:rPr>
        <w:t xml:space="preserve">Exportación comparativa PDF: </w:t>
      </w:r>
      <w:r>
        <w:rPr>
          <w:rFonts w:ascii="Arial" w:cs="Arial" w:eastAsia="Arial" w:hAnsi="Arial"/>
          <w:color w:val="555555"/>
          <w:sz w:val="19"/>
          <w:szCs w:val="19"/>
        </w:rPr>
        <w:t xml:space="preserve">El modo comparativa no tiene exportación en v2. Se añade en v3 cuando se defina el formato del documento.</w:t>
      </w:r>
    </w:p>
    <w:p>
      <w:pPr>
        <w:pStyle w:val="ListParagraph"/>
        <w:numPr>
          <w:ilvl w:val="0"/>
          <w:numId w:val="2"/>
        </w:numPr>
        <w:spacing w:before="50" w:after="50"/>
      </w:pPr>
      <w:r>
        <w:rPr>
          <w:rFonts w:ascii="Arial" w:cs="Arial" w:eastAsia="Arial" w:hAnsi="Arial"/>
          <w:b/>
          <w:bCs/>
          <w:color w:val="1A1A2E"/>
          <w:sz w:val="19"/>
          <w:szCs w:val="19"/>
        </w:rPr>
        <w:t xml:space="preserve">Modo offline con caché: </w:t>
      </w:r>
      <w:r>
        <w:rPr>
          <w:rFonts w:ascii="Arial" w:cs="Arial" w:eastAsia="Arial" w:hAnsi="Arial"/>
          <w:color w:val="555555"/>
          <w:sz w:val="19"/>
          <w:szCs w:val="19"/>
        </w:rPr>
        <w:t xml:space="preserve">Guardar las últimas fichas en localStorage para consulta sin conexión. Requiere definir política de caducidad.</w:t>
      </w:r>
    </w:p>
    <w:p>
      <w:pPr>
        <w:pStyle w:val="ListParagraph"/>
        <w:numPr>
          <w:ilvl w:val="0"/>
          <w:numId w:val="2"/>
        </w:numPr>
        <w:spacing w:before="50" w:after="50"/>
      </w:pPr>
      <w:r>
        <w:rPr>
          <w:rFonts w:ascii="Arial" w:cs="Arial" w:eastAsia="Arial" w:hAnsi="Arial"/>
          <w:b/>
          <w:bCs/>
          <w:color w:val="1A1A2E"/>
          <w:sz w:val="19"/>
          <w:szCs w:val="19"/>
        </w:rPr>
        <w:t xml:space="preserve">Conexión con catálogo real: </w:t>
      </w:r>
      <w:r>
        <w:rPr>
          <w:rFonts w:ascii="Arial" w:cs="Arial" w:eastAsia="Arial" w:hAnsi="Arial"/>
          <w:color w:val="555555"/>
          <w:sz w:val="19"/>
          <w:szCs w:val="19"/>
        </w:rPr>
        <w:t xml:space="preserve">Stock y precios reales vía API de Sonepar. Fase 5 del proyecto.</w:t>
      </w:r>
    </w:p>
    <w:p>
      <w:pPr>
        <w:pBdr>
          <w:bottom w:val="single" w:color="E0DBD4" w:sz="2" w:space="1"/>
        </w:pBdr>
        <w:spacing w:before="220" w:after="220"/>
      </w:pPr>
      <w:r>
        <w:t xml:space="preserve"/>
      </w:r>
    </w:p>
    <w:p>
      <w:pPr>
        <w:spacing w:before="0" w:after="0"/>
      </w:pPr>
      <w:r>
        <w:rPr>
          <w:rFonts w:ascii="Arial" w:cs="Arial" w:eastAsia="Arial" w:hAnsi="Arial"/>
          <w:i/>
          <w:iCs/>
          <w:color w:val="999999"/>
          <w:sz w:val="17"/>
          <w:szCs w:val="17"/>
        </w:rPr>
        <w:t xml:space="preserve">Sonepar Tools · Iago Robo · Prácticas Sonepar A Coruña 2026 · fichas-tecnicas/</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2026-03-07T14:46:43.666Z</dcterms:created>
  <dcterms:modified xsi:type="dcterms:W3CDTF">2026-03-07T14:46:43.667Z</dcterms:modified>
</cp:coreProperties>
</file>

<file path=docProps/custom.xml><?xml version="1.0" encoding="utf-8"?>
<Properties xmlns="http://schemas.openxmlformats.org/officeDocument/2006/custom-properties" xmlns:vt="http://schemas.openxmlformats.org/officeDocument/2006/docPropsVTypes"/>
</file>