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999999"/>
          <w:sz w:val="20"/>
          <w:szCs w:val="20"/>
        </w:rPr>
        <w:t xml:space="preserve">SONEPAR TOOLS  ·  PLAN DE ACTUALIZACIÓN</w:t>
      </w:r>
    </w:p>
    <w:p>
      <w:pPr>
        <w:spacing w:before="0" w:after="10"/>
      </w:pPr>
      <w:r>
        <w:rPr>
          <w:rFonts w:ascii="Arial" w:cs="Arial" w:eastAsia="Arial" w:hAnsi="Arial"/>
          <w:b/>
          <w:bCs/>
          <w:color w:val="1A1A2E"/>
          <w:sz w:val="40"/>
          <w:szCs w:val="40"/>
        </w:rPr>
        <w:t xml:space="preserve">Asistente de Fichas Técnicas</w:t>
      </w:r>
    </w:p>
    <w:p>
      <w:pPr>
        <w:pBdr>
          <w:bottom w:val="single" w:color="1A6040" w:sz="12" w:space="6"/>
        </w:pBdr>
        <w:spacing w:before="0" w:after="30"/>
      </w:pPr>
      <w:r>
        <w:rPr>
          <w:rFonts w:ascii="Arial" w:cs="Arial" w:eastAsia="Arial" w:hAnsi="Arial"/>
          <w:b/>
          <w:bCs/>
          <w:color w:val="1A6040"/>
          <w:sz w:val="26"/>
          <w:szCs w:val="26"/>
        </w:rPr>
        <w:t xml:space="preserve">v2.0  </w:t>
      </w:r>
      <w:r>
        <w:rPr>
          <w:rFonts w:ascii="Arial" w:cs="Arial" w:eastAsia="Arial" w:hAnsi="Arial"/>
          <w:color w:val="999999"/>
          <w:sz w:val="20"/>
          <w:szCs w:val="20"/>
        </w:rPr>
        <w:t xml:space="preserve">·  Plan previo al desarrollo  ·  Marzo 2026  ·  Iago Robo  ·  fichas-tecnicas/</w:t>
      </w:r>
    </w:p>
    <w:p>
      <w:pPr>
        <w:pBdr>
          <w:left w:val="single" w:color="C07010" w:sz="20" w:space="6"/>
        </w:pBdr>
        <w:spacing w:before="200" w:after="200"/>
        <w:ind w:left="200"/>
      </w:pPr>
      <w:r>
        <w:rPr>
          <w:rFonts w:ascii="Arial" w:cs="Arial" w:eastAsia="Arial" w:hAnsi="Arial"/>
          <w:b/>
          <w:bCs/>
          <w:color w:val="C07010"/>
          <w:sz w:val="19"/>
          <w:szCs w:val="19"/>
        </w:rPr>
        <w:t xml:space="preserve">Este documento recoge la intención de desarrollo antes de tocar el código. </w:t>
      </w:r>
      <w:r>
        <w:rPr>
          <w:rFonts w:ascii="Arial" w:cs="Arial" w:eastAsia="Arial" w:hAnsi="Arial"/>
          <w:color w:val="555555"/>
          <w:sz w:val="19"/>
          <w:szCs w:val="19"/>
        </w:rPr>
        <w:t xml:space="preserve">El CHANGELOG v2.0 documentará lo que finalmente se implementó.</w:t>
      </w:r>
    </w:p>
    <w:p>
      <w:pPr>
        <w:spacing w:before="260" w:after="80"/>
      </w:pPr>
      <w:r>
        <w:rPr>
          <w:rFonts w:ascii="Arial" w:cs="Arial" w:eastAsia="Arial" w:hAnsi="Arial"/>
          <w:b/>
          <w:bCs/>
          <w:color w:val="1A1A2E"/>
          <w:sz w:val="22"/>
          <w:szCs w:val="22"/>
        </w:rPr>
        <w:t xml:space="preserve">1. Contexto — por qué se actualiza</w:t>
      </w:r>
    </w:p>
    <w:p>
      <w:pPr>
        <w:spacing w:before="60" w:after="80"/>
      </w:pPr>
      <w:r>
        <w:rPr>
          <w:rFonts w:ascii="Arial" w:cs="Arial" w:eastAsia="Arial" w:hAnsi="Arial"/>
          <w:color w:val="555555"/>
          <w:sz w:val="19"/>
          <w:szCs w:val="19"/>
        </w:rPr>
        <w:t xml:space="preserve">El Asistente de Fichas Técnicas v1.0 tiene cuatro problemas que limitan su uso real en el mostrador. Primero, cualquier consulta vaga como 'contactor' o 'relé' devuelve una ficha genérica sin avisar al usuario de que necesita más detalle — esto genera resultados de baja calidad que el técnico no puede usar. Segundo, los datos de stock y precio se presentan como si fueran reales cuando son estimaciones de la IA, sin ningún aviso visible. Tercero, el historial de consultas desaparece al recargar. Cuarto, no hay forma de guardar o compartir una ficha, lo que obliga al técnico a copiar datos manualmente.</w:t>
      </w:r>
    </w:p>
    <w:p>
      <w:pPr>
        <w:spacing w:before="260" w:after="80"/>
      </w:pPr>
      <w:r>
        <w:rPr>
          <w:rFonts w:ascii="Arial" w:cs="Arial" w:eastAsia="Arial" w:hAnsi="Arial"/>
          <w:b/>
          <w:bCs/>
          <w:color w:val="1A1A2E"/>
          <w:sz w:val="22"/>
          <w:szCs w:val="22"/>
        </w:rPr>
        <w:t xml:space="preserve">2. Objetivo de la v2.0</w:t>
      </w:r>
    </w:p>
    <w:p>
      <w:pPr>
        <w:spacing w:before="60" w:after="80"/>
      </w:pPr>
      <w:r>
        <w:rPr>
          <w:rFonts w:ascii="Arial" w:cs="Arial" w:eastAsia="Arial" w:hAnsi="Arial"/>
          <w:color w:val="555555"/>
          <w:sz w:val="19"/>
          <w:szCs w:val="19"/>
        </w:rPr>
        <w:t xml:space="preserve">Que el técnico de mostrador obtenga fichas de calidad en la primera consulta (gracias a la validación de consultas vagas), que pueda compartir o imprimir cualquier ficha en un clic, y que el historial de lo consultado durante el turno se conserve. El modo comparativa añade un caso de uso nuevo: ayudar al técnico a recomendar entre dos productos similares sin tener que hacer dos búsquedas y comparar manualmente.</w:t>
      </w:r>
    </w:p>
    <w:p>
      <w:pPr>
        <w:spacing w:before="260" w:after="80"/>
      </w:pPr>
      <w:r>
        <w:rPr>
          <w:rFonts w:ascii="Arial" w:cs="Arial" w:eastAsia="Arial" w:hAnsi="Arial"/>
          <w:b/>
          <w:bCs/>
          <w:color w:val="1A1A2E"/>
          <w:sz w:val="22"/>
          <w:szCs w:val="22"/>
        </w:rPr>
        <w:t xml:space="preserve">3. Alcance de los cambios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Prioridad</w:t>
            </w:r>
          </w:p>
        </w:tc>
        <w:tc>
          <w:tcPr>
            <w:tcW w:type="dxa" w:w="28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Cambio</w:t>
            </w:r>
          </w:p>
        </w:tc>
        <w:tc>
          <w:tcPr>
            <w:tcW w:type="dxa" w:w="5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 del objetivo</w:t>
            </w:r>
          </w:p>
        </w:tc>
      </w:tr>
      <w:tr>
        <w:tc>
          <w:tcPr>
            <w:tcW w:type="dxa" w:w="1200"/>
            <w:tcBorders>
              <w:top w:val="single" w:color="C62828" w:sz="6"/>
              <w:left w:val="single" w:color="C62828" w:sz="6"/>
              <w:bottom w:val="single" w:color="C62828" w:sz="6"/>
              <w:right w:val="single" w:color="C62828" w:sz="6"/>
            </w:tcBorders>
            <w:shd w:fill="C62828"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ALTA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Validación de consultas vagas</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Si la consulta no identifica un producto concreto, la IA devuelve un error estructurado con mensaje explicativo y 3 sugerencias de consulta más específica, clicables.</w:t>
            </w:r>
          </w:p>
        </w:tc>
      </w:tr>
      <w:tr>
        <w:tc>
          <w:tcPr>
            <w:tcW w:type="dxa" w:w="1200"/>
            <w:tcBorders>
              <w:top w:val="single" w:color="C62828" w:sz="6"/>
              <w:left w:val="single" w:color="C62828" w:sz="6"/>
              <w:bottom w:val="single" w:color="C62828" w:sz="6"/>
              <w:right w:val="single" w:color="C62828" w:sz="6"/>
            </w:tcBorders>
            <w:shd w:fill="C62828"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ALTA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Disclaimer visible</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Aviso permanente bajo cada ficha indicando que stock y precios son orientativos y deben verificarse con Sonepar antes de presupuestar.</w:t>
            </w:r>
          </w:p>
        </w:tc>
      </w:tr>
      <w:tr>
        <w:tc>
          <w:tcPr>
            <w:tcW w:type="dxa" w:w="1200"/>
            <w:tcBorders>
              <w:top w:val="single" w:color="C62828" w:sz="6"/>
              <w:left w:val="single" w:color="C62828" w:sz="6"/>
              <w:bottom w:val="single" w:color="C62828" w:sz="6"/>
              <w:right w:val="single" w:color="C62828" w:sz="6"/>
            </w:tcBorders>
            <w:shd w:fill="C62828"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ALTA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Persistencia del historial</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El historial de consultas se guarda en localStorage y se mantiene entre sesiones. Límite de 10 entradas con deduplicación por referencia.</w:t>
            </w:r>
          </w:p>
        </w:tc>
      </w:tr>
      <w:tr>
        <w:tc>
          <w:tcPr>
            <w:tcW w:type="dxa" w:w="1200"/>
            <w:tcBorders>
              <w:top w:val="single" w:color="C62828" w:sz="6"/>
              <w:left w:val="single" w:color="C62828" w:sz="6"/>
              <w:bottom w:val="single" w:color="C62828" w:sz="6"/>
              <w:right w:val="single" w:color="C62828" w:sz="6"/>
            </w:tcBorders>
            <w:shd w:fill="C62828"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ALTA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Exportación PDF</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window.print() con @media print para imprimir la ficha activa sin elementos de interfaz.</w:t>
            </w:r>
          </w:p>
        </w:tc>
      </w:tr>
      <w:tr>
        <w:tc>
          <w:tcPr>
            <w:tcW w:type="dxa" w:w="1200"/>
            <w:tcBorders>
              <w:top w:val="single" w:color="C07010" w:sz="6"/>
              <w:left w:val="single" w:color="C07010" w:sz="6"/>
              <w:bottom w:val="single" w:color="C07010" w:sz="6"/>
              <w:right w:val="single" w:color="C07010" w:sz="6"/>
            </w:tcBorders>
            <w:shd w:fill="C07010"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MEDIA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Copiar ficha</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Texto plano de la ficha completa copiado al portapapeles con navigator.clipboard. Formato optimizado para WhatsApp o email.</w:t>
            </w:r>
          </w:p>
        </w:tc>
      </w:tr>
      <w:tr>
        <w:tc>
          <w:tcPr>
            <w:tcW w:type="dxa" w:w="1200"/>
            <w:tcBorders>
              <w:top w:val="single" w:color="C07010" w:sz="6"/>
              <w:left w:val="single" w:color="C07010" w:sz="6"/>
              <w:bottom w:val="single" w:color="C07010" w:sz="6"/>
              <w:right w:val="single" w:color="C07010" w:sz="6"/>
            </w:tcBorders>
            <w:shd w:fill="C07010"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MEDIA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Modo comparativa</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Vista dedicada para comparar dos productos en paralelo. La IA genera tabla de criterios técnicos con indicador de ventaja por fila y recomendación general.</w:t>
            </w:r>
          </w:p>
        </w:tc>
      </w:tr>
      <w:tr>
        <w:tc>
          <w:tcPr>
            <w:tcW w:type="dxa" w:w="1200"/>
            <w:tcBorders>
              <w:top w:val="single" w:color="C07010" w:sz="6"/>
              <w:left w:val="single" w:color="C07010" w:sz="6"/>
              <w:bottom w:val="single" w:color="C07010" w:sz="6"/>
              <w:right w:val="single" w:color="C07010" w:sz="6"/>
            </w:tcBorders>
            <w:shd w:fill="C07010"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MEDIA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Precio orientativo</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Nuevo campo 'precio_orientativo' en el schema JSON del prompt. Visible en la cabecera de la ficha.</w:t>
            </w:r>
          </w:p>
        </w:tc>
      </w:tr>
      <w:tr>
        <w:tc>
          <w:tcPr>
            <w:tcW w:type="dxa" w:w="1200"/>
            <w:tcBorders>
              <w:top w:val="single" w:color="1A6040" w:sz="6"/>
              <w:left w:val="single" w:color="1A6040" w:sz="6"/>
              <w:bottom w:val="single" w:color="1A6040" w:sz="6"/>
              <w:right w:val="single" w:color="1A6040" w:sz="6"/>
            </w:tcBorders>
            <w:shd w:fill="1A6040" w:val="clear"/>
            <w:tcMar>
              <w:top w:type="dxa" w:w="90"/>
              <w:left w:type="dxa" w:w="120"/>
              <w:bottom w:type="dxa" w:w="90"/>
              <w:right w:type="dxa" w:w="120"/>
            </w:tcMar>
          </w:tcPr>
          <w:p>
            <w:pPr>
              <w:jc w:val="center"/>
            </w:pPr>
            <w:r>
              <w:rPr>
                <w:rFonts w:ascii="Arial" w:cs="Arial" w:eastAsia="Arial" w:hAnsi="Arial"/>
                <w:b/>
                <w:bCs/>
                <w:color w:val="FFFFFF"/>
                <w:sz w:val="16"/>
                <w:szCs w:val="16"/>
              </w:rPr>
              <w:t xml:space="preserve">BAJA</w:t>
            </w:r>
          </w:p>
        </w:tc>
        <w:tc>
          <w:tcPr>
            <w:tcW w:type="dxa" w:w="2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9"/>
                <w:szCs w:val="19"/>
              </w:rPr>
              <w:t xml:space="preserve">Limpiar historial</w:t>
            </w:r>
          </w:p>
        </w:tc>
        <w:tc>
          <w:tcPr>
            <w:tcW w:type="dxa" w:w="5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9"/>
                <w:szCs w:val="19"/>
              </w:rPr>
              <w:t xml:space="preserve">Botón de reset del historial en el sidebar. Limpia estado React y localStorage.</w:t>
            </w:r>
          </w:p>
        </w:tc>
      </w:tr>
    </w:tbl>
    <w:p>
      <w:pPr>
        <w:spacing w:before="260" w:after="80"/>
      </w:pPr>
      <w:r>
        <w:rPr>
          <w:rFonts w:ascii="Arial" w:cs="Arial" w:eastAsia="Arial" w:hAnsi="Arial"/>
          <w:b/>
          <w:bCs/>
          <w:color w:val="1A1A2E"/>
          <w:sz w:val="22"/>
          <w:szCs w:val="22"/>
        </w:rPr>
        <w:t xml:space="preserve">4. Detalle técnico por cambio</w:t>
      </w:r>
    </w:p>
    <w:p>
      <w:pPr>
        <w:spacing w:before="260" w:after="80"/>
      </w:pPr>
      <w:r>
        <w:rPr>
          <w:rFonts w:ascii="Arial" w:cs="Arial" w:eastAsia="Arial" w:hAnsi="Arial"/>
          <w:b/>
          <w:bCs/>
          <w:color w:val="1A6040"/>
          <w:sz w:val="22"/>
          <w:szCs w:val="22"/>
        </w:rPr>
        <w:t xml:space="preserve">4.1  Validación de consultas vagas</w:t>
      </w:r>
    </w:p>
    <w:p>
      <w:pPr>
        <w:spacing w:before="60" w:after="80"/>
      </w:pPr>
      <w:r>
        <w:rPr>
          <w:rFonts w:ascii="Arial" w:cs="Arial" w:eastAsia="Arial" w:hAnsi="Arial"/>
          <w:color w:val="555555"/>
          <w:sz w:val="19"/>
          <w:szCs w:val="19"/>
        </w:rPr>
        <w:t xml:space="preserve">El prompt v2 define dos ramas de respuesta. Si la consulta no permite identificar un producto concreto, la IA devuelve: {error: true, mensaje: string, sugerencias: string[3]}. Si la consulta es válida, devuelve el schema de producto completo. La UI detecta el campo 'error: true' y renderiza el mensaje con los 3 botones de sugerencia. Click en sugerencia: rellena el input y lanza la búsqueda automáticamente.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Detalle</w:t>
            </w:r>
          </w:p>
        </w:tc>
        <w:tc>
          <w:tcPr>
            <w:tcW w:type="dxa" w:w="6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Valor / Descripción</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Trigger de error</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Consulta de una sola palabra genérica, síntoma sin contexto, o descripción que aplica a decenas de productos distintos</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Formato de error</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{error: true, mensaje: string, sugerencias: [string, string, string]}</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Formato de éxito</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Schema completo del producto — sin cambios respecto a v1 salvo campo precio_orientativo añadido</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Instrucción en prompt</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Explícita: 'Si la consulta es vaga devuelve ÚNICAMENTE el JSON de error, sin intentar generar una ficha'</w:t>
            </w:r>
          </w:p>
        </w:tc>
      </w:tr>
    </w:tbl>
    <w:p>
      <w:pPr>
        <w:spacing w:before="160" w:after="0"/>
      </w:pPr>
    </w:p>
    <w:p>
      <w:pPr>
        <w:spacing w:before="260" w:after="80"/>
      </w:pPr>
      <w:r>
        <w:rPr>
          <w:rFonts w:ascii="Arial" w:cs="Arial" w:eastAsia="Arial" w:hAnsi="Arial"/>
          <w:b/>
          <w:bCs/>
          <w:color w:val="1A6040"/>
          <w:sz w:val="22"/>
          <w:szCs w:val="22"/>
        </w:rPr>
        <w:t xml:space="preserve">4.2  Modo comparativa</w:t>
      </w:r>
    </w:p>
    <w:p>
      <w:pPr>
        <w:spacing w:before="60" w:after="80"/>
      </w:pPr>
      <w:r>
        <w:rPr>
          <w:rFonts w:ascii="Arial" w:cs="Arial" w:eastAsia="Arial" w:hAnsi="Arial"/>
          <w:color w:val="555555"/>
          <w:sz w:val="19"/>
          <w:szCs w:val="19"/>
        </w:rPr>
        <w:t xml:space="preserve">Nuevo estado de navegación 'modo' con valores 'busqueda' y 'comparativa'. Toggle desde el header. En modo comparativa el usuario usa el buscador normal para encontrar productos y los añade a slot A o slot B con el botón '+ COMPARAR' visible en cada resultado.</w:t>
      </w:r>
    </w:p>
    <w:p>
      <w:pPr>
        <w:spacing w:before="60" w:after="80"/>
      </w:pPr>
      <w:r>
        <w:rPr>
          <w:rFonts w:ascii="Arial" w:cs="Arial" w:eastAsia="Arial" w:hAnsi="Arial"/>
          <w:color w:val="555555"/>
          <w:sz w:val="19"/>
          <w:szCs w:val="19"/>
        </w:rPr>
        <w:t xml:space="preserve">Al tener ambos slots rellenos aparece el botón 'Generar comparativa'. La IA recibe los datos de ambos productos y devuelve: {resumen, criterios[{criterio, producto_a, producto_b, ventaja}], recomendacion_general, casos_uso_a, casos_uso_b}. Entre 5 y 7 criterios de comparación relevantes.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Detalle</w:t>
            </w:r>
          </w:p>
        </w:tc>
        <w:tc>
          <w:tcPr>
            <w:tcW w:type="dxa" w:w="6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Valor / Descripción</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Estado slots</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comparativa.a y comparativa.b — null si vacíos, objeto ficha si rellenos</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Prompt comparativa</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Separado del prompt de búsqueda — llamada independiente a la API</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Criterios esperados</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Prestaciones, precio, disponibilidad, compatibilidad, normativas, facilidad de instalación, soporte técnico</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Indicador de ventaja</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'A', 'B' o 'empate' por criterio — renderizado con color verde en la celda ganadora</w:t>
            </w:r>
          </w:p>
        </w:tc>
      </w:tr>
    </w:tbl>
    <w:p>
      <w:pPr>
        <w:spacing w:before="160" w:after="0"/>
      </w:pPr>
    </w:p>
    <w:p>
      <w:pPr>
        <w:spacing w:before="260" w:after="80"/>
      </w:pPr>
      <w:r>
        <w:rPr>
          <w:rFonts w:ascii="Arial" w:cs="Arial" w:eastAsia="Arial" w:hAnsi="Arial"/>
          <w:b/>
          <w:bCs/>
          <w:color w:val="1A6040"/>
          <w:sz w:val="22"/>
          <w:szCs w:val="22"/>
        </w:rPr>
        <w:t xml:space="preserve">4.3  Persistencia del historial</w:t>
      </w:r>
    </w:p>
    <w:p>
      <w:pPr>
        <w:spacing w:before="60" w:after="80"/>
      </w:pPr>
      <w:r>
        <w:rPr>
          <w:rFonts w:ascii="Arial" w:cs="Arial" w:eastAsia="Arial" w:hAnsi="Arial"/>
          <w:color w:val="555555"/>
          <w:sz w:val="19"/>
          <w:szCs w:val="19"/>
        </w:rPr>
        <w:t xml:space="preserve">Clave localStorage: 'sonepar_fichas_historial'. Serialización con JSON.stringify() del array de entradas. Cada entrada: {query, resultado (objeto ficha completo), ts (hora formateada)}. Deduplicación por campo 'referencia' antes de guardar — si la referencia ya existe en el historial, no se añade de nuevo. Límite: 10 entradas, slice(0, 10) al guardar.</w:t>
      </w:r>
    </w:p>
    <w:p>
      <w:pPr>
        <w:spacing w:before="160" w:after="0"/>
      </w:pPr>
    </w:p>
    <w:p>
      <w:pPr>
        <w:spacing w:before="260" w:after="80"/>
      </w:pPr>
      <w:r>
        <w:rPr>
          <w:rFonts w:ascii="Arial" w:cs="Arial" w:eastAsia="Arial" w:hAnsi="Arial"/>
          <w:b/>
          <w:bCs/>
          <w:color w:val="1A6040"/>
          <w:sz w:val="22"/>
          <w:szCs w:val="22"/>
        </w:rPr>
        <w:t xml:space="preserve">4.4  Exportación PDF</w:t>
      </w:r>
    </w:p>
    <w:p>
      <w:pPr>
        <w:spacing w:before="60" w:after="80"/>
      </w:pPr>
      <w:r>
        <w:rPr>
          <w:rFonts w:ascii="Arial" w:cs="Arial" w:eastAsia="Arial" w:hAnsi="Arial"/>
          <w:color w:val="555555"/>
          <w:sz w:val="19"/>
          <w:szCs w:val="19"/>
        </w:rPr>
        <w:t xml:space="preserve">Botón con clase 'no-print'. Reglas @media print en el bloque &lt;style&gt; del componente: display:none en .no-print (header, sidebar, buscador, botones, categorías, ejemplos rápidos, disclaimer de interfaz). El bloque de resultado de la ficha se imprime con fondo blanco, tipografía legible y márgenes de página. El disclaimer de precios orientativos sí se imprime — es parte del documento.</w:t>
      </w:r>
    </w:p>
    <w:p>
      <w:pPr>
        <w:spacing w:before="160" w:after="0"/>
      </w:pPr>
    </w:p>
    <w:p>
      <w:pPr>
        <w:spacing w:before="260" w:after="80"/>
      </w:pPr>
      <w:r>
        <w:rPr>
          <w:rFonts w:ascii="Arial" w:cs="Arial" w:eastAsia="Arial" w:hAnsi="Arial"/>
          <w:b/>
          <w:bCs/>
          <w:color w:val="1A6040"/>
          <w:sz w:val="22"/>
          <w:szCs w:val="22"/>
        </w:rPr>
        <w:t xml:space="preserve">4.5  Copiar ficha</w:t>
      </w:r>
    </w:p>
    <w:p>
      <w:pPr>
        <w:spacing w:before="60" w:after="80"/>
      </w:pPr>
      <w:r>
        <w:rPr>
          <w:rFonts w:ascii="Arial" w:cs="Arial" w:eastAsia="Arial" w:hAnsi="Arial"/>
          <w:color w:val="555555"/>
          <w:sz w:val="19"/>
          <w:szCs w:val="19"/>
        </w:rPr>
        <w:t xml:space="preserve">String construido con todos los campos de la ficha: nombre, referencia, fabricante, descripción, características (unidas con '·'), aplicaciones, normativas, consejo técnico, precio orientativo y disclaimer. navigator.clipboard.writeText(). Toast de confirmación de 2500ms.</w:t>
      </w:r>
    </w:p>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5. Schema JSON del prompt — cambios v1 →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Detalle</w:t>
            </w:r>
          </w:p>
        </w:tc>
        <w:tc>
          <w:tcPr>
            <w:tcW w:type="dxa" w:w="6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Valor / Descripción</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precio_orientativo</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NUEVO en v2 — rango de precio estimado sin IVA en €, generado por la IA</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error</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NUEVO en v2 — campo booleano presente solo en respuestas de error</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mensaje</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NUEVO en v2 — descripción del problema con la consulta (solo en error)</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sugerencias</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NUEVO en v2 — array de 3 strings con consultas más específicas (solo en error)</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Resto de campos</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Sin cambios: nombre, referencia, fabricante, categoria, descripcion, caracteristicas[], aplicaciones[], compatibilidades[], normas[], consejo_tecnico, nivel_stock, tiempo_entrega</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6. Fuera del alcance de v2.0</w:t>
      </w:r>
    </w:p>
    <w:p>
      <w:pPr>
        <w:pStyle w:val="ListParagraph"/>
        <w:numPr>
          <w:ilvl w:val="0"/>
          <w:numId w:val="2"/>
        </w:numPr>
        <w:spacing w:before="50" w:after="50"/>
      </w:pPr>
      <w:r>
        <w:rPr>
          <w:rFonts w:ascii="Arial" w:cs="Arial" w:eastAsia="Arial" w:hAnsi="Arial"/>
          <w:b/>
          <w:bCs/>
          <w:color w:val="1A1A2E"/>
          <w:sz w:val="19"/>
          <w:szCs w:val="19"/>
        </w:rPr>
        <w:t xml:space="preserve">Búsqueda por síntoma de avería: </w:t>
      </w:r>
      <w:r>
        <w:rPr>
          <w:rFonts w:ascii="Arial" w:cs="Arial" w:eastAsia="Arial" w:hAnsi="Arial"/>
          <w:color w:val="555555"/>
          <w:sz w:val="19"/>
          <w:szCs w:val="19"/>
        </w:rPr>
        <w:t xml:space="preserve">El usuario describe un problema y la IA identifica el componente a revisar. Se planifica para v3.</w:t>
      </w:r>
    </w:p>
    <w:p>
      <w:pPr>
        <w:pStyle w:val="ListParagraph"/>
        <w:numPr>
          <w:ilvl w:val="0"/>
          <w:numId w:val="2"/>
        </w:numPr>
        <w:spacing w:before="50" w:after="50"/>
      </w:pPr>
      <w:r>
        <w:rPr>
          <w:rFonts w:ascii="Arial" w:cs="Arial" w:eastAsia="Arial" w:hAnsi="Arial"/>
          <w:b/>
          <w:bCs/>
          <w:color w:val="1A1A2E"/>
          <w:sz w:val="19"/>
          <w:szCs w:val="19"/>
        </w:rPr>
        <w:t xml:space="preserve">Exportación comparativa a PDF: </w:t>
      </w:r>
      <w:r>
        <w:rPr>
          <w:rFonts w:ascii="Arial" w:cs="Arial" w:eastAsia="Arial" w:hAnsi="Arial"/>
          <w:color w:val="555555"/>
          <w:sz w:val="19"/>
          <w:szCs w:val="19"/>
        </w:rPr>
        <w:t xml:space="preserve">El modo comparativa no tiene exportación en v2. Se añade en v3.</w:t>
      </w:r>
    </w:p>
    <w:p>
      <w:pPr>
        <w:pStyle w:val="ListParagraph"/>
        <w:numPr>
          <w:ilvl w:val="0"/>
          <w:numId w:val="2"/>
        </w:numPr>
        <w:spacing w:before="50" w:after="50"/>
      </w:pPr>
      <w:r>
        <w:rPr>
          <w:rFonts w:ascii="Arial" w:cs="Arial" w:eastAsia="Arial" w:hAnsi="Arial"/>
          <w:b/>
          <w:bCs/>
          <w:color w:val="1A1A2E"/>
          <w:sz w:val="19"/>
          <w:szCs w:val="19"/>
        </w:rPr>
        <w:t xml:space="preserve">Conexión con catálogo real: </w:t>
      </w:r>
      <w:r>
        <w:rPr>
          <w:rFonts w:ascii="Arial" w:cs="Arial" w:eastAsia="Arial" w:hAnsi="Arial"/>
          <w:color w:val="555555"/>
          <w:sz w:val="19"/>
          <w:szCs w:val="19"/>
        </w:rPr>
        <w:t xml:space="preserve">Stock y precios reales vía API de Sonepar. Fase 5 del proyecto.</w:t>
      </w:r>
    </w:p>
    <w:p>
      <w:pPr>
        <w:pStyle w:val="ListParagraph"/>
        <w:numPr>
          <w:ilvl w:val="0"/>
          <w:numId w:val="2"/>
        </w:numPr>
        <w:spacing w:before="50" w:after="50"/>
      </w:pPr>
      <w:r>
        <w:rPr>
          <w:rFonts w:ascii="Arial" w:cs="Arial" w:eastAsia="Arial" w:hAnsi="Arial"/>
          <w:b/>
          <w:bCs/>
          <w:color w:val="1A1A2E"/>
          <w:sz w:val="19"/>
          <w:szCs w:val="19"/>
        </w:rPr>
        <w:t xml:space="preserve">Modo offline: </w:t>
      </w:r>
      <w:r>
        <w:rPr>
          <w:rFonts w:ascii="Arial" w:cs="Arial" w:eastAsia="Arial" w:hAnsi="Arial"/>
          <w:color w:val="555555"/>
          <w:sz w:val="19"/>
          <w:szCs w:val="19"/>
        </w:rPr>
        <w:t xml:space="preserve">Caché de las últimas fichas para uso sin conexión. Se evalúa para v3.</w:t>
      </w:r>
    </w:p>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7. Riesgos identificados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Riesgo</w:t>
            </w:r>
          </w:p>
        </w:tc>
        <w:tc>
          <w:tcPr>
            <w:tcW w:type="dxa" w:w="18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Probabilidad</w:t>
            </w:r>
          </w:p>
        </w:tc>
        <w:tc>
          <w:tcPr>
            <w:tcW w:type="dxa" w:w="4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Mitigación</w:t>
            </w:r>
          </w:p>
        </w:tc>
      </w:tr>
      <w:tr>
        <w:tc>
          <w:tcPr>
            <w:tcW w:type="dxa" w:w="3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La IA no siempre activa la rama de error en consultas vagas con consistencia</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Alta</w:t>
            </w:r>
          </w:p>
        </w:tc>
        <w:tc>
          <w:tcPr>
            <w:tcW w:type="dxa" w:w="4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555555"/>
                <w:sz w:val="18"/>
                <w:szCs w:val="18"/>
              </w:rPr>
              <w:t xml:space="preserve">Instrucción explícita en el prompt con ejemplos de consultas vagas que deben devolver error. Testear con: 'contactor', 'relé', 'cable', 'motor'.</w:t>
            </w:r>
          </w:p>
        </w:tc>
      </w:tr>
      <w:tr>
        <w:tc>
          <w:tcPr>
            <w:tcW w:type="dxa" w:w="3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localStorage no disponible en entorno Claude</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62828"/>
                <w:sz w:val="18"/>
                <w:szCs w:val="18"/>
              </w:rPr>
              <w:t xml:space="preserve">Alta</w:t>
            </w:r>
          </w:p>
        </w:tc>
        <w:tc>
          <w:tcPr>
            <w:tcW w:type="dxa" w:w="4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555555"/>
                <w:sz w:val="18"/>
                <w:szCs w:val="18"/>
              </w:rPr>
              <w:t xml:space="preserve">try/catch en todas las operaciones. El historial funciona en sesión si falla el storage.</w:t>
            </w:r>
          </w:p>
        </w:tc>
      </w:tr>
      <w:tr>
        <w:tc>
          <w:tcPr>
            <w:tcW w:type="dxa" w:w="3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El modo comparativa con dos llamadas API puede ser lento</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07010"/>
                <w:sz w:val="18"/>
                <w:szCs w:val="18"/>
              </w:rPr>
              <w:t xml:space="preserve">Media</w:t>
            </w:r>
          </w:p>
        </w:tc>
        <w:tc>
          <w:tcPr>
            <w:tcW w:type="dxa" w:w="4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555555"/>
                <w:sz w:val="18"/>
                <w:szCs w:val="18"/>
              </w:rPr>
              <w:t xml:space="preserve">Indicador de carga visible durante la generación de la comparativa. El botón se desactiva mientras carga.</w:t>
            </w:r>
          </w:p>
        </w:tc>
      </w:tr>
      <w:tr>
        <w:tc>
          <w:tcPr>
            <w:tcW w:type="dxa" w:w="3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1A1A2E"/>
                <w:sz w:val="18"/>
                <w:szCs w:val="18"/>
              </w:rPr>
              <w:t xml:space="preserve">Parseo JSON falla si la IA incluye texto antes o después del JSON</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C07010"/>
                <w:sz w:val="18"/>
                <w:szCs w:val="18"/>
              </w:rPr>
              <w:t xml:space="preserve">Media</w:t>
            </w:r>
          </w:p>
        </w:tc>
        <w:tc>
          <w:tcPr>
            <w:tcW w:type="dxa" w:w="4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val="false"/>
                <w:iCs w:val="false"/>
                <w:color w:val="555555"/>
                <w:sz w:val="18"/>
                <w:szCs w:val="18"/>
              </w:rPr>
              <w:t xml:space="preserve">Strip de backticks y trim() antes de JSON.parse(). try/catch con mensaje de error genérico si falla el parseo.</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8. Criterios de aceptación</w:t>
      </w:r>
    </w:p>
    <w:p>
      <w:pPr>
        <w:pStyle w:val="ListParagraph"/>
        <w:numPr>
          <w:ilvl w:val="0"/>
          <w:numId w:val="2"/>
        </w:numPr>
        <w:spacing w:before="50" w:after="50"/>
      </w:pPr>
      <w:r>
        <w:rPr>
          <w:rFonts w:ascii="Arial" w:cs="Arial" w:eastAsia="Arial" w:hAnsi="Arial"/>
          <w:b/>
          <w:bCs/>
          <w:color w:val="1A1A2E"/>
          <w:sz w:val="19"/>
          <w:szCs w:val="19"/>
        </w:rPr>
        <w:t xml:space="preserve">Validación: </w:t>
      </w:r>
      <w:r>
        <w:rPr>
          <w:rFonts w:ascii="Arial" w:cs="Arial" w:eastAsia="Arial" w:hAnsi="Arial"/>
          <w:color w:val="555555"/>
          <w:sz w:val="19"/>
          <w:szCs w:val="19"/>
        </w:rPr>
        <w:t xml:space="preserve">Una búsqueda de 'contactor' sin más detalle devuelve error con sugerencias, no una ficha genérica.</w:t>
      </w:r>
    </w:p>
    <w:p>
      <w:pPr>
        <w:pStyle w:val="ListParagraph"/>
        <w:numPr>
          <w:ilvl w:val="0"/>
          <w:numId w:val="2"/>
        </w:numPr>
        <w:spacing w:before="50" w:after="50"/>
      </w:pPr>
      <w:r>
        <w:rPr>
          <w:rFonts w:ascii="Arial" w:cs="Arial" w:eastAsia="Arial" w:hAnsi="Arial"/>
          <w:b/>
          <w:bCs/>
          <w:color w:val="1A1A2E"/>
          <w:sz w:val="19"/>
          <w:szCs w:val="19"/>
        </w:rPr>
        <w:t xml:space="preserve">Sugerencias clicables: </w:t>
      </w:r>
      <w:r>
        <w:rPr>
          <w:rFonts w:ascii="Arial" w:cs="Arial" w:eastAsia="Arial" w:hAnsi="Arial"/>
          <w:color w:val="555555"/>
          <w:sz w:val="19"/>
          <w:szCs w:val="19"/>
        </w:rPr>
        <w:t xml:space="preserve">Click en una sugerencia de error rellena el campo y lanza la búsqueda automáticamente.</w:t>
      </w:r>
    </w:p>
    <w:p>
      <w:pPr>
        <w:pStyle w:val="ListParagraph"/>
        <w:numPr>
          <w:ilvl w:val="0"/>
          <w:numId w:val="2"/>
        </w:numPr>
        <w:spacing w:before="50" w:after="50"/>
      </w:pPr>
      <w:r>
        <w:rPr>
          <w:rFonts w:ascii="Arial" w:cs="Arial" w:eastAsia="Arial" w:hAnsi="Arial"/>
          <w:b/>
          <w:bCs/>
          <w:color w:val="1A1A2E"/>
          <w:sz w:val="19"/>
          <w:szCs w:val="19"/>
        </w:rPr>
        <w:t xml:space="preserve">Disclaimer: </w:t>
      </w:r>
      <w:r>
        <w:rPr>
          <w:rFonts w:ascii="Arial" w:cs="Arial" w:eastAsia="Arial" w:hAnsi="Arial"/>
          <w:color w:val="555555"/>
          <w:sz w:val="19"/>
          <w:szCs w:val="19"/>
        </w:rPr>
        <w:t xml:space="preserve">El aviso de precios orientativos es visible bajo cada ficha sin necesidad de hacer scroll.</w:t>
      </w:r>
    </w:p>
    <w:p>
      <w:pPr>
        <w:pStyle w:val="ListParagraph"/>
        <w:numPr>
          <w:ilvl w:val="0"/>
          <w:numId w:val="2"/>
        </w:numPr>
        <w:spacing w:before="50" w:after="50"/>
      </w:pPr>
      <w:r>
        <w:rPr>
          <w:rFonts w:ascii="Arial" w:cs="Arial" w:eastAsia="Arial" w:hAnsi="Arial"/>
          <w:b/>
          <w:bCs/>
          <w:color w:val="1A1A2E"/>
          <w:sz w:val="19"/>
          <w:szCs w:val="19"/>
        </w:rPr>
        <w:t xml:space="preserve">Historial persistente: </w:t>
      </w:r>
      <w:r>
        <w:rPr>
          <w:rFonts w:ascii="Arial" w:cs="Arial" w:eastAsia="Arial" w:hAnsi="Arial"/>
          <w:color w:val="555555"/>
          <w:sz w:val="19"/>
          <w:szCs w:val="19"/>
        </w:rPr>
        <w:t xml:space="preserve">Las fichas consultadas aparecen en el sidebar tras recargar la página.</w:t>
      </w:r>
    </w:p>
    <w:p>
      <w:pPr>
        <w:pStyle w:val="ListParagraph"/>
        <w:numPr>
          <w:ilvl w:val="0"/>
          <w:numId w:val="2"/>
        </w:numPr>
        <w:spacing w:before="50" w:after="50"/>
      </w:pPr>
      <w:r>
        <w:rPr>
          <w:rFonts w:ascii="Arial" w:cs="Arial" w:eastAsia="Arial" w:hAnsi="Arial"/>
          <w:b/>
          <w:bCs/>
          <w:color w:val="1A1A2E"/>
          <w:sz w:val="19"/>
          <w:szCs w:val="19"/>
        </w:rPr>
        <w:t xml:space="preserve">Deduplicación: </w:t>
      </w:r>
      <w:r>
        <w:rPr>
          <w:rFonts w:ascii="Arial" w:cs="Arial" w:eastAsia="Arial" w:hAnsi="Arial"/>
          <w:color w:val="555555"/>
          <w:sz w:val="19"/>
          <w:szCs w:val="19"/>
        </w:rPr>
        <w:t xml:space="preserve">Buscar el mismo producto dos veces no genera dos entradas en el historial.</w:t>
      </w:r>
    </w:p>
    <w:p>
      <w:pPr>
        <w:pStyle w:val="ListParagraph"/>
        <w:numPr>
          <w:ilvl w:val="0"/>
          <w:numId w:val="2"/>
        </w:numPr>
        <w:spacing w:before="50" w:after="50"/>
      </w:pPr>
      <w:r>
        <w:rPr>
          <w:rFonts w:ascii="Arial" w:cs="Arial" w:eastAsia="Arial" w:hAnsi="Arial"/>
          <w:b/>
          <w:bCs/>
          <w:color w:val="1A1A2E"/>
          <w:sz w:val="19"/>
          <w:szCs w:val="19"/>
        </w:rPr>
        <w:t xml:space="preserve">PDF: </w:t>
      </w:r>
      <w:r>
        <w:rPr>
          <w:rFonts w:ascii="Arial" w:cs="Arial" w:eastAsia="Arial" w:hAnsi="Arial"/>
          <w:color w:val="555555"/>
          <w:sz w:val="19"/>
          <w:szCs w:val="19"/>
        </w:rPr>
        <w:t xml:space="preserve">Al pulsar PDF se abre el diálogo de impresión con la ficha limpia — sin sidebar, sin buscador, sin botones.</w:t>
      </w:r>
    </w:p>
    <w:p>
      <w:pPr>
        <w:pStyle w:val="ListParagraph"/>
        <w:numPr>
          <w:ilvl w:val="0"/>
          <w:numId w:val="2"/>
        </w:numPr>
        <w:spacing w:before="50" w:after="50"/>
      </w:pPr>
      <w:r>
        <w:rPr>
          <w:rFonts w:ascii="Arial" w:cs="Arial" w:eastAsia="Arial" w:hAnsi="Arial"/>
          <w:b/>
          <w:bCs/>
          <w:color w:val="1A1A2E"/>
          <w:sz w:val="19"/>
          <w:szCs w:val="19"/>
        </w:rPr>
        <w:t xml:space="preserve">Copiar: </w:t>
      </w:r>
      <w:r>
        <w:rPr>
          <w:rFonts w:ascii="Arial" w:cs="Arial" w:eastAsia="Arial" w:hAnsi="Arial"/>
          <w:color w:val="555555"/>
          <w:sz w:val="19"/>
          <w:szCs w:val="19"/>
        </w:rPr>
        <w:t xml:space="preserve">El botón copiar genera un texto completo y legible listo para pegar en WhatsApp.</w:t>
      </w:r>
    </w:p>
    <w:p>
      <w:pPr>
        <w:pStyle w:val="ListParagraph"/>
        <w:numPr>
          <w:ilvl w:val="0"/>
          <w:numId w:val="2"/>
        </w:numPr>
        <w:spacing w:before="50" w:after="50"/>
      </w:pPr>
      <w:r>
        <w:rPr>
          <w:rFonts w:ascii="Arial" w:cs="Arial" w:eastAsia="Arial" w:hAnsi="Arial"/>
          <w:b/>
          <w:bCs/>
          <w:color w:val="1A1A2E"/>
          <w:sz w:val="19"/>
          <w:szCs w:val="19"/>
        </w:rPr>
        <w:t xml:space="preserve">Comparativa: </w:t>
      </w:r>
      <w:r>
        <w:rPr>
          <w:rFonts w:ascii="Arial" w:cs="Arial" w:eastAsia="Arial" w:hAnsi="Arial"/>
          <w:color w:val="555555"/>
          <w:sz w:val="19"/>
          <w:szCs w:val="19"/>
        </w:rPr>
        <w:t xml:space="preserve">Con dos productos en los slots, la comparativa genera una tabla con al menos 5 criterios y una recomendación general.</w:t>
      </w:r>
    </w:p>
    <w:p>
      <w:pPr>
        <w:pStyle w:val="ListParagraph"/>
        <w:numPr>
          <w:ilvl w:val="0"/>
          <w:numId w:val="2"/>
        </w:numPr>
        <w:spacing w:before="50" w:after="50"/>
      </w:pPr>
      <w:r>
        <w:rPr>
          <w:rFonts w:ascii="Arial" w:cs="Arial" w:eastAsia="Arial" w:hAnsi="Arial"/>
          <w:b/>
          <w:bCs/>
          <w:color w:val="1A1A2E"/>
          <w:sz w:val="19"/>
          <w:szCs w:val="19"/>
        </w:rPr>
        <w:t xml:space="preserve">Sin regresiones: </w:t>
      </w:r>
      <w:r>
        <w:rPr>
          <w:rFonts w:ascii="Arial" w:cs="Arial" w:eastAsia="Arial" w:hAnsi="Arial"/>
          <w:color w:val="555555"/>
          <w:sz w:val="19"/>
          <w:szCs w:val="19"/>
        </w:rPr>
        <w:t xml:space="preserve">Búsqueda normal, filtros por categoría, accesos rápidos e historial de sesión funcionan igual que en v1.</w:t>
      </w:r>
    </w:p>
    <w:p>
      <w:pPr>
        <w:pBdr>
          <w:bottom w:val="single" w:color="E0DBD4" w:sz="2" w:space="1"/>
        </w:pBdr>
        <w:spacing w:before="220" w:after="220"/>
      </w:pPr>
      <w:r>
        <w:t xml:space="preserve"/>
      </w:r>
    </w:p>
    <w:p>
      <w:pPr>
        <w:spacing w:before="0" w:after="0"/>
      </w:pPr>
      <w:r>
        <w:rPr>
          <w:rFonts w:ascii="Arial" w:cs="Arial" w:eastAsia="Arial" w:hAnsi="Arial"/>
          <w:i/>
          <w:iCs/>
          <w:color w:val="999999"/>
          <w:sz w:val="17"/>
          <w:szCs w:val="17"/>
        </w:rPr>
        <w:t xml:space="preserve">Sonepar Tools · Iago Robo · Prácticas Sonepar A Coruña 2026 · fichas-tecnicas/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2026-03-07T06:06:13.272Z</dcterms:created>
  <dcterms:modified xsi:type="dcterms:W3CDTF">2026-03-07T06:06:13.272Z</dcterms:modified>
</cp:coreProperties>
</file>

<file path=docProps/custom.xml><?xml version="1.0" encoding="utf-8"?>
<Properties xmlns="http://schemas.openxmlformats.org/officeDocument/2006/custom-properties" xmlns:vt="http://schemas.openxmlformats.org/officeDocument/2006/docPropsVTypes"/>
</file>