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color w:val="999999"/>
          <w:sz w:val="20"/>
          <w:szCs w:val="20"/>
        </w:rPr>
        <w:t xml:space="preserve">SONEPAR TOOLS  ·  CHANGELOG</w:t>
      </w:r>
    </w:p>
    <w:p>
      <w:pPr>
        <w:spacing w:before="0" w:after="10"/>
      </w:pPr>
      <w:r>
        <w:rPr>
          <w:rFonts w:ascii="Arial" w:cs="Arial" w:eastAsia="Arial" w:hAnsi="Arial"/>
          <w:b/>
          <w:bCs/>
          <w:color w:val="1A1A2E"/>
          <w:sz w:val="40"/>
          <w:szCs w:val="40"/>
        </w:rPr>
        <w:t xml:space="preserve">Simulador de Flujo de Almacén</w:t>
      </w:r>
    </w:p>
    <w:p>
      <w:pPr>
        <w:pBdr>
          <w:bottom w:val="single" w:color="1A3A6A" w:sz="12" w:space="6"/>
        </w:pBdr>
        <w:spacing w:before="0" w:after="30"/>
      </w:pPr>
      <w:r>
        <w:rPr>
          <w:rFonts w:ascii="Arial" w:cs="Arial" w:eastAsia="Arial" w:hAnsi="Arial"/>
          <w:b/>
          <w:bCs/>
          <w:color w:val="1A3A6A"/>
          <w:sz w:val="26"/>
          <w:szCs w:val="26"/>
        </w:rPr>
        <w:t xml:space="preserve">v2.0  </w:t>
      </w:r>
      <w:r>
        <w:rPr>
          <w:rFonts w:ascii="Arial" w:cs="Arial" w:eastAsia="Arial" w:hAnsi="Arial"/>
          <w:color w:val="999999"/>
          <w:sz w:val="20"/>
          <w:szCs w:val="20"/>
        </w:rPr>
        <w:t xml:space="preserve">·  Marzo 2026  ·  Iago Robo  ·  simulador-almacen/sonepar-almacen-simulador-v2.jsx</w:t>
      </w:r>
    </w:p>
    <w:p>
      <w:pPr>
        <w:spacing w:before="260" w:after="80"/>
      </w:pPr>
      <w:r>
        <w:rPr>
          <w:rFonts w:ascii="Arial" w:cs="Arial" w:eastAsia="Arial" w:hAnsi="Arial"/>
          <w:b/>
          <w:bCs/>
          <w:color w:val="1A1A2E"/>
          <w:sz w:val="22"/>
          <w:szCs w:val="22"/>
        </w:rPr>
        <w:t xml:space="preserve">Resumen de la actualización</w:t>
      </w:r>
    </w:p>
    <w:p>
      <w:pPr>
        <w:spacing w:before="60" w:after="80"/>
      </w:pPr>
      <w:r>
        <w:rPr>
          <w:rFonts w:ascii="Arial" w:cs="Arial" w:eastAsia="Arial" w:hAnsi="Arial"/>
          <w:color w:val="555555"/>
          <w:sz w:val="19"/>
          <w:szCs w:val="19"/>
        </w:rPr>
        <w:t xml:space="preserve">La v2.0 resuelve el principal problema de v1: el usuario no sabía qué hacer al abrir la herramienta. La pantalla de onboarding explica el flujo antes de empezar. El cronómetro en tiempo real con semáforo de estándar convierte la simulación en algo informativo en lugar de solo interactivo. El análisis IA ahora tiene datos reales por etapa para generar recomendaciones específicas. Se añade historial persistente con detección automática de cuellos de botella.</w:t>
      </w:r>
    </w:p>
    <w:p>
      <w:pPr>
        <w:spacing w:before="260" w:after="80"/>
      </w:pPr>
      <w:r>
        <w:rPr>
          <w:rFonts w:ascii="Arial" w:cs="Arial" w:eastAsia="Arial" w:hAnsi="Arial"/>
          <w:b/>
          <w:bCs/>
          <w:color w:val="1A1A2E"/>
          <w:sz w:val="22"/>
          <w:szCs w:val="22"/>
        </w:rPr>
        <w:t xml:space="preserve">Versiones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200"/>
        <w:gridCol w:w="3626"/>
      </w:tblGrid>
      <w:tr>
        <w:tc>
          <w:tcPr>
            <w:tcW w:type="dxa" w:w="1400"/>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Versión</w:t>
            </w:r>
          </w:p>
        </w:tc>
        <w:tc>
          <w:tcPr>
            <w:tcW w:type="dxa" w:w="1800"/>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Fecha</w:t>
            </w:r>
          </w:p>
        </w:tc>
        <w:tc>
          <w:tcPr>
            <w:tcW w:type="dxa" w:w="2200"/>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Estado</w:t>
            </w:r>
          </w:p>
        </w:tc>
        <w:tc>
          <w:tcPr>
            <w:tcW w:type="dxa" w:w="3626"/>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Descripción</w:t>
            </w:r>
          </w:p>
        </w:tc>
      </w:tr>
      <w:tr>
        <w:tc>
          <w:tcPr>
            <w:tcW w:type="dxa" w:w="14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i w:val="false"/>
                <w:iCs w:val="false"/>
                <w:color w:val="999999"/>
                <w:sz w:val="18"/>
                <w:szCs w:val="18"/>
              </w:rPr>
              <w:t xml:space="preserve">v1.0</w:t>
            </w:r>
          </w:p>
        </w:tc>
        <w:tc>
          <w:tcPr>
            <w:tcW w:type="dxa" w:w="18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val="false"/>
                <w:bCs w:val="false"/>
                <w:i w:val="false"/>
                <w:iCs w:val="false"/>
                <w:color w:val="999999"/>
                <w:sz w:val="18"/>
                <w:szCs w:val="18"/>
              </w:rPr>
              <w:t xml:space="preserve">Marzo 2026</w:t>
            </w:r>
          </w:p>
        </w:tc>
        <w:tc>
          <w:tcPr>
            <w:tcW w:type="dxa" w:w="22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val="false"/>
                <w:bCs w:val="false"/>
                <w:i/>
                <w:iCs/>
                <w:color w:val="999999"/>
                <w:sz w:val="18"/>
                <w:szCs w:val="18"/>
              </w:rPr>
              <w:t xml:space="preserve">Superado</w:t>
            </w:r>
          </w:p>
        </w:tc>
        <w:tc>
          <w:tcPr>
            <w:tcW w:type="dxa" w:w="36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val="false"/>
                <w:bCs w:val="false"/>
                <w:i w:val="false"/>
                <w:iCs w:val="false"/>
                <w:color w:val="999999"/>
                <w:sz w:val="18"/>
                <w:szCs w:val="18"/>
              </w:rPr>
              <w:t xml:space="preserve">Prototipo. 5 etapas, 3 demos, log, análisis IA genérico. Sin onboarding ni cronómetro.</w:t>
            </w:r>
          </w:p>
        </w:tc>
      </w:tr>
      <w:tr>
        <w:tc>
          <w:tcPr>
            <w:tcW w:type="dxa" w:w="14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i w:val="false"/>
                <w:iCs w:val="false"/>
                <w:color w:val="1A3A6A"/>
                <w:sz w:val="18"/>
                <w:szCs w:val="18"/>
              </w:rPr>
              <w:t xml:space="preserve">v2.0</w:t>
            </w:r>
          </w:p>
        </w:tc>
        <w:tc>
          <w:tcPr>
            <w:tcW w:type="dxa" w:w="18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val="false"/>
                <w:bCs w:val="false"/>
                <w:i w:val="false"/>
                <w:iCs w:val="false"/>
                <w:color w:val="1A1A2E"/>
                <w:sz w:val="18"/>
                <w:szCs w:val="18"/>
              </w:rPr>
              <w:t xml:space="preserve">Marzo 2026</w:t>
            </w:r>
          </w:p>
        </w:tc>
        <w:tc>
          <w:tcPr>
            <w:tcW w:type="dxa" w:w="22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i w:val="false"/>
                <w:iCs w:val="false"/>
                <w:color w:val="1A6040"/>
                <w:sz w:val="18"/>
                <w:szCs w:val="18"/>
              </w:rPr>
              <w:t xml:space="preserve">Publicado</w:t>
            </w:r>
          </w:p>
        </w:tc>
        <w:tc>
          <w:tcPr>
            <w:tcW w:type="dxa" w:w="36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val="false"/>
                <w:bCs w:val="false"/>
                <w:i w:val="false"/>
                <w:iCs w:val="false"/>
                <w:color w:val="1A1A2E"/>
                <w:sz w:val="18"/>
                <w:szCs w:val="18"/>
              </w:rPr>
              <w:t xml:space="preserve">Onboarding, cronómetro, semáforo, estándares por categoría, IA con datos reales, historial.</w:t>
            </w:r>
          </w:p>
        </w:tc>
      </w:tr>
      <w:tr>
        <w:tc>
          <w:tcPr>
            <w:tcW w:type="dxa" w:w="14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i w:val="false"/>
                <w:iCs w:val="false"/>
                <w:color w:val="999999"/>
                <w:sz w:val="18"/>
                <w:szCs w:val="18"/>
              </w:rPr>
              <w:t xml:space="preserve">v3.0</w:t>
            </w:r>
          </w:p>
        </w:tc>
        <w:tc>
          <w:tcPr>
            <w:tcW w:type="dxa" w:w="18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val="false"/>
                <w:bCs w:val="false"/>
                <w:i/>
                <w:iCs/>
                <w:color w:val="999999"/>
                <w:sz w:val="18"/>
                <w:szCs w:val="18"/>
              </w:rPr>
              <w:t xml:space="preserve">Pendiente</w:t>
            </w:r>
          </w:p>
        </w:tc>
        <w:tc>
          <w:tcPr>
            <w:tcW w:type="dxa" w:w="22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val="false"/>
                <w:bCs w:val="false"/>
                <w:i/>
                <w:iCs/>
                <w:color w:val="999999"/>
                <w:sz w:val="18"/>
                <w:szCs w:val="18"/>
              </w:rPr>
              <w:t xml:space="preserve">Planificado</w:t>
            </w:r>
          </w:p>
        </w:tc>
        <w:tc>
          <w:tcPr>
            <w:tcW w:type="dxa" w:w="36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val="false"/>
                <w:bCs w:val="false"/>
                <w:i w:val="false"/>
                <w:iCs w:val="false"/>
                <w:color w:val="999999"/>
                <w:sz w:val="18"/>
                <w:szCs w:val="18"/>
              </w:rPr>
              <w:t xml:space="preserve">Modo automático, exportación PDF del informe, configuración de estándares.</w:t>
            </w:r>
          </w:p>
        </w:tc>
      </w:tr>
    </w:tbl>
    <w:p>
      <w:pPr>
        <w:spacing w:before="260" w:after="80"/>
      </w:pPr>
      <w:r>
        <w:rPr>
          <w:rFonts w:ascii="Arial" w:cs="Arial" w:eastAsia="Arial" w:hAnsi="Arial"/>
          <w:b/>
          <w:bCs/>
          <w:color w:val="1A1A2E"/>
          <w:sz w:val="22"/>
          <w:szCs w:val="22"/>
        </w:rPr>
        <w:t xml:space="preserve">Cambios detallados — v1.0 → v2.0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626"/>
      </w:tblGrid>
      <w:tr>
        <w:tc>
          <w:tcPr>
            <w:tcW w:type="dxa" w:w="1400"/>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Tipo</w:t>
            </w:r>
          </w:p>
        </w:tc>
        <w:tc>
          <w:tcPr>
            <w:tcW w:type="dxa" w:w="2000"/>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Componente</w:t>
            </w:r>
          </w:p>
        </w:tc>
        <w:tc>
          <w:tcPr>
            <w:tcW w:type="dxa" w:w="5626"/>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Descripción y detalle técnico</w:t>
            </w:r>
          </w:p>
        </w:tc>
      </w:tr>
      <w:tr>
        <w:tc>
          <w:tcPr>
            <w:tcW w:type="dxa" w:w="1400"/>
            <w:tcBorders>
              <w:top w:val="single" w:color="1A6040" w:sz="6"/>
              <w:left w:val="single" w:color="1A6040" w:sz="6"/>
              <w:bottom w:val="single" w:color="1A6040" w:sz="6"/>
              <w:right w:val="single" w:color="1A6040" w:sz="6"/>
            </w:tcBorders>
            <w:shd w:fill="1A6040" w:val="clear"/>
            <w:tcMar>
              <w:top w:type="dxa" w:w="90"/>
              <w:left w:type="dxa" w:w="130"/>
              <w:bottom w:type="dxa" w:w="90"/>
              <w:right w:type="dxa" w:w="130"/>
            </w:tcMar>
          </w:tcPr>
          <w:p>
            <w:pPr>
              <w:jc w:val="center"/>
            </w:pPr>
            <w:r>
              <w:rPr>
                <w:rFonts w:ascii="Arial" w:cs="Arial" w:eastAsia="Arial" w:hAnsi="Arial"/>
                <w:b/>
                <w:bCs/>
                <w:color w:val="FFFFFF"/>
                <w:sz w:val="16"/>
                <w:szCs w:val="16"/>
              </w:rPr>
              <w:t xml:space="preserve">NUEVO</w:t>
            </w:r>
          </w:p>
        </w:tc>
        <w:tc>
          <w:tcPr>
            <w:tcW w:type="dxa" w:w="2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i w:val="false"/>
                <w:iCs w:val="false"/>
                <w:color w:val="1A1A2E"/>
                <w:sz w:val="18"/>
                <w:szCs w:val="18"/>
              </w:rPr>
              <w:t xml:space="preserve">Pantalla de onboarding</w:t>
            </w:r>
          </w:p>
        </w:tc>
        <w:tc>
          <w:tcPr>
            <w:tcW w:type="dxa" w:w="56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color w:val="1A1A2E"/>
                <w:sz w:val="19"/>
                <w:szCs w:val="19"/>
              </w:rPr>
              <w:t xml:space="preserve">Pantalla de bienvenida con explicación completa de la herramienta antes de empezar</w:t>
            </w:r>
          </w:p>
          <w:p>
            <w:pPr>
              <w:spacing w:before="40"/>
            </w:pPr>
            <w:r>
              <w:rPr>
                <w:rFonts w:ascii="Arial" w:cs="Arial" w:eastAsia="Arial" w:hAnsi="Arial"/>
                <w:i/>
                <w:iCs/>
                <w:color w:val="555555"/>
                <w:sz w:val="17"/>
                <w:szCs w:val="17"/>
              </w:rPr>
              <w:t xml:space="preserve">Estado 'pantalla' con valores 'onboarding', 'selector', 'simulacion', 'resultado'. Al abrir por primera vez se muestra la pantalla de onboarding con: descripción de la herramienta, tabla de las 5 etapas con sus tiempos estándar, y 3 pasos de uso resumidos. Botón 'INICIAR SIMULADOR' lleva al selector. En v1 se llegaba directamente al selector sin contexto.</w:t>
            </w:r>
          </w:p>
        </w:tc>
      </w:tr>
      <w:tr>
        <w:tc>
          <w:tcPr>
            <w:tcW w:type="dxa" w:w="1400"/>
            <w:tcBorders>
              <w:top w:val="single" w:color="1A6040" w:sz="6"/>
              <w:left w:val="single" w:color="1A6040" w:sz="6"/>
              <w:bottom w:val="single" w:color="1A6040" w:sz="6"/>
              <w:right w:val="single" w:color="1A6040" w:sz="6"/>
            </w:tcBorders>
            <w:shd w:fill="1A6040" w:val="clear"/>
            <w:tcMar>
              <w:top w:type="dxa" w:w="90"/>
              <w:left w:type="dxa" w:w="130"/>
              <w:bottom w:type="dxa" w:w="90"/>
              <w:right w:type="dxa" w:w="130"/>
            </w:tcMar>
          </w:tcPr>
          <w:p>
            <w:pPr>
              <w:jc w:val="center"/>
            </w:pPr>
            <w:r>
              <w:rPr>
                <w:rFonts w:ascii="Arial" w:cs="Arial" w:eastAsia="Arial" w:hAnsi="Arial"/>
                <w:b/>
                <w:bCs/>
                <w:color w:val="FFFFFF"/>
                <w:sz w:val="16"/>
                <w:szCs w:val="16"/>
              </w:rPr>
              <w:t xml:space="preserve">NUEVO</w:t>
            </w:r>
          </w:p>
        </w:tc>
        <w:tc>
          <w:tcPr>
            <w:tcW w:type="dxa" w:w="2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i w:val="false"/>
                <w:iCs w:val="false"/>
                <w:color w:val="1A1A2E"/>
                <w:sz w:val="18"/>
                <w:szCs w:val="18"/>
              </w:rPr>
              <w:t xml:space="preserve">Cronómetro en tiempo real</w:t>
            </w:r>
          </w:p>
        </w:tc>
        <w:tc>
          <w:tcPr>
            <w:tcW w:type="dxa" w:w="56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color w:val="1A1A2E"/>
                <w:sz w:val="19"/>
                <w:szCs w:val="19"/>
              </w:rPr>
              <w:t xml:space="preserve">Tiempo transcurrido en la etapa activa visible y actualizado cada segundo</w:t>
            </w:r>
          </w:p>
          <w:p>
            <w:pPr>
              <w:spacing w:before="40"/>
            </w:pPr>
            <w:r>
              <w:rPr>
                <w:rFonts w:ascii="Arial" w:cs="Arial" w:eastAsia="Arial" w:hAnsi="Arial"/>
                <w:i/>
                <w:iCs/>
                <w:color w:val="555555"/>
                <w:sz w:val="17"/>
                <w:szCs w:val="17"/>
              </w:rPr>
              <w:t xml:space="preserve">useRef para guardar inicioEtapaRef (Date.now() al entrar a cada etapa). setInterval de 1000ms actualizando estado tiempoEtapa = Math.floor((Date.now() - inicioEtapaRef.current) / 1000). El interval se limpia en el cleanup del useEffect y al avanzar de etapa. Renderizado como número grande en tipografía monospace en el panel de etapa activa.</w:t>
            </w:r>
          </w:p>
        </w:tc>
      </w:tr>
      <w:tr>
        <w:tc>
          <w:tcPr>
            <w:tcW w:type="dxa" w:w="1400"/>
            <w:tcBorders>
              <w:top w:val="single" w:color="1A6040" w:sz="6"/>
              <w:left w:val="single" w:color="1A6040" w:sz="6"/>
              <w:bottom w:val="single" w:color="1A6040" w:sz="6"/>
              <w:right w:val="single" w:color="1A6040" w:sz="6"/>
            </w:tcBorders>
            <w:shd w:fill="1A6040" w:val="clear"/>
            <w:tcMar>
              <w:top w:type="dxa" w:w="90"/>
              <w:left w:type="dxa" w:w="130"/>
              <w:bottom w:type="dxa" w:w="90"/>
              <w:right w:type="dxa" w:w="130"/>
            </w:tcMar>
          </w:tcPr>
          <w:p>
            <w:pPr>
              <w:jc w:val="center"/>
            </w:pPr>
            <w:r>
              <w:rPr>
                <w:rFonts w:ascii="Arial" w:cs="Arial" w:eastAsia="Arial" w:hAnsi="Arial"/>
                <w:b/>
                <w:bCs/>
                <w:color w:val="FFFFFF"/>
                <w:sz w:val="16"/>
                <w:szCs w:val="16"/>
              </w:rPr>
              <w:t xml:space="preserve">NUEVO</w:t>
            </w:r>
          </w:p>
        </w:tc>
        <w:tc>
          <w:tcPr>
            <w:tcW w:type="dxa" w:w="2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i w:val="false"/>
                <w:iCs w:val="false"/>
                <w:color w:val="1A1A2E"/>
                <w:sz w:val="18"/>
                <w:szCs w:val="18"/>
              </w:rPr>
              <w:t xml:space="preserve">Semáforo en tiempo real</w:t>
            </w:r>
          </w:p>
        </w:tc>
        <w:tc>
          <w:tcPr>
            <w:tcW w:type="dxa" w:w="56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color w:val="1A1A2E"/>
                <w:sz w:val="19"/>
                <w:szCs w:val="19"/>
              </w:rPr>
              <w:t xml:space="preserve">Indicador de color durante la simulación según si el tiempo supera el estándar</w:t>
            </w:r>
          </w:p>
          <w:p>
            <w:pPr>
              <w:spacing w:before="40"/>
            </w:pPr>
            <w:r>
              <w:rPr>
                <w:rFonts w:ascii="Arial" w:cs="Arial" w:eastAsia="Arial" w:hAnsi="Arial"/>
                <w:i/>
                <w:iCs/>
                <w:color w:val="555555"/>
                <w:sz w:val="17"/>
                <w:szCs w:val="17"/>
              </w:rPr>
              <w:t xml:space="preserve">Función getEstado(tiempo, estandar) devuelve objeto {label, color, bg} según: ≤100% del estándar → verde/DENTRO DEL ESTÁNDAR, 101–150% → amarillo/LENTO, &gt;150% → rojo/MUY LENTO. El color del cronómetro y el badge de estado cambian en tiempo real conforme avanza el tiempo. Al completar la etapa el estado queda registrado en el log.</w:t>
            </w:r>
          </w:p>
        </w:tc>
      </w:tr>
      <w:tr>
        <w:tc>
          <w:tcPr>
            <w:tcW w:type="dxa" w:w="1400"/>
            <w:tcBorders>
              <w:top w:val="single" w:color="1A6040" w:sz="6"/>
              <w:left w:val="single" w:color="1A6040" w:sz="6"/>
              <w:bottom w:val="single" w:color="1A6040" w:sz="6"/>
              <w:right w:val="single" w:color="1A6040" w:sz="6"/>
            </w:tcBorders>
            <w:shd w:fill="1A6040" w:val="clear"/>
            <w:tcMar>
              <w:top w:type="dxa" w:w="90"/>
              <w:left w:type="dxa" w:w="130"/>
              <w:bottom w:type="dxa" w:w="90"/>
              <w:right w:type="dxa" w:w="130"/>
            </w:tcMar>
          </w:tcPr>
          <w:p>
            <w:pPr>
              <w:jc w:val="center"/>
            </w:pPr>
            <w:r>
              <w:rPr>
                <w:rFonts w:ascii="Arial" w:cs="Arial" w:eastAsia="Arial" w:hAnsi="Arial"/>
                <w:b/>
                <w:bCs/>
                <w:color w:val="FFFFFF"/>
                <w:sz w:val="16"/>
                <w:szCs w:val="16"/>
              </w:rPr>
              <w:t xml:space="preserve">NUEVO</w:t>
            </w:r>
          </w:p>
        </w:tc>
        <w:tc>
          <w:tcPr>
            <w:tcW w:type="dxa" w:w="2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i w:val="false"/>
                <w:iCs w:val="false"/>
                <w:color w:val="1A1A2E"/>
                <w:sz w:val="18"/>
                <w:szCs w:val="18"/>
              </w:rPr>
              <w:t xml:space="preserve">Estándares por categoría de producto</w:t>
            </w:r>
          </w:p>
        </w:tc>
        <w:tc>
          <w:tcPr>
            <w:tcW w:type="dxa" w:w="56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color w:val="1A1A2E"/>
                <w:sz w:val="19"/>
                <w:szCs w:val="19"/>
              </w:rPr>
              <w:t xml:space="preserve">El tiempo estándar del picking varía según el tipo de producto</w:t>
            </w:r>
          </w:p>
          <w:p>
            <w:pPr>
              <w:spacing w:before="40"/>
            </w:pPr>
            <w:r>
              <w:rPr>
                <w:rFonts w:ascii="Arial" w:cs="Arial" w:eastAsia="Arial" w:hAnsi="Arial"/>
                <w:i/>
                <w:iCs/>
                <w:color w:val="555555"/>
                <w:sz w:val="17"/>
                <w:szCs w:val="17"/>
              </w:rPr>
              <w:t xml:space="preserve">Objeto ESTANDAR_PICKING con tiempos en segundos por categoría: Variador 180s, Contactor 45s, Sensor 60s, PLC 120s, Relé 40s, Cable 90s, Interruptor 50s, Otro 75s. La etapa de Picking (id=2) usa getEstandar() que consulta este objeto según pedidoActivo.categoria. Las demás etapas tienen estándar fijo en el array ETAPAS.</w:t>
            </w:r>
          </w:p>
        </w:tc>
      </w:tr>
      <w:tr>
        <w:tc>
          <w:tcPr>
            <w:tcW w:type="dxa" w:w="1400"/>
            <w:tcBorders>
              <w:top w:val="single" w:color="1A6040" w:sz="6"/>
              <w:left w:val="single" w:color="1A6040" w:sz="6"/>
              <w:bottom w:val="single" w:color="1A6040" w:sz="6"/>
              <w:right w:val="single" w:color="1A6040" w:sz="6"/>
            </w:tcBorders>
            <w:shd w:fill="1A6040" w:val="clear"/>
            <w:tcMar>
              <w:top w:type="dxa" w:w="90"/>
              <w:left w:type="dxa" w:w="130"/>
              <w:bottom w:type="dxa" w:w="90"/>
              <w:right w:type="dxa" w:w="130"/>
            </w:tcMar>
          </w:tcPr>
          <w:p>
            <w:pPr>
              <w:jc w:val="center"/>
            </w:pPr>
            <w:r>
              <w:rPr>
                <w:rFonts w:ascii="Arial" w:cs="Arial" w:eastAsia="Arial" w:hAnsi="Arial"/>
                <w:b/>
                <w:bCs/>
                <w:color w:val="FFFFFF"/>
                <w:sz w:val="16"/>
                <w:szCs w:val="16"/>
              </w:rPr>
              <w:t xml:space="preserve">NUEVO</w:t>
            </w:r>
          </w:p>
        </w:tc>
        <w:tc>
          <w:tcPr>
            <w:tcW w:type="dxa" w:w="2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i w:val="false"/>
                <w:iCs w:val="false"/>
                <w:color w:val="1A1A2E"/>
                <w:sz w:val="18"/>
                <w:szCs w:val="18"/>
              </w:rPr>
              <w:t xml:space="preserve">IA con datos reales de tiempos</w:t>
            </w:r>
          </w:p>
        </w:tc>
        <w:tc>
          <w:tcPr>
            <w:tcW w:type="dxa" w:w="56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color w:val="1A1A2E"/>
                <w:sz w:val="19"/>
                <w:szCs w:val="19"/>
              </w:rPr>
              <w:t xml:space="preserve">El prompt de análisis incluye los tiempos concretos y desviaciones de la simulación</w:t>
            </w:r>
          </w:p>
          <w:p>
            <w:pPr>
              <w:spacing w:before="40"/>
            </w:pPr>
            <w:r>
              <w:rPr>
                <w:rFonts w:ascii="Arial" w:cs="Arial" w:eastAsia="Arial" w:hAnsi="Arial"/>
                <w:i/>
                <w:iCs/>
                <w:color w:val="555555"/>
                <w:sz w:val="17"/>
                <w:szCs w:val="17"/>
              </w:rPr>
              <w:t xml:space="preserve">En v1 el prompt era genérico. En v2 el PROMPT_ANALISIS recibe: tiemposFinales (array de segundos por etapa), estandares (array calculado) y desviaciones (array de % calculado como ((tiempo-estandar)/estandar)*100). El prompt lista cada etapa con su tiempo real, estándar y desviación. El análisis IA menciona etapas y tiempos concretos.</w:t>
            </w:r>
          </w:p>
        </w:tc>
      </w:tr>
      <w:tr>
        <w:tc>
          <w:tcPr>
            <w:tcW w:type="dxa" w:w="1400"/>
            <w:tcBorders>
              <w:top w:val="single" w:color="1A6040" w:sz="6"/>
              <w:left w:val="single" w:color="1A6040" w:sz="6"/>
              <w:bottom w:val="single" w:color="1A6040" w:sz="6"/>
              <w:right w:val="single" w:color="1A6040" w:sz="6"/>
            </w:tcBorders>
            <w:shd w:fill="1A6040" w:val="clear"/>
            <w:tcMar>
              <w:top w:type="dxa" w:w="90"/>
              <w:left w:type="dxa" w:w="130"/>
              <w:bottom w:type="dxa" w:w="90"/>
              <w:right w:type="dxa" w:w="130"/>
            </w:tcMar>
          </w:tcPr>
          <w:p>
            <w:pPr>
              <w:jc w:val="center"/>
            </w:pPr>
            <w:r>
              <w:rPr>
                <w:rFonts w:ascii="Arial" w:cs="Arial" w:eastAsia="Arial" w:hAnsi="Arial"/>
                <w:b/>
                <w:bCs/>
                <w:color w:val="FFFFFF"/>
                <w:sz w:val="16"/>
                <w:szCs w:val="16"/>
              </w:rPr>
              <w:t xml:space="preserve">NUEVO</w:t>
            </w:r>
          </w:p>
        </w:tc>
        <w:tc>
          <w:tcPr>
            <w:tcW w:type="dxa" w:w="2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i w:val="false"/>
                <w:iCs w:val="false"/>
                <w:color w:val="1A1A2E"/>
                <w:sz w:val="18"/>
                <w:szCs w:val="18"/>
              </w:rPr>
              <w:t xml:space="preserve">Tabla de resultado detallada</w:t>
            </w:r>
          </w:p>
        </w:tc>
        <w:tc>
          <w:tcPr>
            <w:tcW w:type="dxa" w:w="56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color w:val="1A1A2E"/>
                <w:sz w:val="19"/>
                <w:szCs w:val="19"/>
              </w:rPr>
              <w:t xml:space="preserve">Resumen por etapa con tiempo real, estándar, desviación % y resultado</w:t>
            </w:r>
          </w:p>
          <w:p>
            <w:pPr>
              <w:spacing w:before="40"/>
            </w:pPr>
            <w:r>
              <w:rPr>
                <w:rFonts w:ascii="Arial" w:cs="Arial" w:eastAsia="Arial" w:hAnsi="Arial"/>
                <w:i/>
                <w:iCs/>
                <w:color w:val="555555"/>
                <w:sz w:val="17"/>
                <w:szCs w:val="17"/>
              </w:rPr>
              <w:t xml:space="preserve">Tabla con 5 columnas: Etapa, Tiempo (real), Estándar, Desviación % (con signo + o -), Resultado (badge de color). Las 3 métricas de resumen en cards: tiempo total, etapa más lenta (Math.max de tiempos), etapa más rápida (Math.min). Todo calculado sobre los datos reales de la simulación.</w:t>
            </w:r>
          </w:p>
        </w:tc>
      </w:tr>
      <w:tr>
        <w:tc>
          <w:tcPr>
            <w:tcW w:type="dxa" w:w="1400"/>
            <w:tcBorders>
              <w:top w:val="single" w:color="1A6040" w:sz="6"/>
              <w:left w:val="single" w:color="1A6040" w:sz="6"/>
              <w:bottom w:val="single" w:color="1A6040" w:sz="6"/>
              <w:right w:val="single" w:color="1A6040" w:sz="6"/>
            </w:tcBorders>
            <w:shd w:fill="1A6040" w:val="clear"/>
            <w:tcMar>
              <w:top w:type="dxa" w:w="90"/>
              <w:left w:type="dxa" w:w="130"/>
              <w:bottom w:type="dxa" w:w="90"/>
              <w:right w:type="dxa" w:w="130"/>
            </w:tcMar>
          </w:tcPr>
          <w:p>
            <w:pPr>
              <w:jc w:val="center"/>
            </w:pPr>
            <w:r>
              <w:rPr>
                <w:rFonts w:ascii="Arial" w:cs="Arial" w:eastAsia="Arial" w:hAnsi="Arial"/>
                <w:b/>
                <w:bCs/>
                <w:color w:val="FFFFFF"/>
                <w:sz w:val="16"/>
                <w:szCs w:val="16"/>
              </w:rPr>
              <w:t xml:space="preserve">NUEVO</w:t>
            </w:r>
          </w:p>
        </w:tc>
        <w:tc>
          <w:tcPr>
            <w:tcW w:type="dxa" w:w="2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i w:val="false"/>
                <w:iCs w:val="false"/>
                <w:color w:val="1A1A2E"/>
                <w:sz w:val="18"/>
                <w:szCs w:val="18"/>
              </w:rPr>
              <w:t xml:space="preserve">Historial de simulaciones</w:t>
            </w:r>
          </w:p>
        </w:tc>
        <w:tc>
          <w:tcPr>
            <w:tcW w:type="dxa" w:w="56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color w:val="1A1A2E"/>
                <w:sz w:val="19"/>
                <w:szCs w:val="19"/>
              </w:rPr>
              <w:t xml:space="preserve">Las últimas 10 simulaciones guardadas en localStorage con detección de cuellos de botella</w:t>
            </w:r>
          </w:p>
          <w:p>
            <w:pPr>
              <w:spacing w:before="40"/>
            </w:pPr>
            <w:r>
              <w:rPr>
                <w:rFonts w:ascii="Arial" w:cs="Arial" w:eastAsia="Arial" w:hAnsi="Arial"/>
                <w:i/>
                <w:iCs/>
                <w:color w:val="555555"/>
                <w:sz w:val="17"/>
                <w:szCs w:val="17"/>
              </w:rPr>
              <w:t xml:space="preserve">Clave localStorage: 'sonepar_simulaciones'. Cada entrada: {fecha, producto, referencia, cliente, tiempos[], estandares[], desviaciones[], totalTiempo, cuellosBottella[]}. cuellosBottella son los índices de etapas con desviación &gt;150%. Panel colapsable en el header con tarjetas de cada simulación. Límite 10 entradas con slice(0, 10).</w:t>
            </w:r>
          </w:p>
        </w:tc>
      </w:tr>
      <w:tr>
        <w:tc>
          <w:tcPr>
            <w:tcW w:type="dxa" w:w="1400"/>
            <w:tcBorders>
              <w:top w:val="single" w:color="1A6040" w:sz="6"/>
              <w:left w:val="single" w:color="1A6040" w:sz="6"/>
              <w:bottom w:val="single" w:color="1A6040" w:sz="6"/>
              <w:right w:val="single" w:color="1A6040" w:sz="6"/>
            </w:tcBorders>
            <w:shd w:fill="1A6040" w:val="clear"/>
            <w:tcMar>
              <w:top w:type="dxa" w:w="90"/>
              <w:left w:type="dxa" w:w="130"/>
              <w:bottom w:type="dxa" w:w="90"/>
              <w:right w:type="dxa" w:w="130"/>
            </w:tcMar>
          </w:tcPr>
          <w:p>
            <w:pPr>
              <w:jc w:val="center"/>
            </w:pPr>
            <w:r>
              <w:rPr>
                <w:rFonts w:ascii="Arial" w:cs="Arial" w:eastAsia="Arial" w:hAnsi="Arial"/>
                <w:b/>
                <w:bCs/>
                <w:color w:val="FFFFFF"/>
                <w:sz w:val="16"/>
                <w:szCs w:val="16"/>
              </w:rPr>
              <w:t xml:space="preserve">NUEVO</w:t>
            </w:r>
          </w:p>
        </w:tc>
        <w:tc>
          <w:tcPr>
            <w:tcW w:type="dxa" w:w="2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i w:val="false"/>
                <w:iCs w:val="false"/>
                <w:color w:val="1A1A2E"/>
                <w:sz w:val="18"/>
                <w:szCs w:val="18"/>
              </w:rPr>
              <w:t xml:space="preserve">Validación formulario manual</w:t>
            </w:r>
          </w:p>
        </w:tc>
        <w:tc>
          <w:tcPr>
            <w:tcW w:type="dxa" w:w="56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color w:val="1A1A2E"/>
                <w:sz w:val="19"/>
                <w:szCs w:val="19"/>
              </w:rPr>
              <w:t xml:space="preserve">Los campos producto y cliente son obligatorios para iniciar una simulación manual</w:t>
            </w:r>
          </w:p>
          <w:p>
            <w:pPr>
              <w:spacing w:before="40"/>
            </w:pPr>
            <w:r>
              <w:rPr>
                <w:rFonts w:ascii="Arial" w:cs="Arial" w:eastAsia="Arial" w:hAnsi="Arial"/>
                <w:i/>
                <w:iCs/>
                <w:color w:val="555555"/>
                <w:sz w:val="17"/>
                <w:szCs w:val="17"/>
              </w:rPr>
              <w:t xml:space="preserve">Comprobación en iniciarManual(): si formManual.producto o formManual.cliente están vacíos, la función retorna sin crear el pedido. En v1 era posible iniciar una simulación con campos en blanco.</w:t>
            </w:r>
          </w:p>
        </w:tc>
      </w:tr>
      <w:tr>
        <w:tc>
          <w:tcPr>
            <w:tcW w:type="dxa" w:w="1400"/>
            <w:tcBorders>
              <w:top w:val="single" w:color="1A3A6A" w:sz="6"/>
              <w:left w:val="single" w:color="1A3A6A" w:sz="6"/>
              <w:bottom w:val="single" w:color="1A3A6A" w:sz="6"/>
              <w:right w:val="single" w:color="1A3A6A" w:sz="6"/>
            </w:tcBorders>
            <w:shd w:fill="1A3A6A" w:val="clear"/>
            <w:tcMar>
              <w:top w:type="dxa" w:w="90"/>
              <w:left w:type="dxa" w:w="130"/>
              <w:bottom w:type="dxa" w:w="90"/>
              <w:right w:type="dxa" w:w="130"/>
            </w:tcMar>
          </w:tcPr>
          <w:p>
            <w:pPr>
              <w:jc w:val="center"/>
            </w:pPr>
            <w:r>
              <w:rPr>
                <w:rFonts w:ascii="Arial" w:cs="Arial" w:eastAsia="Arial" w:hAnsi="Arial"/>
                <w:b/>
                <w:bCs/>
                <w:color w:val="FFFFFF"/>
                <w:sz w:val="16"/>
                <w:szCs w:val="16"/>
              </w:rPr>
              <w:t xml:space="preserve">MEJORA</w:t>
            </w:r>
          </w:p>
        </w:tc>
        <w:tc>
          <w:tcPr>
            <w:tcW w:type="dxa" w:w="2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i w:val="false"/>
                <w:iCs w:val="false"/>
                <w:color w:val="1A1A2E"/>
                <w:sz w:val="18"/>
                <w:szCs w:val="18"/>
              </w:rPr>
              <w:t xml:space="preserve">Progreso visual de etapas</w:t>
            </w:r>
          </w:p>
        </w:tc>
        <w:tc>
          <w:tcPr>
            <w:tcW w:type="dxa" w:w="56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color w:val="1A1A2E"/>
                <w:sz w:val="19"/>
                <w:szCs w:val="19"/>
              </w:rPr>
              <w:t xml:space="preserve">Indicador de progreso con líneas conectoras y colores por estado</w:t>
            </w:r>
          </w:p>
          <w:p>
            <w:pPr>
              <w:spacing w:before="40"/>
            </w:pPr>
            <w:r>
              <w:rPr>
                <w:rFonts w:ascii="Arial" w:cs="Arial" w:eastAsia="Arial" w:hAnsi="Arial"/>
                <w:i/>
                <w:iCs/>
                <w:color w:val="555555"/>
                <w:sz w:val="17"/>
                <w:szCs w:val="17"/>
              </w:rPr>
              <w:t xml:space="preserve">Cada etapa del flujo muestra un círculo coloreado: completada con color del resultado (verde/amarillo/rojo), activa en azul con borde pulsante, pendiente en gris. Líneas horizontales de conexión entre etapas que se colorean al completarse. Tiempo real visible bajo cada etapa completada.</w:t>
            </w:r>
          </w:p>
        </w:tc>
      </w:tr>
      <w:tr>
        <w:tc>
          <w:tcPr>
            <w:tcW w:type="dxa" w:w="1400"/>
            <w:tcBorders>
              <w:top w:val="single" w:color="1A3A6A" w:sz="6"/>
              <w:left w:val="single" w:color="1A3A6A" w:sz="6"/>
              <w:bottom w:val="single" w:color="1A3A6A" w:sz="6"/>
              <w:right w:val="single" w:color="1A3A6A" w:sz="6"/>
            </w:tcBorders>
            <w:shd w:fill="1A3A6A" w:val="clear"/>
            <w:tcMar>
              <w:top w:type="dxa" w:w="90"/>
              <w:left w:type="dxa" w:w="130"/>
              <w:bottom w:type="dxa" w:w="90"/>
              <w:right w:type="dxa" w:w="130"/>
            </w:tcMar>
          </w:tcPr>
          <w:p>
            <w:pPr>
              <w:jc w:val="center"/>
            </w:pPr>
            <w:r>
              <w:rPr>
                <w:rFonts w:ascii="Arial" w:cs="Arial" w:eastAsia="Arial" w:hAnsi="Arial"/>
                <w:b/>
                <w:bCs/>
                <w:color w:val="FFFFFF"/>
                <w:sz w:val="16"/>
                <w:szCs w:val="16"/>
              </w:rPr>
              <w:t xml:space="preserve">MEJORA</w:t>
            </w:r>
          </w:p>
        </w:tc>
        <w:tc>
          <w:tcPr>
            <w:tcW w:type="dxa" w:w="2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i w:val="false"/>
                <w:iCs w:val="false"/>
                <w:color w:val="1A1A2E"/>
                <w:sz w:val="18"/>
                <w:szCs w:val="18"/>
              </w:rPr>
              <w:t xml:space="preserve">Log en tiempo real</w:t>
            </w:r>
          </w:p>
        </w:tc>
        <w:tc>
          <w:tcPr>
            <w:tcW w:type="dxa" w:w="56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color w:val="1A1A2E"/>
                <w:sz w:val="19"/>
                <w:szCs w:val="19"/>
              </w:rPr>
              <w:t xml:space="preserve">El log registra el resultado de cada etapa con el tiempo y el estado del estándar</w:t>
            </w:r>
          </w:p>
          <w:p>
            <w:pPr>
              <w:spacing w:before="40"/>
            </w:pPr>
            <w:r>
              <w:rPr>
                <w:rFonts w:ascii="Arial" w:cs="Arial" w:eastAsia="Arial" w:hAnsi="Arial"/>
                <w:i/>
                <w:iCs/>
                <w:color w:val="555555"/>
                <w:sz w:val="17"/>
                <w:szCs w:val="17"/>
              </w:rPr>
              <w:t xml:space="preserve">En v1 el log registraba solo el nombre de la etapa. En v2 cada entrada incluye el tiempo en segundos y el resultado del estándar: 'Picking completada en 95s — DENTRO DEL ESTÁNDAR'. La entrada más reciente se destaca en naranja.</w:t>
            </w:r>
          </w:p>
        </w:tc>
      </w:tr>
    </w:tbl>
    <w:p>
      <w:pPr>
        <w:pBdr>
          <w:bottom w:val="single" w:color="E0DBD4" w:sz="2" w:space="1"/>
        </w:pBdr>
        <w:spacing w:before="220" w:after="220"/>
      </w:pPr>
      <w:r>
        <w:t xml:space="preserve"/>
      </w:r>
    </w:p>
    <w:p>
      <w:pPr>
        <w:spacing w:before="260" w:after="80"/>
      </w:pPr>
      <w:r>
        <w:rPr>
          <w:rFonts w:ascii="Arial" w:cs="Arial" w:eastAsia="Arial" w:hAnsi="Arial"/>
          <w:b/>
          <w:bCs/>
          <w:color w:val="1A1A2E"/>
          <w:sz w:val="22"/>
          <w:szCs w:val="22"/>
        </w:rPr>
        <w:t xml:space="preserve">Compatibilidad y dependencias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Aspecto</w:t>
            </w:r>
          </w:p>
        </w:tc>
        <w:tc>
          <w:tcPr>
            <w:tcW w:type="dxa" w:w="6026"/>
            <w:tcBorders>
              <w:top w:val="single" w:color="1A1A2E" w:sz="6"/>
              <w:left w:val="single" w:color="1A1A2E" w:sz="6"/>
              <w:bottom w:val="single" w:color="1A1A2E" w:sz="6"/>
              <w:right w:val="single" w:color="1A1A2E" w:sz="6"/>
            </w:tcBorders>
            <w:shd w:fill="1A1A2E" w:val="clear"/>
            <w:tcMar>
              <w:top w:type="dxa" w:w="80"/>
              <w:left w:type="dxa" w:w="150"/>
              <w:bottom w:type="dxa" w:w="80"/>
              <w:right w:type="dxa" w:w="150"/>
            </w:tcMar>
          </w:tcPr>
          <w:p>
            <w:r>
              <w:rPr>
                <w:rFonts w:ascii="Arial" w:cs="Arial" w:eastAsia="Arial" w:hAnsi="Arial"/>
                <w:b/>
                <w:bCs/>
                <w:caps/>
                <w:color w:val="FFFFFF"/>
                <w:sz w:val="17"/>
                <w:szCs w:val="17"/>
              </w:rPr>
              <w:t xml:space="preserve">Detalle</w:t>
            </w:r>
          </w:p>
        </w:tc>
      </w:tr>
      <w:tr>
        <w:tc>
          <w:tcPr>
            <w:tcW w:type="dxa" w:w="3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i w:val="false"/>
                <w:iCs w:val="false"/>
                <w:color w:val="1A1A2E"/>
                <w:sz w:val="18"/>
                <w:szCs w:val="18"/>
              </w:rPr>
              <w:t xml:space="preserve">API Anthropic</w:t>
            </w:r>
          </w:p>
        </w:tc>
        <w:tc>
          <w:tcPr>
            <w:tcW w:type="dxa" w:w="6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val="false"/>
                <w:bCs w:val="false"/>
                <w:i w:val="false"/>
                <w:iCs w:val="false"/>
                <w:color w:val="1A1A2E"/>
                <w:sz w:val="18"/>
                <w:szCs w:val="18"/>
              </w:rPr>
              <w:t xml:space="preserve">Sin cambios en endpoint ni modelo. El prompt ahora incluye datos de tiempos reales.</w:t>
            </w:r>
          </w:p>
        </w:tc>
      </w:tr>
      <w:tr>
        <w:tc>
          <w:tcPr>
            <w:tcW w:type="dxa" w:w="3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i w:val="false"/>
                <w:iCs w:val="false"/>
                <w:color w:val="1A1A2E"/>
                <w:sz w:val="18"/>
                <w:szCs w:val="18"/>
              </w:rPr>
              <w:t xml:space="preserve">localStorage — clave</w:t>
            </w:r>
          </w:p>
        </w:tc>
        <w:tc>
          <w:tcPr>
            <w:tcW w:type="dxa" w:w="6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val="false"/>
                <w:bCs w:val="false"/>
                <w:i w:val="false"/>
                <w:iCs w:val="false"/>
                <w:color w:val="1A1A2E"/>
                <w:sz w:val="18"/>
                <w:szCs w:val="18"/>
              </w:rPr>
              <w:t xml:space="preserve">'sonepar_simulaciones' — nueva en v2</w:t>
            </w:r>
          </w:p>
        </w:tc>
      </w:tr>
      <w:tr>
        <w:tc>
          <w:tcPr>
            <w:tcW w:type="dxa" w:w="3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i w:val="false"/>
                <w:iCs w:val="false"/>
                <w:color w:val="1A1A2E"/>
                <w:sz w:val="18"/>
                <w:szCs w:val="18"/>
              </w:rPr>
              <w:t xml:space="preserve">useRef</w:t>
            </w:r>
          </w:p>
        </w:tc>
        <w:tc>
          <w:tcPr>
            <w:tcW w:type="dxa" w:w="6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val="false"/>
                <w:bCs w:val="false"/>
                <w:i w:val="false"/>
                <w:iCs w:val="false"/>
                <w:color w:val="1A1A2E"/>
                <w:sz w:val="18"/>
                <w:szCs w:val="18"/>
              </w:rPr>
              <w:t xml:space="preserve">Nuevo uso para inicioEtapaRef (timestamp de inicio de etapa) y para el interval del cronómetro.</w:t>
            </w:r>
          </w:p>
        </w:tc>
      </w:tr>
      <w:tr>
        <w:tc>
          <w:tcPr>
            <w:tcW w:type="dxa" w:w="3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i w:val="false"/>
                <w:iCs w:val="false"/>
                <w:color w:val="1A1A2E"/>
                <w:sz w:val="18"/>
                <w:szCs w:val="18"/>
              </w:rPr>
              <w:t xml:space="preserve">localStorage en Claude</w:t>
            </w:r>
          </w:p>
        </w:tc>
        <w:tc>
          <w:tcPr>
            <w:tcW w:type="dxa" w:w="6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val="false"/>
                <w:bCs w:val="false"/>
                <w:i w:val="false"/>
                <w:iCs w:val="false"/>
                <w:color w:val="1A1A2E"/>
                <w:sz w:val="18"/>
                <w:szCs w:val="18"/>
              </w:rPr>
              <w:t xml:space="preserve">No disponible en el sandbox. try/catch — la herramienta funciona sin historial.</w:t>
            </w:r>
          </w:p>
        </w:tc>
      </w:tr>
      <w:tr>
        <w:tc>
          <w:tcPr>
            <w:tcW w:type="dxa" w:w="3000"/>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bCs/>
                <w:i w:val="false"/>
                <w:iCs w:val="false"/>
                <w:color w:val="1A1A2E"/>
                <w:sz w:val="18"/>
                <w:szCs w:val="18"/>
              </w:rPr>
              <w:t xml:space="preserve">Compatibilidad con v1</w:t>
            </w:r>
          </w:p>
        </w:tc>
        <w:tc>
          <w:tcPr>
            <w:tcW w:type="dxa" w:w="6026"/>
            <w:tcBorders>
              <w:top w:val="single" w:color="E0DBD4" w:sz="6"/>
              <w:left w:val="single" w:color="E0DBD4" w:sz="6"/>
              <w:bottom w:val="single" w:color="E0DBD4" w:sz="6"/>
              <w:right w:val="single" w:color="E0DBD4" w:sz="6"/>
            </w:tcBorders>
            <w:shd w:fill="FFFFFF" w:val="clear"/>
            <w:tcMar>
              <w:top w:type="dxa" w:w="90"/>
              <w:left w:type="dxa" w:w="150"/>
              <w:bottom w:type="dxa" w:w="90"/>
              <w:right w:type="dxa" w:w="150"/>
            </w:tcMar>
          </w:tcPr>
          <w:p>
            <w:r>
              <w:rPr>
                <w:rFonts w:ascii="Arial" w:cs="Arial" w:eastAsia="Arial" w:hAnsi="Arial"/>
                <w:b w:val="false"/>
                <w:bCs w:val="false"/>
                <w:i w:val="false"/>
                <w:iCs w:val="false"/>
                <w:color w:val="1A1A2E"/>
                <w:sz w:val="18"/>
                <w:szCs w:val="18"/>
              </w:rPr>
              <w:t xml:space="preserve">Archivo independiente: sonepar-almacen-simulador-v2.jsx</w:t>
            </w:r>
          </w:p>
        </w:tc>
      </w:tr>
    </w:tbl>
    <w:p>
      <w:pPr>
        <w:pBdr>
          <w:bottom w:val="single" w:color="E0DBD4" w:sz="2" w:space="1"/>
        </w:pBdr>
        <w:spacing w:before="220" w:after="220"/>
      </w:pPr>
      <w:r>
        <w:t xml:space="preserve"/>
      </w:r>
    </w:p>
    <w:p>
      <w:pPr>
        <w:spacing w:before="260" w:after="80"/>
      </w:pPr>
      <w:r>
        <w:rPr>
          <w:rFonts w:ascii="Arial" w:cs="Arial" w:eastAsia="Arial" w:hAnsi="Arial"/>
          <w:b/>
          <w:bCs/>
          <w:color w:val="1A1A2E"/>
          <w:sz w:val="22"/>
          <w:szCs w:val="22"/>
        </w:rPr>
        <w:t xml:space="preserve">Pendiente para v3.0</w:t>
      </w:r>
    </w:p>
    <w:p>
      <w:pPr>
        <w:pStyle w:val="ListParagraph"/>
        <w:numPr>
          <w:ilvl w:val="0"/>
          <w:numId w:val="2"/>
        </w:numPr>
        <w:spacing w:before="50" w:after="50"/>
      </w:pPr>
      <w:r>
        <w:rPr>
          <w:rFonts w:ascii="Arial" w:cs="Arial" w:eastAsia="Arial" w:hAnsi="Arial"/>
          <w:b/>
          <w:bCs/>
          <w:color w:val="1A1A2E"/>
          <w:sz w:val="19"/>
          <w:szCs w:val="19"/>
        </w:rPr>
        <w:t xml:space="preserve">Modo automático: </w:t>
      </w:r>
      <w:r>
        <w:rPr>
          <w:rFonts w:ascii="Arial" w:cs="Arial" w:eastAsia="Arial" w:hAnsi="Arial"/>
          <w:color w:val="555555"/>
          <w:sz w:val="19"/>
          <w:szCs w:val="19"/>
        </w:rPr>
        <w:t xml:space="preserve">Simulación sin intervención del usuario con tiempos configurables por el responsable.</w:t>
      </w:r>
    </w:p>
    <w:p>
      <w:pPr>
        <w:pStyle w:val="ListParagraph"/>
        <w:numPr>
          <w:ilvl w:val="0"/>
          <w:numId w:val="2"/>
        </w:numPr>
        <w:spacing w:before="50" w:after="50"/>
      </w:pPr>
      <w:r>
        <w:rPr>
          <w:rFonts w:ascii="Arial" w:cs="Arial" w:eastAsia="Arial" w:hAnsi="Arial"/>
          <w:b/>
          <w:bCs/>
          <w:color w:val="1A1A2E"/>
          <w:sz w:val="19"/>
          <w:szCs w:val="19"/>
        </w:rPr>
        <w:t xml:space="preserve">Exportación PDF del informe: </w:t>
      </w:r>
      <w:r>
        <w:rPr>
          <w:rFonts w:ascii="Arial" w:cs="Arial" w:eastAsia="Arial" w:hAnsi="Arial"/>
          <w:color w:val="555555"/>
          <w:sz w:val="19"/>
          <w:szCs w:val="19"/>
        </w:rPr>
        <w:t xml:space="preserve">Informe completo de la simulación con tabla de tiempos y análisis IA.</w:t>
      </w:r>
    </w:p>
    <w:p>
      <w:pPr>
        <w:pStyle w:val="ListParagraph"/>
        <w:numPr>
          <w:ilvl w:val="0"/>
          <w:numId w:val="2"/>
        </w:numPr>
        <w:spacing w:before="50" w:after="50"/>
      </w:pPr>
      <w:r>
        <w:rPr>
          <w:rFonts w:ascii="Arial" w:cs="Arial" w:eastAsia="Arial" w:hAnsi="Arial"/>
          <w:b/>
          <w:bCs/>
          <w:color w:val="1A1A2E"/>
          <w:sz w:val="19"/>
          <w:szCs w:val="19"/>
        </w:rPr>
        <w:t xml:space="preserve">Configuración de estándares: </w:t>
      </w:r>
      <w:r>
        <w:rPr>
          <w:rFonts w:ascii="Arial" w:cs="Arial" w:eastAsia="Arial" w:hAnsi="Arial"/>
          <w:color w:val="555555"/>
          <w:sz w:val="19"/>
          <w:szCs w:val="19"/>
        </w:rPr>
        <w:t xml:space="preserve">El responsable puede ajustar los tiempos estándar según las métricas reales de su delegación.</w:t>
      </w:r>
    </w:p>
    <w:p>
      <w:pPr>
        <w:pStyle w:val="ListParagraph"/>
        <w:numPr>
          <w:ilvl w:val="0"/>
          <w:numId w:val="2"/>
        </w:numPr>
        <w:spacing w:before="50" w:after="50"/>
      </w:pPr>
      <w:r>
        <w:rPr>
          <w:rFonts w:ascii="Arial" w:cs="Arial" w:eastAsia="Arial" w:hAnsi="Arial"/>
          <w:b/>
          <w:bCs/>
          <w:color w:val="1A1A2E"/>
          <w:sz w:val="19"/>
          <w:szCs w:val="19"/>
        </w:rPr>
        <w:t xml:space="preserve">Comparativa entre simulaciones: </w:t>
      </w:r>
      <w:r>
        <w:rPr>
          <w:rFonts w:ascii="Arial" w:cs="Arial" w:eastAsia="Arial" w:hAnsi="Arial"/>
          <w:color w:val="555555"/>
          <w:sz w:val="19"/>
          <w:szCs w:val="19"/>
        </w:rPr>
        <w:t xml:space="preserve">Vista lado a lado de dos simulaciones del historial para el mismo tipo de producto.</w:t>
      </w:r>
    </w:p>
    <w:p>
      <w:pPr>
        <w:pBdr>
          <w:bottom w:val="single" w:color="E0DBD4" w:sz="2" w:space="1"/>
        </w:pBdr>
        <w:spacing w:before="220" w:after="220"/>
      </w:pPr>
      <w:r>
        <w:t xml:space="preserve"/>
      </w:r>
    </w:p>
    <w:p>
      <w:pPr>
        <w:spacing w:before="0" w:after="0"/>
      </w:pPr>
      <w:r>
        <w:rPr>
          <w:rFonts w:ascii="Arial" w:cs="Arial" w:eastAsia="Arial" w:hAnsi="Arial"/>
          <w:i/>
          <w:iCs/>
          <w:color w:val="999999"/>
          <w:sz w:val="17"/>
          <w:szCs w:val="17"/>
        </w:rPr>
        <w:t xml:space="preserve">Sonepar Tools · Iago Robo · Prácticas Sonepar A Coruña 2026 · simulador-almacen/</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2026-03-07T14:31:37.642Z</dcterms:created>
  <dcterms:modified xsi:type="dcterms:W3CDTF">2026-03-07T14:31:37.643Z</dcterms:modified>
</cp:coreProperties>
</file>

<file path=docProps/custom.xml><?xml version="1.0" encoding="utf-8"?>
<Properties xmlns="http://schemas.openxmlformats.org/officeDocument/2006/custom-properties" xmlns:vt="http://schemas.openxmlformats.org/officeDocument/2006/docPropsVTypes"/>
</file>