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val="false"/>
          <w:bCs w:val="false"/>
          <w:i w:val="false"/>
          <w:iCs w:val="false"/>
          <w:caps w:val="false"/>
          <w:color w:val="999999"/>
          <w:sz w:val="20"/>
          <w:szCs w:val="20"/>
        </w:rPr>
        <w:t xml:space="preserve">SONEPAR TOOLS — SONEX · CHANGELOG</w:t>
      </w:r>
    </w:p>
    <w:p>
      <w:pPr>
        <w:pBdr>
          <w:bottom w:val="single" w:color="4A7AB5" w:sz="12" w:space="6"/>
        </w:pBdr>
        <w:spacing w:before="0" w:after="10"/>
      </w:pPr>
      <w:r>
        <w:rPr>
          <w:rFonts w:ascii="Arial" w:cs="Arial" w:eastAsia="Arial" w:hAnsi="Arial"/>
          <w:b/>
          <w:bCs/>
          <w:i w:val="false"/>
          <w:iCs w:val="false"/>
          <w:caps w:val="false"/>
          <w:color w:val="1A1A2E"/>
          <w:sz w:val="38"/>
          <w:szCs w:val="38"/>
        </w:rPr>
        <w:t xml:space="preserve">SONEX v3.0 — Especialización Sonepar</w:t>
      </w:r>
    </w:p>
    <w:p>
      <w:pPr>
        <w:spacing w:before="8" w:after="40"/>
      </w:pPr>
      <w:r>
        <w:rPr>
          <w:rFonts w:ascii="Arial" w:cs="Arial" w:eastAsia="Arial" w:hAnsi="Arial"/>
          <w:b w:val="false"/>
          <w:bCs w:val="false"/>
          <w:i w:val="false"/>
          <w:iCs w:val="false"/>
          <w:caps w:val="false"/>
          <w:color w:val="999999"/>
          <w:sz w:val="18"/>
          <w:szCs w:val="18"/>
        </w:rPr>
        <w:t xml:space="preserve">Marzo 2026  ·  Iago Robo  ·  chatbot-tecnico/sonepar-chatbot-tecnico-v3.jsx</w:t>
      </w:r>
    </w:p>
    <w:p>
      <w:pPr>
        <w:spacing w:before="260" w:after="80"/>
      </w:pPr>
      <w:r>
        <w:rPr>
          <w:rFonts w:ascii="Arial" w:cs="Arial" w:eastAsia="Arial" w:hAnsi="Arial"/>
          <w:b/>
          <w:bCs/>
          <w:i w:val="false"/>
          <w:iCs w:val="false"/>
          <w:caps w:val="false"/>
          <w:color w:val="1A1A2E"/>
          <w:sz w:val="24"/>
          <w:szCs w:val="24"/>
        </w:rPr>
        <w:t xml:space="preserve">Resumen</w:t>
      </w:r>
    </w:p>
    <w:p>
      <w:pPr>
        <w:spacing w:before="40" w:after="80"/>
      </w:pPr>
      <w:r>
        <w:rPr>
          <w:rFonts w:ascii="Arial" w:cs="Arial" w:eastAsia="Arial" w:hAnsi="Arial"/>
          <w:b w:val="false"/>
          <w:bCs w:val="false"/>
          <w:i w:val="false"/>
          <w:iCs w:val="false"/>
          <w:caps w:val="false"/>
          <w:color w:val="555555"/>
          <w:sz w:val="19"/>
          <w:szCs w:val="19"/>
        </w:rPr>
        <w:t xml:space="preserve">La v3 convierte SONEX de asistente técnico genérico a asistente técnico de Sonepar España. El cambio más importante es el system prompt: pasa de 16 líneas genéricas a más de 60 líneas con identidad de empresa, mapa de marcas por familia, perfil de cliente y estructura de respuesta obligatoria según el tipo de consulta. Sin tocar la arquitectura de la interfaz ni la lógica de conversación.</w:t>
      </w:r>
    </w:p>
    <w:p>
      <w:pPr>
        <w:spacing w:before="260" w:after="80"/>
      </w:pPr>
      <w:r>
        <w:rPr>
          <w:rFonts w:ascii="Arial" w:cs="Arial" w:eastAsia="Arial" w:hAnsi="Arial"/>
          <w:b/>
          <w:bCs/>
          <w:i w:val="false"/>
          <w:iCs w:val="false"/>
          <w:caps w:val="false"/>
          <w:color w:val="1A1A2E"/>
          <w:sz w:val="24"/>
          <w:szCs w:val="24"/>
        </w:rPr>
        <w:t xml:space="preserve">Cambios implementados — v2.0 → v3.0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426"/>
      </w:tblGrid>
      <w:tr>
        <w:tc>
          <w:tcPr>
            <w:tcW w:type="dxa" w:w="15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Tipo</w:t>
            </w:r>
          </w:p>
        </w:tc>
        <w:tc>
          <w:tcPr>
            <w:tcW w:type="dxa" w:w="2100"/>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Componente</w:t>
            </w:r>
          </w:p>
        </w:tc>
        <w:tc>
          <w:tcPr>
            <w:tcW w:type="dxa" w:w="5426"/>
            <w:tcBorders>
              <w:top w:val="single" w:color="1A1A2E" w:sz="5"/>
              <w:left w:val="single" w:color="1A1A2E" w:sz="5"/>
              <w:bottom w:val="single" w:color="1A1A2E" w:sz="5"/>
              <w:right w:val="single" w:color="1A1A2E" w:sz="5"/>
            </w:tcBorders>
            <w:shd w:fill="1A1A2E" w:val="clear"/>
            <w:tcMar>
              <w:top w:type="dxa" w:w="80"/>
              <w:left w:type="dxa" w:w="150"/>
              <w:bottom w:type="dxa" w:w="80"/>
              <w:right w:type="dxa" w:w="150"/>
            </w:tcMar>
          </w:tcPr>
          <w:p>
            <w:r>
              <w:rPr>
                <w:rFonts w:ascii="Arial" w:cs="Arial" w:eastAsia="Arial" w:hAnsi="Arial"/>
                <w:b/>
                <w:bCs/>
                <w:i w:val="false"/>
                <w:iCs w:val="false"/>
                <w:caps/>
                <w:color w:val="FFFFFF"/>
                <w:sz w:val="17"/>
                <w:szCs w:val="17"/>
              </w:rPr>
              <w:t xml:space="preserve">Descripción y detalle</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System prompt Sonepar</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Reescritura completa del system prompt con identidad de empresa, marcas y perfil de cliente</w:t>
            </w:r>
          </w:p>
          <w:p>
            <w:pPr>
              <w:spacing w:before="40"/>
            </w:pPr>
            <w:r>
              <w:rPr>
                <w:rFonts w:ascii="Arial" w:cs="Arial" w:eastAsia="Arial" w:hAnsi="Arial"/>
                <w:b w:val="false"/>
                <w:bCs w:val="false"/>
                <w:i/>
                <w:iCs/>
                <w:caps w:val="false"/>
                <w:color w:val="555555"/>
                <w:sz w:val="17"/>
                <w:szCs w:val="17"/>
              </w:rPr>
              <w:t xml:space="preserve">El prompt pasa de 16 líneas genéricas a 60+ líneas. Incluye: identidad de SONEX como técnico de mostrador de Sonepar A Coruña, mapa completo de marcas por familia (ABB, Schneider, Legrand, Hager, Eaton, Siemens, Phoenix Contact, OBO, Finder, Fronius, SMA, Wallbox...), perfil de 5 tipos de cliente habitual, instrucción explícita de no recomendar marcas fuera del portfolio, y estructura de respuesta obligatoria por tipo de consulta.</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Estructura por tipo de consulta</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Cada modo tiene ahora un formato de respuesta obligatorio definido en el prompt</w:t>
            </w:r>
          </w:p>
          <w:p>
            <w:pPr>
              <w:spacing w:before="40"/>
            </w:pPr>
            <w:r>
              <w:rPr>
                <w:rFonts w:ascii="Arial" w:cs="Arial" w:eastAsia="Arial" w:hAnsi="Arial"/>
                <w:b w:val="false"/>
                <w:bCs w:val="false"/>
                <w:i/>
                <w:iCs/>
                <w:caps w:val="false"/>
                <w:color w:val="555555"/>
                <w:sz w:val="17"/>
                <w:szCs w:val="17"/>
              </w:rPr>
              <w:t xml:space="preserve">Avería: Causa probable → Verificaciones → Solución → Prevención → Consejo práctico. Selección: Datos a confirmar → Recomendación con marca y referencia orientativa → Argumentación técnica → Alternativa. Normativa: Norma exacta → Requisito concreto → Aplicación al caso → Nota práctica. Residencial: ITC-BT aplicable → Requisito REBT → Producto Sonepar → Lo habitual en obra nueva.</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5º modo — Residencial</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Nuevo modo de contexto para instalaciones domésticas y terciario</w:t>
            </w:r>
          </w:p>
          <w:p>
            <w:pPr>
              <w:spacing w:before="40"/>
            </w:pPr>
            <w:r>
              <w:rPr>
                <w:rFonts w:ascii="Arial" w:cs="Arial" w:eastAsia="Arial" w:hAnsi="Arial"/>
                <w:b w:val="false"/>
                <w:bCs w:val="false"/>
                <w:i/>
                <w:iCs/>
                <w:caps w:val="false"/>
                <w:color w:val="555555"/>
                <w:sz w:val="17"/>
                <w:szCs w:val="17"/>
              </w:rPr>
              <w:t xml:space="preserve">Añadido al array MODOS y al objeto PROMPT_MODO. Vocabulario ITC-BT, REBT, circuitos mínimos de vivienda, grados IP/IK, diferenciales domésticos. Marcas orientadas a residencial: Hager, Legrand, Schneider Homeline, Simon. El sistema de sugerencias también tiene su propio banco de preguntas para este modo.</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Sugerencias dinámicas por modo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Las sugerencias de pantalla de inicio cambian según el modo activo</w:t>
            </w:r>
          </w:p>
          <w:p>
            <w:pPr>
              <w:spacing w:before="40"/>
            </w:pPr>
            <w:r>
              <w:rPr>
                <w:rFonts w:ascii="Arial" w:cs="Arial" w:eastAsia="Arial" w:hAnsi="Arial"/>
                <w:b w:val="false"/>
                <w:bCs w:val="false"/>
                <w:i/>
                <w:iCs/>
                <w:caps w:val="false"/>
                <w:color w:val="555555"/>
                <w:sz w:val="17"/>
                <w:szCs w:val="17"/>
              </w:rPr>
              <w:t xml:space="preserve">Objeto SUGERENCIAS_POR_MODO con 5 preguntas reales por cada modo (general, avería, selección, normativa, residencial). Las preguntas están redactadas como las haría un instalador en el mostrador, no como ejemplos de manual. Se actualiza al cambiar de modo sin recargar la conversación.</w:t>
            </w:r>
          </w:p>
        </w:tc>
      </w:tr>
      <w:tr>
        <w:tc>
          <w:tcPr>
            <w:tcW w:type="dxa" w:w="1500"/>
            <w:tcBorders>
              <w:top w:val="single" w:color="1A6040" w:sz="5"/>
              <w:left w:val="single" w:color="1A6040" w:sz="5"/>
              <w:bottom w:val="single" w:color="1A6040" w:sz="5"/>
              <w:right w:val="single" w:color="1A6040" w:sz="5"/>
            </w:tcBorders>
            <w:shd w:fill="1A6040"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NUEVO</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PROMPT_MODO por objeto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La lógica del modo activo pasa de condicional a objeto de lookup</w:t>
            </w:r>
          </w:p>
          <w:p>
            <w:pPr>
              <w:spacing w:before="40"/>
            </w:pPr>
            <w:r>
              <w:rPr>
                <w:rFonts w:ascii="Arial" w:cs="Arial" w:eastAsia="Arial" w:hAnsi="Arial"/>
                <w:b w:val="false"/>
                <w:bCs w:val="false"/>
                <w:i/>
                <w:iCs/>
                <w:caps w:val="false"/>
                <w:color w:val="555555"/>
                <w:sz w:val="17"/>
                <w:szCs w:val="17"/>
              </w:rPr>
              <w:t xml:space="preserve">En v2 el modo se añadía con un if/else de una línea genérica. En v3 cada modo tiene su bloque de instrucciones específico en el objeto PROMPT_MODO que se concatena al system prompt. Más mantenible y más preciso en el comportamiento del modelo.</w:t>
            </w:r>
          </w:p>
        </w:tc>
      </w:tr>
      <w:tr>
        <w:tc>
          <w:tcPr>
            <w:tcW w:type="dxa" w:w="1500"/>
            <w:tcBorders>
              <w:top w:val="single" w:color="1A2A4A" w:sz="5"/>
              <w:left w:val="single" w:color="1A2A4A" w:sz="5"/>
              <w:bottom w:val="single" w:color="1A2A4A" w:sz="5"/>
              <w:right w:val="single" w:color="1A2A4A" w:sz="5"/>
            </w:tcBorders>
            <w:shd w:fill="1A2A4A"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MEJORA</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Consulta rápida con input controlado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input de consulta rápida pasa a estado React controlado</w:t>
            </w:r>
          </w:p>
          <w:p>
            <w:pPr>
              <w:spacing w:before="40"/>
            </w:pPr>
            <w:r>
              <w:rPr>
                <w:rFonts w:ascii="Arial" w:cs="Arial" w:eastAsia="Arial" w:hAnsi="Arial"/>
                <w:b w:val="false"/>
                <w:bCs w:val="false"/>
                <w:i/>
                <w:iCs/>
                <w:caps w:val="false"/>
                <w:color w:val="555555"/>
                <w:sz w:val="17"/>
                <w:szCs w:val="17"/>
              </w:rPr>
              <w:t xml:space="preserve">En v2 se accedía al DOM con document.getElementById. En v3 el input tiene su propio estado inputRapido con onChange. Más limpio, sin dependencia del DOM. El campo se limpia al cerrar el modo rápido. Se añade botón COPIAR en la respuesta de consulta rápida.</w:t>
            </w:r>
          </w:p>
        </w:tc>
      </w:tr>
      <w:tr>
        <w:tc>
          <w:tcPr>
            <w:tcW w:type="dxa" w:w="1500"/>
            <w:tcBorders>
              <w:top w:val="single" w:color="1A2A4A" w:sz="5"/>
              <w:left w:val="single" w:color="1A2A4A" w:sz="5"/>
              <w:bottom w:val="single" w:color="1A2A4A" w:sz="5"/>
              <w:right w:val="single" w:color="1A2A4A" w:sz="5"/>
            </w:tcBorders>
            <w:shd w:fill="1A2A4A"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MEJORA</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Modo activo visible con sidebar cerrado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header muestra el modo activo cuando el sidebar está cerrado</w:t>
            </w:r>
          </w:p>
          <w:p>
            <w:pPr>
              <w:spacing w:before="40"/>
            </w:pPr>
            <w:r>
              <w:rPr>
                <w:rFonts w:ascii="Arial" w:cs="Arial" w:eastAsia="Arial" w:hAnsi="Arial"/>
                <w:b w:val="false"/>
                <w:bCs w:val="false"/>
                <w:i/>
                <w:iCs/>
                <w:caps w:val="false"/>
                <w:color w:val="555555"/>
                <w:sz w:val="17"/>
                <w:szCs w:val="17"/>
              </w:rPr>
              <w:t xml:space="preserve">Badge con el nombre del modo aparece junto al título SONEX cuando sidebarAbierto es false. Evita que el usuario pierda el contexto de qué modo tiene activo al colapsar el sidebar.</w:t>
            </w:r>
          </w:p>
        </w:tc>
      </w:tr>
      <w:tr>
        <w:tc>
          <w:tcPr>
            <w:tcW w:type="dxa" w:w="1500"/>
            <w:tcBorders>
              <w:top w:val="single" w:color="1A2A4A" w:sz="5"/>
              <w:left w:val="single" w:color="1A2A4A" w:sz="5"/>
              <w:bottom w:val="single" w:color="1A2A4A" w:sz="5"/>
              <w:right w:val="single" w:color="1A2A4A" w:sz="5"/>
            </w:tcBorders>
            <w:shd w:fill="1A2A4A"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MEJORA</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Disclaimer específico Sonepar</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El texto del disclaimer pasa a ser específico del contexto de uso en Sonepar</w:t>
            </w:r>
          </w:p>
          <w:p>
            <w:pPr>
              <w:spacing w:before="40"/>
            </w:pPr>
            <w:r>
              <w:rPr>
                <w:rFonts w:ascii="Arial" w:cs="Arial" w:eastAsia="Arial" w:hAnsi="Arial"/>
                <w:b w:val="false"/>
                <w:bCs w:val="false"/>
                <w:i/>
                <w:iCs/>
                <w:caps w:val="false"/>
                <w:color w:val="555555"/>
                <w:sz w:val="17"/>
                <w:szCs w:val="17"/>
              </w:rPr>
              <w:t xml:space="preserve">Texto anterior genérico sobre verificar especificaciones. Texto v3: referencia explícita a documentación del fabricante y catálogo Sonepar, mención al responsable técnico de la delegación para casos críticos.</w:t>
            </w:r>
          </w:p>
        </w:tc>
      </w:tr>
      <w:tr>
        <w:tc>
          <w:tcPr>
            <w:tcW w:type="dxa" w:w="1500"/>
            <w:tcBorders>
              <w:top w:val="single" w:color="1A2A4A" w:sz="5"/>
              <w:left w:val="single" w:color="1A2A4A" w:sz="5"/>
              <w:bottom w:val="single" w:color="1A2A4A" w:sz="5"/>
              <w:right w:val="single" w:color="1A2A4A" w:sz="5"/>
            </w:tcBorders>
            <w:shd w:fill="1A2A4A" w:val="clear"/>
            <w:tcMar>
              <w:top w:type="dxa" w:w="80"/>
              <w:left w:type="dxa" w:w="100"/>
              <w:bottom w:type="dxa" w:w="80"/>
              <w:right w:type="dxa" w:w="100"/>
            </w:tcMar>
          </w:tcPr>
          <w:p>
            <w:pPr>
              <w:jc w:val="center"/>
            </w:pPr>
            <w:r>
              <w:rPr>
                <w:rFonts w:ascii="Arial" w:cs="Arial" w:eastAsia="Arial" w:hAnsi="Arial"/>
                <w:b/>
                <w:bCs/>
                <w:i w:val="false"/>
                <w:iCs w:val="false"/>
                <w:caps w:val="false"/>
                <w:color w:val="FFFFFF"/>
                <w:sz w:val="16"/>
                <w:szCs w:val="16"/>
              </w:rPr>
              <w:t xml:space="preserve">MEJORA</w:t>
            </w:r>
          </w:p>
        </w:tc>
        <w:tc>
          <w:tcPr>
            <w:tcW w:type="dxa" w:w="2100"/>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8"/>
                <w:szCs w:val="18"/>
              </w:rPr>
              <w:t xml:space="preserve">Badge de versión actualizado</w:t>
            </w:r>
          </w:p>
        </w:tc>
        <w:tc>
          <w:tcPr>
            <w:tcW w:type="dxa" w:w="5426"/>
            <w:tcBorders>
              <w:top w:val="single" w:color="E0DBD4" w:sz="5"/>
              <w:left w:val="single" w:color="E0DBD4" w:sz="5"/>
              <w:bottom w:val="single" w:color="E0DBD4" w:sz="5"/>
              <w:right w:val="single" w:color="E0DBD4" w:sz="5"/>
            </w:tcBorders>
            <w:shd w:fill="FFFFFF" w:val="clear"/>
            <w:tcMar>
              <w:top w:type="dxa" w:w="90"/>
              <w:left w:type="dxa" w:w="150"/>
              <w:bottom w:type="dxa" w:w="90"/>
              <w:right w:type="dxa" w:w="150"/>
            </w:tcMar>
          </w:tcPr>
          <w:p>
            <w:r>
              <w:rPr>
                <w:rFonts w:ascii="Arial" w:cs="Arial" w:eastAsia="Arial" w:hAnsi="Arial"/>
                <w:b/>
                <w:bCs/>
                <w:i w:val="false"/>
                <w:iCs w:val="false"/>
                <w:caps w:val="false"/>
                <w:color w:val="1A1A2E"/>
                <w:sz w:val="19"/>
                <w:szCs w:val="19"/>
              </w:rPr>
              <w:t xml:space="preserve">Header muestra v3 · SONEPAR en lugar de v2</w:t>
            </w:r>
          </w:p>
          <w:p>
            <w:pPr>
              <w:spacing w:before="40"/>
            </w:pPr>
            <w:r>
              <w:rPr>
                <w:rFonts w:ascii="Arial" w:cs="Arial" w:eastAsia="Arial" w:hAnsi="Arial"/>
                <w:b w:val="false"/>
                <w:bCs w:val="false"/>
                <w:i/>
                <w:iCs/>
                <w:caps w:val="false"/>
                <w:color w:val="555555"/>
                <w:sz w:val="17"/>
                <w:szCs w:val="17"/>
              </w:rPr>
              <w:t xml:space="preserve">Cambio menor pero relevante para la demo: identifica claramente la versión en producción.</w:t>
            </w:r>
          </w:p>
        </w:tc>
      </w:tr>
    </w:tbl>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260" w:after="80"/>
      </w:pPr>
      <w:r>
        <w:rPr>
          <w:rFonts w:ascii="Arial" w:cs="Arial" w:eastAsia="Arial" w:hAnsi="Arial"/>
          <w:b/>
          <w:bCs/>
          <w:i w:val="false"/>
          <w:iCs w:val="false"/>
          <w:caps w:val="false"/>
          <w:color w:val="1A1A2E"/>
          <w:sz w:val="24"/>
          <w:szCs w:val="24"/>
        </w:rPr>
        <w:t xml:space="preserve">Qué no cambió</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Arquitectura de interfaz: </w:t>
      </w:r>
      <w:r>
        <w:rPr>
          <w:rFonts w:ascii="Arial" w:cs="Arial" w:eastAsia="Arial" w:hAnsi="Arial"/>
          <w:b w:val="false"/>
          <w:bCs w:val="false"/>
          <w:i w:val="false"/>
          <w:iCs w:val="false"/>
          <w:caps w:val="false"/>
          <w:color w:val="555555"/>
          <w:sz w:val="19"/>
          <w:szCs w:val="19"/>
        </w:rPr>
        <w:t xml:space="preserve">sidebar, historial, badge de confianza, límite de turnos, exportación — sin cambios.</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localStorage: </w:t>
      </w:r>
      <w:r>
        <w:rPr>
          <w:rFonts w:ascii="Arial" w:cs="Arial" w:eastAsia="Arial" w:hAnsi="Arial"/>
          <w:b w:val="false"/>
          <w:bCs w:val="false"/>
          <w:i w:val="false"/>
          <w:iCs w:val="false"/>
          <w:caps w:val="false"/>
          <w:color w:val="555555"/>
          <w:sz w:val="19"/>
          <w:szCs w:val="19"/>
        </w:rPr>
        <w:t xml:space="preserve">clave 'sonepar_sonex_conversaciones' — compatible con datos guardados en v2.</w:t>
      </w:r>
    </w:p>
    <w:p>
      <w:pPr>
        <w:pStyle w:val="ListParagraph"/>
        <w:numPr>
          <w:ilvl w:val="0"/>
          <w:numId w:val="2"/>
        </w:numPr>
        <w:spacing w:before="40" w:after="40"/>
      </w:pPr>
      <w:r>
        <w:rPr>
          <w:rFonts w:ascii="Arial" w:cs="Arial" w:eastAsia="Arial" w:hAnsi="Arial"/>
          <w:b/>
          <w:bCs/>
          <w:i w:val="false"/>
          <w:iCs w:val="false"/>
          <w:caps w:val="false"/>
          <w:color w:val="1A1A2E"/>
          <w:sz w:val="19"/>
          <w:szCs w:val="19"/>
        </w:rPr>
        <w:t xml:space="preserve">Lógica de llamada a la API: </w:t>
      </w:r>
      <w:r>
        <w:rPr>
          <w:rFonts w:ascii="Arial" w:cs="Arial" w:eastAsia="Arial" w:hAnsi="Arial"/>
          <w:b w:val="false"/>
          <w:bCs w:val="false"/>
          <w:i w:val="false"/>
          <w:iCs w:val="false"/>
          <w:caps w:val="false"/>
          <w:color w:val="555555"/>
          <w:sz w:val="19"/>
          <w:szCs w:val="19"/>
        </w:rPr>
        <w:t xml:space="preserve">fetch, manejo de errores y parsing de confianza sin cambios.</w:t>
      </w:r>
    </w:p>
    <w:p>
      <w:pPr>
        <w:pBdr>
          <w:bottom w:val="single" w:color="E0DBD4" w:sz="2" w:space="1"/>
        </w:pBdr>
        <w:spacing w:before="220" w:after="220"/>
      </w:pPr>
      <w:r>
        <w:rPr>
          <w:rFonts w:ascii="Arial" w:cs="Arial" w:eastAsia="Arial" w:hAnsi="Arial"/>
          <w:b w:val="false"/>
          <w:bCs w:val="false"/>
          <w:i w:val="false"/>
          <w:iCs w:val="false"/>
          <w:caps w:val="false"/>
          <w:color w:val="1A1A2E"/>
          <w:sz w:val="19"/>
          <w:szCs w:val="19"/>
        </w:rPr>
        <w:t xml:space="preserve"/>
      </w:r>
    </w:p>
    <w:p>
      <w:pPr>
        <w:spacing w:before="0" w:after="0"/>
      </w:pPr>
      <w:r>
        <w:rPr>
          <w:rFonts w:ascii="Arial" w:cs="Arial" w:eastAsia="Arial" w:hAnsi="Arial"/>
          <w:b w:val="false"/>
          <w:bCs w:val="false"/>
          <w:i/>
          <w:iCs/>
          <w:caps w:val="false"/>
          <w:color w:val="999999"/>
          <w:sz w:val="16"/>
          <w:szCs w:val="16"/>
        </w:rPr>
        <w:t xml:space="preserve">SONEX · CHANGELOG v3.0 · Iago Robo · Sonepar A Coruña 2026</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2026-03-08T00:25:20.629Z</dcterms:created>
  <dcterms:modified xsi:type="dcterms:W3CDTF">2026-03-08T00:25:20.630Z</dcterms:modified>
</cp:coreProperties>
</file>

<file path=docProps/custom.xml><?xml version="1.0" encoding="utf-8"?>
<Properties xmlns="http://schemas.openxmlformats.org/officeDocument/2006/custom-properties" xmlns:vt="http://schemas.openxmlformats.org/officeDocument/2006/docPropsVTypes"/>
</file>