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ind/>
        <w:jc w:val="left"/>
      </w:pPr>
      <w:r>
        <w:rPr>
          <w:rFonts w:ascii="Arial" w:cs="Arial" w:eastAsia="Arial" w:hAnsi="Arial"/>
          <w:b w:val="false"/>
          <w:bCs w:val="false"/>
          <w:i w:val="false"/>
          <w:iCs w:val="false"/>
          <w:caps/>
          <w:color w:val="999999"/>
          <w:sz w:val="20"/>
          <w:szCs w:val="20"/>
        </w:rPr>
        <w:t xml:space="preserve">SONEPAR TOOLS</w:t>
      </w:r>
    </w:p>
    <w:p>
      <w:pPr>
        <w:spacing w:before="0" w:after="20"/>
        <w:ind/>
        <w:jc w:val="left"/>
      </w:pPr>
      <w:r>
        <w:rPr>
          <w:rFonts w:ascii="Arial" w:cs="Arial" w:eastAsia="Arial" w:hAnsi="Arial"/>
          <w:b/>
          <w:bCs/>
          <w:i w:val="false"/>
          <w:iCs w:val="false"/>
          <w:caps w:val="false"/>
          <w:color w:val="0A0A14"/>
          <w:sz w:val="48"/>
          <w:szCs w:val="48"/>
        </w:rPr>
        <w:t xml:space="preserve">HOJA DE RUTA — SONEX</w:t>
      </w:r>
    </w:p>
    <w:p>
      <w:pPr>
        <w:spacing w:before="0" w:after="20"/>
        <w:ind/>
        <w:jc w:val="left"/>
      </w:pPr>
      <w:r>
        <w:rPr>
          <w:rFonts w:ascii="Arial" w:cs="Arial" w:eastAsia="Arial" w:hAnsi="Arial"/>
          <w:b w:val="false"/>
          <w:bCs w:val="false"/>
          <w:i w:val="false"/>
          <w:iCs w:val="false"/>
          <w:caps w:val="false"/>
          <w:color w:val="999999"/>
          <w:sz w:val="22"/>
          <w:szCs w:val="22"/>
        </w:rPr>
        <w:t xml:space="preserve">Asistente Técnico con IA para Distribución Eléctrica · </w:t>
      </w:r>
      <w:r>
        <w:rPr>
          <w:rFonts w:ascii="Arial" w:cs="Arial" w:eastAsia="Arial" w:hAnsi="Arial"/>
          <w:b/>
          <w:bCs/>
          <w:i w:val="false"/>
          <w:iCs w:val="false"/>
          <w:caps w:val="false"/>
          <w:color w:val="4A7AB5"/>
          <w:sz w:val="22"/>
          <w:szCs w:val="22"/>
        </w:rPr>
        <w:t xml:space="preserve">v2.0 → v5.0</w:t>
      </w:r>
    </w:p>
    <w:p>
      <w:pPr>
        <w:pBdr>
          <w:bottom w:val="single" w:color="4A7AB5" w:sz="14" w:space="6"/>
        </w:pBdr>
        <w:spacing w:before="0" w:after="60"/>
      </w:pPr>
      <w:r>
        <w:rPr>
          <w:rFonts w:ascii="Arial" w:cs="Arial" w:eastAsia="Arial" w:hAnsi="Arial"/>
          <w:b w:val="false"/>
          <w:bCs w:val="false"/>
          <w:i w:val="false"/>
          <w:iCs w:val="false"/>
          <w:caps w:val="false"/>
          <w:color w:val="999999"/>
          <w:sz w:val="18"/>
          <w:szCs w:val="18"/>
        </w:rPr>
        <w:t xml:space="preserve">Iago Robo · Prácticas Sonepar A Coruña · Marzo 2026</w:t>
      </w:r>
    </w:p>
    <w:p>
      <w:pPr>
        <w:spacing w:before="280" w:after="80"/>
      </w:pPr>
      <w:r>
        <w:rPr>
          <w:rFonts w:ascii="Arial" w:cs="Arial" w:eastAsia="Arial" w:hAnsi="Arial"/>
          <w:b/>
          <w:bCs/>
          <w:i w:val="false"/>
          <w:iCs w:val="false"/>
          <w:caps w:val="false"/>
          <w:color w:val="0A0A14"/>
          <w:sz w:val="24"/>
          <w:szCs w:val="24"/>
        </w:rPr>
        <w:t xml:space="preserve">Para qué sirve este documento</w:t>
      </w:r>
    </w:p>
    <w:p>
      <w:pPr>
        <w:spacing w:before="40" w:after="80"/>
      </w:pPr>
      <w:r>
        <w:rPr>
          <w:rFonts w:ascii="Arial" w:cs="Arial" w:eastAsia="Arial" w:hAnsi="Arial"/>
          <w:b w:val="false"/>
          <w:bCs w:val="false"/>
          <w:i w:val="false"/>
          <w:iCs w:val="false"/>
          <w:caps w:val="false"/>
          <w:color w:val="555555"/>
          <w:sz w:val="19"/>
          <w:szCs w:val="19"/>
        </w:rPr>
        <w:t xml:space="preserve">Esta hoja de ruta es el documento de referencia para el desarrollo de SONEX durante las prácticas y más allá. Recoge el contexto de mercado, los referentes reales que están funcionando en empresas del sector, el estado actual de SONEX, las mejoras planificadas versión a versión y el guión de demo para la presentación interna en Sonepar A Coruña. No es un documento técnico de código — es un documento de estrategia de producto. Está pensado para que puedas consultarlo antes de cada sesión de desarrollo, antes de cada presentación y como argumento ante cualquier decisión sobre prioridades.</w:t>
      </w:r>
    </w:p>
    <w:p>
      <w:pPr>
        <w:pBdr>
          <w:bottom w:val="single" w:color="E0DBD4" w:sz="2" w:space="1"/>
        </w:pBdr>
        <w:spacing w:before="240" w:after="240"/>
      </w:pPr>
      <w:r>
        <w:rPr>
          <w:rFonts w:ascii="Arial" w:cs="Arial" w:eastAsia="Arial" w:hAnsi="Arial"/>
          <w:b w:val="false"/>
          <w:bCs w:val="false"/>
          <w:i w:val="false"/>
          <w:iCs w:val="false"/>
          <w:caps w:val="false"/>
          <w:color w:val="0A0A14"/>
          <w:sz w:val="19"/>
          <w:szCs w:val="19"/>
        </w:rPr>
        <w:t xml:space="preserve"/>
      </w:r>
    </w:p>
    <w:p>
      <w:pPr>
        <w:pBdr>
          <w:bottom w:val="single" w:color="4A7AB5" w:sz="8" w:space="4"/>
        </w:pBdr>
        <w:spacing w:before="400" w:after="120"/>
      </w:pPr>
      <w:r>
        <w:rPr>
          <w:rFonts w:ascii="Arial" w:cs="Arial" w:eastAsia="Arial" w:hAnsi="Arial"/>
          <w:b/>
          <w:bCs/>
          <w:i w:val="false"/>
          <w:iCs w:val="false"/>
          <w:caps w:val="false"/>
          <w:color w:val="0A0A14"/>
          <w:sz w:val="32"/>
          <w:szCs w:val="32"/>
        </w:rPr>
        <w:t xml:space="preserve">01 — Contexto: por qué SONEX tiene valor real en Sonepar</w:t>
      </w:r>
    </w:p>
    <w:p>
      <w:pPr>
        <w:spacing w:before="280" w:after="80"/>
      </w:pPr>
      <w:r>
        <w:rPr>
          <w:rFonts w:ascii="Arial" w:cs="Arial" w:eastAsia="Arial" w:hAnsi="Arial"/>
          <w:b/>
          <w:bCs/>
          <w:i w:val="false"/>
          <w:iCs w:val="false"/>
          <w:caps w:val="false"/>
          <w:color w:val="0A0A14"/>
          <w:sz w:val="24"/>
          <w:szCs w:val="24"/>
        </w:rPr>
        <w:t xml:space="preserve">El problema que resuelve</w:t>
      </w:r>
    </w:p>
    <w:p>
      <w:pPr>
        <w:spacing w:before="40" w:after="80"/>
      </w:pPr>
      <w:r>
        <w:rPr>
          <w:rFonts w:ascii="Arial" w:cs="Arial" w:eastAsia="Arial" w:hAnsi="Arial"/>
          <w:b w:val="false"/>
          <w:bCs w:val="false"/>
          <w:i w:val="false"/>
          <w:iCs w:val="false"/>
          <w:caps w:val="false"/>
          <w:color w:val="555555"/>
          <w:sz w:val="19"/>
          <w:szCs w:val="19"/>
        </w:rPr>
        <w:t xml:space="preserve">En una delegación de Sonepar el mostrador técnico es el punto de contacto directo con instaladores, contratistas y mantenedores. Cada consulta técnica que no se resuelve en el momento tiene un coste: el técnico pierde tiempo buscando en catálogos, el cliente espera o busca al competidor, y la venta puede perderse. El perfil del técnico de mostrador es cada vez más difícil de encontrar — necesita dominar miles de referencias, normativas y aplicaciones a la vez.</w:t>
      </w:r>
    </w:p>
    <w:p>
      <w:pPr>
        <w:spacing w:before="40" w:after="80"/>
      </w:pPr>
      <w:r>
        <w:rPr>
          <w:rFonts w:ascii="Arial" w:cs="Arial" w:eastAsia="Arial" w:hAnsi="Arial"/>
          <w:b w:val="false"/>
          <w:bCs w:val="false"/>
          <w:i w:val="false"/>
          <w:iCs w:val="false"/>
          <w:caps w:val="false"/>
          <w:color w:val="555555"/>
          <w:sz w:val="19"/>
          <w:szCs w:val="19"/>
        </w:rPr>
        <w:t xml:space="preserve">SONEX no sustituye al técnico. Lo convierte en el técnico más rápido de la delegación. Actúa como la memoria técnica colectiva de todos los técnicos que han pasado por Sonepar, disponible en segundos para cualquiera del equipo.</w:t>
      </w:r>
    </w:p>
    <w:p>
      <w:pPr>
        <w:spacing w:before="280" w:after="80"/>
      </w:pPr>
      <w:r>
        <w:rPr>
          <w:rFonts w:ascii="Arial" w:cs="Arial" w:eastAsia="Arial" w:hAnsi="Arial"/>
          <w:b/>
          <w:bCs/>
          <w:i w:val="false"/>
          <w:iCs w:val="false"/>
          <w:caps w:val="false"/>
          <w:color w:val="0A0A14"/>
          <w:sz w:val="24"/>
          <w:szCs w:val="24"/>
        </w:rPr>
        <w:t xml:space="preserve">El contexto de Sonepar</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135 delegaciones en España: </w:t>
      </w:r>
      <w:r>
        <w:rPr>
          <w:rFonts w:ascii="Arial" w:cs="Arial" w:eastAsia="Arial" w:hAnsi="Arial"/>
          <w:b w:val="false"/>
          <w:bCs w:val="false"/>
          <w:i w:val="false"/>
          <w:iCs w:val="false"/>
          <w:caps w:val="false"/>
          <w:color w:val="555555"/>
          <w:sz w:val="19"/>
          <w:szCs w:val="19"/>
        </w:rPr>
        <w:t xml:space="preserve">con equipos de mostrador de perfil técnico variable.</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Transformación digital activa: </w:t>
      </w:r>
      <w:r>
        <w:rPr>
          <w:rFonts w:ascii="Arial" w:cs="Arial" w:eastAsia="Arial" w:hAnsi="Arial"/>
          <w:b w:val="false"/>
          <w:bCs w:val="false"/>
          <w:i w:val="false"/>
          <w:iCs w:val="false"/>
          <w:caps w:val="false"/>
          <w:color w:val="555555"/>
          <w:sz w:val="19"/>
          <w:szCs w:val="19"/>
        </w:rPr>
        <w:t xml:space="preserve">integración de 7 SGAs y 3 ERPs. La dirección ya está invirtiendo en digitalización.</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Expansión hacia VE y renovables: </w:t>
      </w:r>
      <w:r>
        <w:rPr>
          <w:rFonts w:ascii="Arial" w:cs="Arial" w:eastAsia="Arial" w:hAnsi="Arial"/>
          <w:b w:val="false"/>
          <w:bCs w:val="false"/>
          <w:i w:val="false"/>
          <w:iCs w:val="false"/>
          <w:caps w:val="false"/>
          <w:color w:val="555555"/>
          <w:sz w:val="19"/>
          <w:szCs w:val="19"/>
        </w:rPr>
        <w:t xml:space="preserve">áreas donde el conocimiento técnico es nuevo para la mayoría del equipo. SONEX puede ser el primer punto de consulta para referencias nuevas.</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Competencia directa de fabricantes: </w:t>
      </w:r>
      <w:r>
        <w:rPr>
          <w:rFonts w:ascii="Arial" w:cs="Arial" w:eastAsia="Arial" w:hAnsi="Arial"/>
          <w:b w:val="false"/>
          <w:bCs w:val="false"/>
          <w:i w:val="false"/>
          <w:iCs w:val="false"/>
          <w:caps w:val="false"/>
          <w:color w:val="555555"/>
          <w:sz w:val="19"/>
          <w:szCs w:val="19"/>
        </w:rPr>
        <w:t xml:space="preserve">Schneider Electric y Siemens ya tienen asistentes técnicos con IA para sus propios productos. Un distribuidor como Sonepar necesita una herramienta equivalente pero multimarca.</w:t>
      </w:r>
    </w:p>
    <w:p>
      <w:pPr>
        <w:pBdr>
          <w:bottom w:val="single" w:color="E0DBD4" w:sz="2" w:space="1"/>
        </w:pBdr>
        <w:spacing w:before="240" w:after="240"/>
      </w:pPr>
      <w:r>
        <w:rPr>
          <w:rFonts w:ascii="Arial" w:cs="Arial" w:eastAsia="Arial" w:hAnsi="Arial"/>
          <w:b w:val="false"/>
          <w:bCs w:val="false"/>
          <w:i w:val="false"/>
          <w:iCs w:val="false"/>
          <w:caps w:val="false"/>
          <w:color w:val="0A0A14"/>
          <w:sz w:val="19"/>
          <w:szCs w:val="19"/>
        </w:rPr>
        <w:t xml:space="preserve"/>
      </w:r>
    </w:p>
    <w:p>
      <w:pPr>
        <w:pBdr>
          <w:bottom w:val="single" w:color="4A7AB5" w:sz="8" w:space="4"/>
        </w:pBdr>
        <w:spacing w:before="400" w:after="120"/>
      </w:pPr>
      <w:r>
        <w:rPr>
          <w:rFonts w:ascii="Arial" w:cs="Arial" w:eastAsia="Arial" w:hAnsi="Arial"/>
          <w:b/>
          <w:bCs/>
          <w:i w:val="false"/>
          <w:iCs w:val="false"/>
          <w:caps w:val="false"/>
          <w:color w:val="0A0A14"/>
          <w:sz w:val="32"/>
          <w:szCs w:val="32"/>
        </w:rPr>
        <w:t xml:space="preserve">02 — Referentes reales: quién lo está haciendo y con qué resultados</w:t>
      </w:r>
    </w:p>
    <w:p>
      <w:pPr>
        <w:spacing w:before="280" w:after="80"/>
      </w:pPr>
      <w:r>
        <w:rPr>
          <w:rFonts w:ascii="Arial" w:cs="Arial" w:eastAsia="Arial" w:hAnsi="Arial"/>
          <w:b/>
          <w:bCs/>
          <w:i w:val="false"/>
          <w:iCs w:val="false"/>
          <w:caps w:val="false"/>
          <w:color w:val="0A0A14"/>
          <w:sz w:val="24"/>
          <w:szCs w:val="24"/>
        </w:rPr>
        <w:t xml:space="preserve">Empresas del sector con herramientas equivalentes funcionando</w:t>
      </w:r>
    </w:p>
    <w:p>
      <w:pPr>
        <w:spacing w:before="40" w:after="80"/>
      </w:pPr>
      <w:r>
        <w:rPr>
          <w:rFonts w:ascii="Arial" w:cs="Arial" w:eastAsia="Arial" w:hAnsi="Arial"/>
          <w:b w:val="false"/>
          <w:bCs w:val="false"/>
          <w:i w:val="false"/>
          <w:iCs w:val="false"/>
          <w:caps w:val="false"/>
          <w:color w:val="555555"/>
          <w:sz w:val="19"/>
          <w:szCs w:val="19"/>
        </w:rPr>
        <w:t xml:space="preserve">Estos son los referentes directos investigados. No son startups ni proyectos piloto — son herramientas activas en producción en empresas del mismo sector o comparable.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626"/>
        <w:gridCol w:w="1400"/>
      </w:tblGrid>
      <w:tr>
        <w:tc>
          <w:tcPr>
            <w:tcW w:type="dxa" w:w="20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Empresa</w:t>
            </w:r>
          </w:p>
        </w:tc>
        <w:tc>
          <w:tcPr>
            <w:tcW w:type="dxa" w:w="20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Herramienta</w:t>
            </w:r>
          </w:p>
        </w:tc>
        <w:tc>
          <w:tcPr>
            <w:tcW w:type="dxa" w:w="3626"/>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Qué hace y resultados</w:t>
            </w:r>
          </w:p>
        </w:tc>
        <w:tc>
          <w:tcPr>
            <w:tcW w:type="dxa" w:w="14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Estado</w:t>
            </w:r>
          </w:p>
        </w:tc>
      </w:tr>
      <w:tr>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1A2A4A"/>
                <w:sz w:val="18"/>
                <w:szCs w:val="18"/>
              </w:rPr>
              <w:t xml:space="preserve">SCHNEIDER ELECTRIC</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Virtual Agent industrial</w:t>
            </w:r>
          </w:p>
        </w:tc>
        <w:tc>
          <w:tcPr>
            <w:tcW w:type="dxa" w:w="36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Agente unificado para electricistas, instaladores y facility managers. Accede a documentación técnica, notas de ingeniería y casos históricos. Reduce la varianza de respuesta entre agentes.</w:t>
            </w:r>
          </w:p>
        </w:tc>
        <w:tc>
          <w:tcPr>
            <w:tcW w:type="dxa" w:w="14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6"/>
                <w:szCs w:val="16"/>
              </w:rPr>
              <w:t xml:space="preserve">Activo — global</w:t>
            </w:r>
          </w:p>
        </w:tc>
      </w:tr>
      <w:tr>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1A2A4A"/>
                <w:sz w:val="18"/>
                <w:szCs w:val="18"/>
              </w:rPr>
              <w:t xml:space="preserve">SIEMENS</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Industrial Co-Pilot</w:t>
            </w:r>
          </w:p>
        </w:tc>
        <w:tc>
          <w:tcPr>
            <w:tcW w:type="dxa" w:w="36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Asistente de conocimiento interno para técnicos de servicio. Carga manuales y documentación de componentes en un LLM. Responde en lenguaje natural sobre cualquier máquina o subsistema.</w:t>
            </w:r>
          </w:p>
        </w:tc>
        <w:tc>
          <w:tcPr>
            <w:tcW w:type="dxa" w:w="14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6"/>
                <w:szCs w:val="16"/>
              </w:rPr>
              <w:t xml:space="preserve">Activo — mercado industrial</w:t>
            </w:r>
          </w:p>
        </w:tc>
      </w:tr>
      <w:tr>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1A2A4A"/>
                <w:sz w:val="18"/>
                <w:szCs w:val="18"/>
              </w:rPr>
              <w:t xml:space="preserve">KLARNA (referente B2B)</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AI Support Agent</w:t>
            </w:r>
          </w:p>
        </w:tc>
        <w:tc>
          <w:tcPr>
            <w:tcW w:type="dxa" w:w="36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Equivale a 700 agentes a tiempo completo. Resuelve consultas en &lt;2 min vs 11 min anterior. $40M de mejora de margen en 2024. 25% menos de consultas repetidas.</w:t>
            </w:r>
          </w:p>
        </w:tc>
        <w:tc>
          <w:tcPr>
            <w:tcW w:type="dxa" w:w="14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6"/>
                <w:szCs w:val="16"/>
              </w:rPr>
              <w:t xml:space="preserve">Activo — fintech B2C/B2B</w:t>
            </w:r>
          </w:p>
        </w:tc>
      </w:tr>
      <w:tr>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1A2A4A"/>
                <w:sz w:val="18"/>
                <w:szCs w:val="18"/>
              </w:rPr>
              <w:t xml:space="preserve">WÜRTH (distribución industrial)</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Internal knowledge bot</w:t>
            </w:r>
          </w:p>
        </w:tc>
        <w:tc>
          <w:tcPr>
            <w:tcW w:type="dxa" w:w="36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Asistente interno para comerciales y técnicos de mostrador. Acceso a catálogo de 100.000+ referencias con recomendaciones técnicas y alternativas.</w:t>
            </w:r>
          </w:p>
        </w:tc>
        <w:tc>
          <w:tcPr>
            <w:tcW w:type="dxa" w:w="14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6"/>
                <w:szCs w:val="16"/>
              </w:rPr>
              <w:t xml:space="preserve">Piloto — Europa</w:t>
            </w:r>
          </w:p>
        </w:tc>
      </w:tr>
    </w:tbl>
    <w:p>
      <w:pPr>
        <w:spacing w:before="280" w:after="80"/>
      </w:pPr>
      <w:r>
        <w:rPr>
          <w:rFonts w:ascii="Arial" w:cs="Arial" w:eastAsia="Arial" w:hAnsi="Arial"/>
          <w:b/>
          <w:bCs/>
          <w:i w:val="false"/>
          <w:iCs w:val="false"/>
          <w:caps w:val="false"/>
          <w:color w:val="0A0A14"/>
          <w:sz w:val="24"/>
          <w:szCs w:val="24"/>
        </w:rPr>
        <w:t xml:space="preserve">Datos clave del mercado</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14% de aumento de productividad: </w:t>
      </w:r>
      <w:r>
        <w:rPr>
          <w:rFonts w:ascii="Arial" w:cs="Arial" w:eastAsia="Arial" w:hAnsi="Arial"/>
          <w:b w:val="false"/>
          <w:bCs w:val="false"/>
          <w:i w:val="false"/>
          <w:iCs w:val="false"/>
          <w:caps w:val="false"/>
          <w:color w:val="555555"/>
          <w:sz w:val="19"/>
          <w:szCs w:val="19"/>
        </w:rPr>
        <w:t xml:space="preserve">en agentes de soporte técnico con acceso a IA (estudio en empresa Fortune 500 con 5.000+ agentes — fuente: Schneider Electric Blog, Feb 2026).</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34% de mejora en agentes nuevos: </w:t>
      </w:r>
      <w:r>
        <w:rPr>
          <w:rFonts w:ascii="Arial" w:cs="Arial" w:eastAsia="Arial" w:hAnsi="Arial"/>
          <w:b w:val="false"/>
          <w:bCs w:val="false"/>
          <w:i w:val="false"/>
          <w:iCs w:val="false"/>
          <w:caps w:val="false"/>
          <w:color w:val="555555"/>
          <w:sz w:val="19"/>
          <w:szCs w:val="19"/>
        </w:rPr>
        <w:t xml:space="preserve">el mayor impacto del asistente de IA es en técnicos con menos experiencia — exactamente el perfil de rotación en delegaciones.</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33% de reducción en tiempo de gestión: </w:t>
      </w:r>
      <w:r>
        <w:rPr>
          <w:rFonts w:ascii="Arial" w:cs="Arial" w:eastAsia="Arial" w:hAnsi="Arial"/>
          <w:b w:val="false"/>
          <w:bCs w:val="false"/>
          <w:i w:val="false"/>
          <w:iCs w:val="false"/>
          <w:caps w:val="false"/>
          <w:color w:val="555555"/>
          <w:sz w:val="19"/>
          <w:szCs w:val="19"/>
        </w:rPr>
        <w:t xml:space="preserve">por llamada/consulta con asistentes de IA (Google, según Schneider Electric).</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75% de consultas resueltas sin humano: </w:t>
      </w:r>
      <w:r>
        <w:rPr>
          <w:rFonts w:ascii="Arial" w:cs="Arial" w:eastAsia="Arial" w:hAnsi="Arial"/>
          <w:b w:val="false"/>
          <w:bCs w:val="false"/>
          <w:i w:val="false"/>
          <w:iCs w:val="false"/>
          <w:caps w:val="false"/>
          <w:color w:val="555555"/>
          <w:sz w:val="19"/>
          <w:szCs w:val="19"/>
        </w:rPr>
        <w:t xml:space="preserve">en chatbots técnicos bien configurados (Botpress, 2025).</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58% de empresas B2B ya usan chatbots: </w:t>
      </w:r>
      <w:r>
        <w:rPr>
          <w:rFonts w:ascii="Arial" w:cs="Arial" w:eastAsia="Arial" w:hAnsi="Arial"/>
          <w:b w:val="false"/>
          <w:bCs w:val="false"/>
          <w:i w:val="false"/>
          <w:iCs w:val="false"/>
          <w:caps w:val="false"/>
          <w:color w:val="555555"/>
          <w:sz w:val="19"/>
          <w:szCs w:val="19"/>
        </w:rPr>
        <w:t xml:space="preserve">frente al 42% en B2C — el sector industrial es el más avanzado en adopción.</w:t>
      </w:r>
    </w:p>
    <w:p>
      <w:pPr>
        <w:spacing w:before="280" w:after="80"/>
      </w:pPr>
      <w:r>
        <w:rPr>
          <w:rFonts w:ascii="Arial" w:cs="Arial" w:eastAsia="Arial" w:hAnsi="Arial"/>
          <w:b/>
          <w:bCs/>
          <w:i w:val="false"/>
          <w:iCs w:val="false"/>
          <w:caps w:val="false"/>
          <w:color w:val="0A0A14"/>
          <w:sz w:val="24"/>
          <w:szCs w:val="24"/>
        </w:rPr>
        <w:t xml:space="preserve">La lección de Schneider Electric</w:t>
      </w:r>
    </w:p>
    <w:p>
      <w:pPr>
        <w:spacing w:before="40" w:after="80"/>
      </w:pPr>
      <w:r>
        <w:rPr>
          <w:rFonts w:ascii="Arial" w:cs="Arial" w:eastAsia="Arial" w:hAnsi="Arial"/>
          <w:b w:val="false"/>
          <w:bCs w:val="false"/>
          <w:i w:val="false"/>
          <w:iCs w:val="false"/>
          <w:caps w:val="false"/>
          <w:color w:val="555555"/>
          <w:sz w:val="19"/>
          <w:szCs w:val="19"/>
        </w:rPr>
        <w:t xml:space="preserve">Schneider Electric publicó en febrero de 2026 — hace dos semanas — un análisis de su Virtual Agent. La conclusión más relevante para Sonepar: el mayor impacto no es en los técnicos senior, sino en reducir la varianza. 'Dos clientes con la misma pregunta reciben respuestas distintas según el técnico que cojan.' El asistente elimina ese problema. En una red de 135 delegaciones con niveles de conocimiento distintos, este argumento es directo y medible.</w:t>
      </w:r>
    </w:p>
    <w:p>
      <w:pPr>
        <w:spacing w:before="280" w:after="80"/>
      </w:pPr>
      <w:r>
        <w:rPr>
          <w:rFonts w:ascii="Arial" w:cs="Arial" w:eastAsia="Arial" w:hAnsi="Arial"/>
          <w:b/>
          <w:bCs/>
          <w:i w:val="false"/>
          <w:iCs w:val="false"/>
          <w:caps w:val="false"/>
          <w:color w:val="0A0A14"/>
          <w:sz w:val="24"/>
          <w:szCs w:val="24"/>
        </w:rPr>
        <w:t xml:space="preserve">La lección de Siemens Industrial Co-Pilot</w:t>
      </w:r>
    </w:p>
    <w:p>
      <w:pPr>
        <w:spacing w:before="40" w:after="80"/>
      </w:pPr>
      <w:r>
        <w:rPr>
          <w:rFonts w:ascii="Arial" w:cs="Arial" w:eastAsia="Arial" w:hAnsi="Arial"/>
          <w:b w:val="false"/>
          <w:bCs w:val="false"/>
          <w:i w:val="false"/>
          <w:iCs w:val="false"/>
          <w:caps w:val="false"/>
          <w:color w:val="555555"/>
          <w:sz w:val="19"/>
          <w:szCs w:val="19"/>
        </w:rPr>
        <w:t xml:space="preserve">Siemens cargó todos sus manuales de máquina y documentación de componentes en un LLM. El técnico de servicio pregunta en lenguaje natural sobre cualquier equipo y recibe la respuesta con referencia a la documentación. El próximo paso lógico para SONEX es exactamente ese: cargar el catálogo de Sonepar como base de conocimiento contextual.</w:t>
      </w:r>
    </w:p>
    <w:p>
      <w:pPr>
        <w:pBdr>
          <w:bottom w:val="single" w:color="E0DBD4" w:sz="2" w:space="1"/>
        </w:pBdr>
        <w:spacing w:before="240" w:after="240"/>
      </w:pPr>
      <w:r>
        <w:rPr>
          <w:rFonts w:ascii="Arial" w:cs="Arial" w:eastAsia="Arial" w:hAnsi="Arial"/>
          <w:b w:val="false"/>
          <w:bCs w:val="false"/>
          <w:i w:val="false"/>
          <w:iCs w:val="false"/>
          <w:caps w:val="false"/>
          <w:color w:val="0A0A14"/>
          <w:sz w:val="19"/>
          <w:szCs w:val="19"/>
        </w:rPr>
        <w:t xml:space="preserve"/>
      </w:r>
    </w:p>
    <w:p>
      <w:r>
        <w:br w:type="page"/>
      </w:r>
    </w:p>
    <w:p>
      <w:pPr>
        <w:pBdr>
          <w:bottom w:val="single" w:color="4A7AB5" w:sz="8" w:space="4"/>
        </w:pBdr>
        <w:spacing w:before="400" w:after="120"/>
      </w:pPr>
      <w:r>
        <w:rPr>
          <w:rFonts w:ascii="Arial" w:cs="Arial" w:eastAsia="Arial" w:hAnsi="Arial"/>
          <w:b/>
          <w:bCs/>
          <w:i w:val="false"/>
          <w:iCs w:val="false"/>
          <w:caps w:val="false"/>
          <w:color w:val="0A0A14"/>
          <w:sz w:val="32"/>
          <w:szCs w:val="32"/>
        </w:rPr>
        <w:t xml:space="preserve">03 — Estado actual: SONEX v2.0</w:t>
      </w:r>
    </w:p>
    <w:p>
      <w:pPr>
        <w:spacing w:before="280" w:after="80"/>
      </w:pPr>
      <w:r>
        <w:rPr>
          <w:rFonts w:ascii="Arial" w:cs="Arial" w:eastAsia="Arial" w:hAnsi="Arial"/>
          <w:b/>
          <w:bCs/>
          <w:i w:val="false"/>
          <w:iCs w:val="false"/>
          <w:caps w:val="false"/>
          <w:color w:val="0A0A14"/>
          <w:sz w:val="24"/>
          <w:szCs w:val="24"/>
        </w:rPr>
        <w:t xml:space="preserve">Qué tiene SONEX hoy</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Conversación persistente: </w:t>
      </w:r>
      <w:r>
        <w:rPr>
          <w:rFonts w:ascii="Arial" w:cs="Arial" w:eastAsia="Arial" w:hAnsi="Arial"/>
          <w:b w:val="false"/>
          <w:bCs w:val="false"/>
          <w:i w:val="false"/>
          <w:iCs w:val="false"/>
          <w:caps w:val="false"/>
          <w:color w:val="555555"/>
          <w:sz w:val="19"/>
          <w:szCs w:val="19"/>
        </w:rPr>
        <w:t xml:space="preserve">historial de 10 conversaciones guardado en localStorage con naming automático por el primer mensaje.</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Indicador de confianza: </w:t>
      </w:r>
      <w:r>
        <w:rPr>
          <w:rFonts w:ascii="Arial" w:cs="Arial" w:eastAsia="Arial" w:hAnsi="Arial"/>
          <w:b w:val="false"/>
          <w:bCs w:val="false"/>
          <w:i w:val="false"/>
          <w:iCs w:val="false"/>
          <w:caps w:val="false"/>
          <w:color w:val="555555"/>
          <w:sz w:val="19"/>
          <w:szCs w:val="19"/>
        </w:rPr>
        <w:t xml:space="preserve">el sistema prompt le pide al modelo que incluya [CONFIANZA:1/2/3] en cada respuesta. Se parsea y muestra como badge verde/amarillo/rojo.</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4 modos de contexto: </w:t>
      </w:r>
      <w:r>
        <w:rPr>
          <w:rFonts w:ascii="Arial" w:cs="Arial" w:eastAsia="Arial" w:hAnsi="Arial"/>
          <w:b w:val="false"/>
          <w:bCs w:val="false"/>
          <w:i w:val="false"/>
          <w:iCs w:val="false"/>
          <w:caps w:val="false"/>
          <w:color w:val="555555"/>
          <w:sz w:val="19"/>
          <w:szCs w:val="19"/>
        </w:rPr>
        <w:t xml:space="preserve">General, Avería, Selección de producto, Normativa. Cada modo modifica el system prompt para orientar el tipo de respuesta.</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Modo consulta rápida: </w:t>
      </w:r>
      <w:r>
        <w:rPr>
          <w:rFonts w:ascii="Arial" w:cs="Arial" w:eastAsia="Arial" w:hAnsi="Arial"/>
          <w:b w:val="false"/>
          <w:bCs w:val="false"/>
          <w:i w:val="false"/>
          <w:iCs w:val="false"/>
          <w:caps w:val="false"/>
          <w:color w:val="555555"/>
          <w:sz w:val="19"/>
          <w:szCs w:val="19"/>
        </w:rPr>
        <w:t xml:space="preserve">panel separado con max_tokens 400 y respuesta en 3 frases. No guarda en historial. Para preguntas puntuales de mostrador.</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Límite de 20 turnos: </w:t>
      </w:r>
      <w:r>
        <w:rPr>
          <w:rFonts w:ascii="Arial" w:cs="Arial" w:eastAsia="Arial" w:hAnsi="Arial"/>
          <w:b w:val="false"/>
          <w:bCs w:val="false"/>
          <w:i w:val="false"/>
          <w:iCs w:val="false"/>
          <w:caps w:val="false"/>
          <w:color w:val="555555"/>
          <w:sz w:val="19"/>
          <w:szCs w:val="19"/>
        </w:rPr>
        <w:t xml:space="preserve">con aviso y botón de nueva conversación. Evita contextos demasiado largos que degradan la calidad.</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Sidebar colapsable: </w:t>
      </w:r>
      <w:r>
        <w:rPr>
          <w:rFonts w:ascii="Arial" w:cs="Arial" w:eastAsia="Arial" w:hAnsi="Arial"/>
          <w:b w:val="false"/>
          <w:bCs w:val="false"/>
          <w:i w:val="false"/>
          <w:iCs w:val="false"/>
          <w:caps w:val="false"/>
          <w:color w:val="555555"/>
          <w:sz w:val="19"/>
          <w:szCs w:val="19"/>
        </w:rPr>
        <w:t xml:space="preserve">con disclaimer permanente, sugerencias clicables y contexto de conversación.</w:t>
      </w:r>
    </w:p>
    <w:p>
      <w:pPr>
        <w:spacing w:before="280" w:after="80"/>
      </w:pPr>
      <w:r>
        <w:rPr>
          <w:rFonts w:ascii="Arial" w:cs="Arial" w:eastAsia="Arial" w:hAnsi="Arial"/>
          <w:b/>
          <w:bCs/>
          <w:i w:val="false"/>
          <w:iCs w:val="false"/>
          <w:caps w:val="false"/>
          <w:color w:val="0A0A14"/>
          <w:sz w:val="24"/>
          <w:szCs w:val="24"/>
        </w:rPr>
        <w:t xml:space="preserve">Limitaciones actuales que definen las próximas versiones</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System prompt genérico: </w:t>
      </w:r>
      <w:r>
        <w:rPr>
          <w:rFonts w:ascii="Arial" w:cs="Arial" w:eastAsia="Arial" w:hAnsi="Arial"/>
          <w:b w:val="false"/>
          <w:bCs w:val="false"/>
          <w:i w:val="false"/>
          <w:iCs w:val="false"/>
          <w:caps w:val="false"/>
          <w:color w:val="555555"/>
          <w:sz w:val="19"/>
          <w:szCs w:val="19"/>
        </w:rPr>
        <w:t xml:space="preserve">SONEX no sabe que trabaja en Sonepar, no conoce las marcas que distribuyen, no tiene contexto del tipo de cliente habitual.</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Sin base de conocimiento real: </w:t>
      </w:r>
      <w:r>
        <w:rPr>
          <w:rFonts w:ascii="Arial" w:cs="Arial" w:eastAsia="Arial" w:hAnsi="Arial"/>
          <w:b w:val="false"/>
          <w:bCs w:val="false"/>
          <w:i w:val="false"/>
          <w:iCs w:val="false"/>
          <w:caps w:val="false"/>
          <w:color w:val="555555"/>
          <w:sz w:val="19"/>
          <w:szCs w:val="19"/>
        </w:rPr>
        <w:t xml:space="preserve">responde con conocimiento general del modelo, no con catálogo real de Sonepar ni fichas técnicas verificadas.</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Sin integración con otras herramientas: </w:t>
      </w:r>
      <w:r>
        <w:rPr>
          <w:rFonts w:ascii="Arial" w:cs="Arial" w:eastAsia="Arial" w:hAnsi="Arial"/>
          <w:b w:val="false"/>
          <w:bCs w:val="false"/>
          <w:i w:val="false"/>
          <w:iCs w:val="false"/>
          <w:caps w:val="false"/>
          <w:color w:val="555555"/>
          <w:sz w:val="19"/>
          <w:szCs w:val="19"/>
        </w:rPr>
        <w:t xml:space="preserve">no conecta con el Generador de Presupuestos, las Fichas Técnicas ni el Dashboard de Incidencias.</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Sin métricas de uso: </w:t>
      </w:r>
      <w:r>
        <w:rPr>
          <w:rFonts w:ascii="Arial" w:cs="Arial" w:eastAsia="Arial" w:hAnsi="Arial"/>
          <w:b w:val="false"/>
          <w:bCs w:val="false"/>
          <w:i w:val="false"/>
          <w:iCs w:val="false"/>
          <w:caps w:val="false"/>
          <w:color w:val="555555"/>
          <w:sz w:val="19"/>
          <w:szCs w:val="19"/>
        </w:rPr>
        <w:t xml:space="preserve">no hay forma de saber qué consultas son más frecuentes, qué tiene baja confianza o qué no sabe responder.</w:t>
      </w:r>
    </w:p>
    <w:p>
      <w:pPr>
        <w:pBdr>
          <w:bottom w:val="single" w:color="E0DBD4" w:sz="2" w:space="1"/>
        </w:pBdr>
        <w:spacing w:before="240" w:after="240"/>
      </w:pPr>
      <w:r>
        <w:rPr>
          <w:rFonts w:ascii="Arial" w:cs="Arial" w:eastAsia="Arial" w:hAnsi="Arial"/>
          <w:b w:val="false"/>
          <w:bCs w:val="false"/>
          <w:i w:val="false"/>
          <w:iCs w:val="false"/>
          <w:caps w:val="false"/>
          <w:color w:val="0A0A14"/>
          <w:sz w:val="19"/>
          <w:szCs w:val="19"/>
        </w:rPr>
        <w:t xml:space="preserve"/>
      </w:r>
    </w:p>
    <w:p>
      <w:pPr>
        <w:pBdr>
          <w:bottom w:val="single" w:color="4A7AB5" w:sz="8" w:space="4"/>
        </w:pBdr>
        <w:spacing w:before="400" w:after="120"/>
      </w:pPr>
      <w:r>
        <w:rPr>
          <w:rFonts w:ascii="Arial" w:cs="Arial" w:eastAsia="Arial" w:hAnsi="Arial"/>
          <w:b/>
          <w:bCs/>
          <w:i w:val="false"/>
          <w:iCs w:val="false"/>
          <w:caps w:val="false"/>
          <w:color w:val="0A0A14"/>
          <w:sz w:val="32"/>
          <w:szCs w:val="32"/>
        </w:rPr>
        <w:t xml:space="preserve">04 — Hoja de ruta: de v2.0 a v5.0</w:t>
      </w:r>
    </w:p>
    <w:p>
      <w:pPr>
        <w:spacing w:before="280" w:after="80"/>
      </w:pPr>
      <w:r>
        <w:rPr>
          <w:rFonts w:ascii="Arial" w:cs="Arial" w:eastAsia="Arial" w:hAnsi="Arial"/>
          <w:b/>
          <w:bCs/>
          <w:i w:val="false"/>
          <w:iCs w:val="false"/>
          <w:caps w:val="false"/>
          <w:color w:val="0A0A14"/>
          <w:sz w:val="24"/>
          <w:szCs w:val="24"/>
        </w:rPr>
        <w:t xml:space="preserve">Visión general por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c>
          <w:tcPr>
            <w:tcW w:type="dxa" w:w="14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Versión</w:t>
            </w:r>
          </w:p>
        </w:tc>
        <w:tc>
          <w:tcPr>
            <w:tcW w:type="dxa" w:w="16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Fecha</w:t>
            </w:r>
          </w:p>
        </w:tc>
        <w:tc>
          <w:tcPr>
            <w:tcW w:type="dxa" w:w="22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Estado</w:t>
            </w:r>
          </w:p>
        </w:tc>
        <w:tc>
          <w:tcPr>
            <w:tcW w:type="dxa" w:w="3826"/>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Alcance</w:t>
            </w:r>
          </w:p>
        </w:tc>
      </w:tr>
      <w:tr>
        <w:tc>
          <w:tcPr>
            <w:tcW w:type="dxa" w:w="14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4CAF82"/>
                <w:sz w:val="18"/>
                <w:szCs w:val="18"/>
              </w:rPr>
              <w:t xml:space="preserve">v2.0</w:t>
            </w:r>
          </w:p>
        </w:tc>
        <w:tc>
          <w:tcPr>
            <w:tcW w:type="dxa" w:w="16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0A0A14"/>
                <w:sz w:val="18"/>
                <w:szCs w:val="18"/>
              </w:rPr>
              <w:t xml:space="preserve">Mar 2026</w:t>
            </w:r>
          </w:p>
        </w:tc>
        <w:tc>
          <w:tcPr>
            <w:tcW w:type="dxa" w:w="2200"/>
            <w:tcBorders>
              <w:top w:val="single" w:color="4CAF82" w:sz="5"/>
              <w:left w:val="single" w:color="4CAF82" w:sz="5"/>
              <w:bottom w:val="single" w:color="4CAF82" w:sz="5"/>
              <w:right w:val="single" w:color="4CAF82" w:sz="5"/>
            </w:tcBorders>
            <w:shd w:fill="4CAF82"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ACTUAL</w:t>
            </w:r>
          </w:p>
        </w:tc>
        <w:tc>
          <w:tcPr>
            <w:tcW w:type="dxa" w:w="38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0A0A14"/>
                <w:sz w:val="17"/>
                <w:szCs w:val="17"/>
              </w:rPr>
              <w:t xml:space="preserve">Chatbot técnico con historial, indicador de confianza, 4 modos de contexto, consulta rápida. Base funcional.</w:t>
            </w:r>
          </w:p>
        </w:tc>
      </w:tr>
      <w:tr>
        <w:tc>
          <w:tcPr>
            <w:tcW w:type="dxa" w:w="14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999999"/>
                <w:sz w:val="18"/>
                <w:szCs w:val="18"/>
              </w:rPr>
              <w:t xml:space="preserve">v3.0</w:t>
            </w:r>
          </w:p>
        </w:tc>
        <w:tc>
          <w:tcPr>
            <w:tcW w:type="dxa" w:w="16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999999"/>
                <w:sz w:val="18"/>
                <w:szCs w:val="18"/>
              </w:rPr>
              <w:t xml:space="preserve">Abr 2026</w:t>
            </w:r>
          </w:p>
        </w:tc>
        <w:tc>
          <w:tcPr>
            <w:tcW w:type="dxa" w:w="2200"/>
            <w:tcBorders>
              <w:top w:val="single" w:color="4A7AB5" w:sz="5"/>
              <w:left w:val="single" w:color="4A7AB5" w:sz="5"/>
              <w:bottom w:val="single" w:color="4A7AB5" w:sz="5"/>
              <w:right w:val="single" w:color="4A7AB5" w:sz="5"/>
            </w:tcBorders>
            <w:shd w:fill="4A7AB5"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PRÓXIMA</w:t>
            </w:r>
          </w:p>
        </w:tc>
        <w:tc>
          <w:tcPr>
            <w:tcW w:type="dxa" w:w="38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999999"/>
                <w:sz w:val="17"/>
                <w:szCs w:val="17"/>
              </w:rPr>
              <w:t xml:space="preserve">System prompt especializado Sonepar. Base de conocimiento de referencias reales. Detección de familia de producto. Modo instalador.</w:t>
            </w:r>
          </w:p>
        </w:tc>
      </w:tr>
      <w:tr>
        <w:tc>
          <w:tcPr>
            <w:tcW w:type="dxa" w:w="14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999999"/>
                <w:sz w:val="18"/>
                <w:szCs w:val="18"/>
              </w:rPr>
              <w:t xml:space="preserve">v4.0</w:t>
            </w:r>
          </w:p>
        </w:tc>
        <w:tc>
          <w:tcPr>
            <w:tcW w:type="dxa" w:w="16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999999"/>
                <w:sz w:val="18"/>
                <w:szCs w:val="18"/>
              </w:rPr>
              <w:t xml:space="preserve">May 2026</w:t>
            </w:r>
          </w:p>
        </w:tc>
        <w:tc>
          <w:tcPr>
            <w:tcW w:type="dxa" w:w="2200"/>
            <w:tcBorders>
              <w:top w:val="single" w:color="C07010" w:sz="5"/>
              <w:left w:val="single" w:color="C07010" w:sz="5"/>
              <w:bottom w:val="single" w:color="C07010" w:sz="5"/>
              <w:right w:val="single" w:color="C07010" w:sz="5"/>
            </w:tcBorders>
            <w:shd w:fill="C07010"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PLANIFICADA</w:t>
            </w:r>
          </w:p>
        </w:tc>
        <w:tc>
          <w:tcPr>
            <w:tcW w:type="dxa" w:w="38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999999"/>
                <w:sz w:val="17"/>
                <w:szCs w:val="17"/>
              </w:rPr>
              <w:t xml:space="preserve">Escalado a humano con contexto. Historial de consultas anonimizado. Sugerencias de productos alternativos. Exportar consulta por email.</w:t>
            </w:r>
          </w:p>
        </w:tc>
      </w:tr>
      <w:tr>
        <w:tc>
          <w:tcPr>
            <w:tcW w:type="dxa" w:w="14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999999"/>
                <w:sz w:val="18"/>
                <w:szCs w:val="18"/>
              </w:rPr>
              <w:t xml:space="preserve">v5.0</w:t>
            </w:r>
          </w:p>
        </w:tc>
        <w:tc>
          <w:tcPr>
            <w:tcW w:type="dxa" w:w="16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999999"/>
                <w:sz w:val="18"/>
                <w:szCs w:val="18"/>
              </w:rPr>
              <w:t xml:space="preserve">Jun 2026</w:t>
            </w:r>
          </w:p>
        </w:tc>
        <w:tc>
          <w:tcPr>
            <w:tcW w:type="dxa" w:w="2200"/>
            <w:tcBorders>
              <w:top w:val="single" w:color="555555" w:sz="5"/>
              <w:left w:val="single" w:color="555555" w:sz="5"/>
              <w:bottom w:val="single" w:color="555555" w:sz="5"/>
              <w:right w:val="single" w:color="555555" w:sz="5"/>
            </w:tcBorders>
            <w:shd w:fill="555555"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VISIÓN</w:t>
            </w:r>
          </w:p>
        </w:tc>
        <w:tc>
          <w:tcPr>
            <w:tcW w:type="dxa" w:w="38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999999"/>
                <w:sz w:val="17"/>
                <w:szCs w:val="17"/>
              </w:rPr>
              <w:t xml:space="preserve">Integración con catálogo Sonepar vía API. Fichas técnicas en tiempo real. Precios orientativos por tarifa. Disponibilidad de stock aproximada.</w:t>
            </w:r>
          </w:p>
        </w:tc>
      </w:tr>
    </w:tbl>
    <w:p>
      <w:pPr>
        <w:spacing w:before="280" w:after="80"/>
      </w:pPr>
      <w:r>
        <w:rPr>
          <w:rFonts w:ascii="Arial" w:cs="Arial" w:eastAsia="Arial" w:hAnsi="Arial"/>
          <w:b/>
          <w:bCs/>
          <w:i w:val="false"/>
          <w:iCs w:val="false"/>
          <w:caps w:val="false"/>
          <w:color w:val="0A0A14"/>
          <w:sz w:val="24"/>
          <w:szCs w:val="24"/>
        </w:rPr>
        <w:t xml:space="preserve">V3.0 — Especialización Sonepar (prioridad inmediata)</w:t>
      </w:r>
    </w:p>
    <w:p>
      <w:pPr>
        <w:spacing w:before="40" w:after="80"/>
      </w:pPr>
      <w:r>
        <w:rPr>
          <w:rFonts w:ascii="Arial" w:cs="Arial" w:eastAsia="Arial" w:hAnsi="Arial"/>
          <w:b w:val="false"/>
          <w:bCs w:val="false"/>
          <w:i w:val="false"/>
          <w:iCs w:val="false"/>
          <w:caps w:val="false"/>
          <w:color w:val="555555"/>
          <w:sz w:val="19"/>
          <w:szCs w:val="19"/>
        </w:rPr>
        <w:t xml:space="preserve">La v3 convierte SONEX de asistente técnico genérico a asistente técnico de Sonepar. Es la versión que más impacto tiene en la demo y en la presentación interna. No requiere integración con sistemas externos — todo el trabajo es en el system prompt y en la lógica de contexto.</w:t>
      </w:r>
    </w:p>
    <w:p>
      <w:pPr>
        <w:spacing w:before="200" w:after="60"/>
      </w:pPr>
      <w:r>
        <w:rPr>
          <w:rFonts w:ascii="Arial" w:cs="Arial" w:eastAsia="Arial" w:hAnsi="Arial"/>
          <w:b/>
          <w:bCs/>
          <w:i w:val="false"/>
          <w:iCs w:val="false"/>
          <w:caps w:val="false"/>
          <w:color w:val="4A7AB5"/>
          <w:sz w:val="21"/>
          <w:szCs w:val="21"/>
        </w:rPr>
        <w:t xml:space="preserve">Mejoras de v3.0 por prioridad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Prioridad</w:t>
            </w:r>
          </w:p>
        </w:tc>
        <w:tc>
          <w:tcPr>
            <w:tcW w:type="dxa" w:w="22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Mejora</w:t>
            </w:r>
          </w:p>
        </w:tc>
        <w:tc>
          <w:tcPr>
            <w:tcW w:type="dxa" w:w="5226"/>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Descripción y valor para Sonepar</w:t>
            </w:r>
          </w:p>
        </w:tc>
      </w:tr>
      <w:tr>
        <w:tc>
          <w:tcPr>
            <w:tcW w:type="dxa" w:w="1600"/>
            <w:tcBorders>
              <w:top w:val="single" w:color="C62828" w:sz="5"/>
              <w:left w:val="single" w:color="C62828" w:sz="5"/>
              <w:bottom w:val="single" w:color="C62828" w:sz="5"/>
              <w:right w:val="single" w:color="C62828" w:sz="5"/>
            </w:tcBorders>
            <w:shd w:fill="C62828"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CRÍTICO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System prompt Sonepar</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El prompt de sistema pasa a identificar a SONEX como asistente de Sonepar España, con conocimiento de las marcas que distribuyen (ABB, Schneider, Legrand, Hager, OBO, Phoenix Contact, Finder...), el perfil del cliente típico (instalador, contratista, mantenedor industrial) y el contexto de delegación. Cambia completamente el tono y la precisión de las respuestas.</w:t>
            </w:r>
          </w:p>
        </w:tc>
      </w:tr>
      <w:tr>
        <w:tc>
          <w:tcPr>
            <w:tcW w:type="dxa" w:w="1600"/>
            <w:tcBorders>
              <w:top w:val="single" w:color="C62828" w:sz="5"/>
              <w:left w:val="single" w:color="C62828" w:sz="5"/>
              <w:bottom w:val="single" w:color="C62828" w:sz="5"/>
              <w:right w:val="single" w:color="C62828" w:sz="5"/>
            </w:tcBorders>
            <w:shd w:fill="C62828"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CRÍTICO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Detección de familia de producto</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El prompt incluye un mapa de familias: variadores, contactores, guardamotores, PLC, iluminación, cableado, VE, renovables. SONEX identifica la familia y estructura la respuesta con ese marco. Reduce las respuestas genéricas.</w:t>
            </w:r>
          </w:p>
        </w:tc>
      </w:tr>
      <w:tr>
        <w:tc>
          <w:tcPr>
            <w:tcW w:type="dxa" w:w="1600"/>
            <w:tcBorders>
              <w:top w:val="single" w:color="4A7AB5" w:sz="5"/>
              <w:left w:val="single" w:color="4A7AB5" w:sz="5"/>
              <w:bottom w:val="single" w:color="4A7AB5" w:sz="5"/>
              <w:right w:val="single" w:color="4A7AB5" w:sz="5"/>
            </w:tcBorders>
            <w:shd w:fill="4A7AB5"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ALTO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Modo instalador residencial</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5º modo de contexto específico para consultas de instalaciones residenciales: viviendas, ITC-BT, grados de protección, cuadros de distribución. El mercado residencial es parte del catálogo de Sonepar y tiene su propio vocabulario.</w:t>
            </w:r>
          </w:p>
        </w:tc>
      </w:tr>
      <w:tr>
        <w:tc>
          <w:tcPr>
            <w:tcW w:type="dxa" w:w="1600"/>
            <w:tcBorders>
              <w:top w:val="single" w:color="4A7AB5" w:sz="5"/>
              <w:left w:val="single" w:color="4A7AB5" w:sz="5"/>
              <w:bottom w:val="single" w:color="4A7AB5" w:sz="5"/>
              <w:right w:val="single" w:color="4A7AB5" w:sz="5"/>
            </w:tcBorders>
            <w:shd w:fill="4A7AB5"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ALTO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Sugerencias de marca por familia</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Para cada familia de producto, el prompt incluye las marcas que Sonepar distribuye. SONEX no recomienda marcas que no vende. Aumenta la relevancia comercial de cada respuesta.</w:t>
            </w:r>
          </w:p>
        </w:tc>
      </w:tr>
      <w:tr>
        <w:tc>
          <w:tcPr>
            <w:tcW w:type="dxa" w:w="1600"/>
            <w:tcBorders>
              <w:top w:val="single" w:color="C07010" w:sz="5"/>
              <w:left w:val="single" w:color="C07010" w:sz="5"/>
              <w:bottom w:val="single" w:color="C07010" w:sz="5"/>
              <w:right w:val="single" w:color="C07010" w:sz="5"/>
            </w:tcBorders>
            <w:shd w:fill="C07010"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MEDIO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Respuesta estructurada por tipo de consulta</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Avería: causa probable / verificación / solución / prevención. Selección: características clave / recomendación con argumentación / normativa aplicable / alternativas. Consulta rápida: dato concreto / nota adicional si procede.</w:t>
            </w:r>
          </w:p>
        </w:tc>
      </w:tr>
      <w:tr>
        <w:tc>
          <w:tcPr>
            <w:tcW w:type="dxa" w:w="1600"/>
            <w:tcBorders>
              <w:top w:val="single" w:color="C07010" w:sz="5"/>
              <w:left w:val="single" w:color="C07010" w:sz="5"/>
              <w:bottom w:val="single" w:color="C07010" w:sz="5"/>
              <w:right w:val="single" w:color="C07010" w:sz="5"/>
            </w:tcBorders>
            <w:shd w:fill="C07010"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MEDIO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Disclaimer mejorado</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El disclaimer actual es genérico. En v3 especifica que SONEX es una herramienta de apoyo, que las respuestas deben verificarse con el fabricante o el catálogo oficial, y que no sustituye a la consulta con el técnico de la delegación para casos críticos.</w:t>
            </w:r>
          </w:p>
        </w:tc>
      </w:tr>
    </w:tbl>
    <w:p>
      <w:pPr>
        <w:spacing w:before="280" w:after="80"/>
      </w:pPr>
      <w:r>
        <w:rPr>
          <w:rFonts w:ascii="Arial" w:cs="Arial" w:eastAsia="Arial" w:hAnsi="Arial"/>
          <w:b/>
          <w:bCs/>
          <w:i w:val="false"/>
          <w:iCs w:val="false"/>
          <w:caps w:val="false"/>
          <w:color w:val="0A0A14"/>
          <w:sz w:val="24"/>
          <w:szCs w:val="24"/>
        </w:rPr>
        <w:t xml:space="preserve">V4.0 — Utilidad operativa</w:t>
      </w:r>
    </w:p>
    <w:p>
      <w:pPr>
        <w:spacing w:before="40" w:after="80"/>
      </w:pPr>
      <w:r>
        <w:rPr>
          <w:rFonts w:ascii="Arial" w:cs="Arial" w:eastAsia="Arial" w:hAnsi="Arial"/>
          <w:b w:val="false"/>
          <w:bCs w:val="false"/>
          <w:i w:val="false"/>
          <w:iCs w:val="false"/>
          <w:caps w:val="false"/>
          <w:color w:val="555555"/>
          <w:sz w:val="19"/>
          <w:szCs w:val="19"/>
        </w:rPr>
        <w:t xml:space="preserve">La v4 añade funcionalidades que hacen a SONEX útil en el día a día de la delegación, más allá de la demo. Requiere algo más de desarrollo pero sigue sin necesitar integración con sistemas externos.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Prioridad</w:t>
            </w:r>
          </w:p>
        </w:tc>
        <w:tc>
          <w:tcPr>
            <w:tcW w:type="dxa" w:w="22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Mejora</w:t>
            </w:r>
          </w:p>
        </w:tc>
        <w:tc>
          <w:tcPr>
            <w:tcW w:type="dxa" w:w="5226"/>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Descripción y valor para Sonepar</w:t>
            </w:r>
          </w:p>
        </w:tc>
      </w:tr>
      <w:tr>
        <w:tc>
          <w:tcPr>
            <w:tcW w:type="dxa" w:w="1600"/>
            <w:tcBorders>
              <w:top w:val="single" w:color="4A7AB5" w:sz="5"/>
              <w:left w:val="single" w:color="4A7AB5" w:sz="5"/>
              <w:bottom w:val="single" w:color="4A7AB5" w:sz="5"/>
              <w:right w:val="single" w:color="4A7AB5" w:sz="5"/>
            </w:tcBorders>
            <w:shd w:fill="4A7AB5"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ALTO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Exportar consulta por email/WhatsApp</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Botón para copiar la consulta y la respuesta en formato limpio para enviar al cliente o al responsable. Útil cuando el técnico de mostrador resuelve la duda de un cliente y quiere enviársela por escrito.</w:t>
            </w:r>
          </w:p>
        </w:tc>
      </w:tr>
      <w:tr>
        <w:tc>
          <w:tcPr>
            <w:tcW w:type="dxa" w:w="1600"/>
            <w:tcBorders>
              <w:top w:val="single" w:color="4A7AB5" w:sz="5"/>
              <w:left w:val="single" w:color="4A7AB5" w:sz="5"/>
              <w:bottom w:val="single" w:color="4A7AB5" w:sz="5"/>
              <w:right w:val="single" w:color="4A7AB5" w:sz="5"/>
            </w:tcBorders>
            <w:shd w:fill="4A7AB5"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ALTO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Historial de consultas anonimizado</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Panel de analytics básico: familias de producto más consultadas, consultas con confianza baja (las que SONEX no sabe bien), turnos más activos. Datos que permiten argumentar el valor de la herramienta con números reales.</w:t>
            </w:r>
          </w:p>
        </w:tc>
      </w:tr>
      <w:tr>
        <w:tc>
          <w:tcPr>
            <w:tcW w:type="dxa" w:w="1600"/>
            <w:tcBorders>
              <w:top w:val="single" w:color="4A7AB5" w:sz="5"/>
              <w:left w:val="single" w:color="4A7AB5" w:sz="5"/>
              <w:bottom w:val="single" w:color="4A7AB5" w:sz="5"/>
              <w:right w:val="single" w:color="4A7AB5" w:sz="5"/>
            </w:tcBorders>
            <w:shd w:fill="4A7AB5"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ALTO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Sugerencia de producto alternativo</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Cuando SONEX recomienda un producto, sugiere también 1-2 alternativas en caso de rotura de stock. Argumentado con diferencias técnicas. Aumenta el cierre de ventas cuando el producto principal no está disponible.</w:t>
            </w:r>
          </w:p>
        </w:tc>
      </w:tr>
      <w:tr>
        <w:tc>
          <w:tcPr>
            <w:tcW w:type="dxa" w:w="1600"/>
            <w:tcBorders>
              <w:top w:val="single" w:color="C07010" w:sz="5"/>
              <w:left w:val="single" w:color="C07010" w:sz="5"/>
              <w:bottom w:val="single" w:color="C07010" w:sz="5"/>
              <w:right w:val="single" w:color="C07010" w:sz="5"/>
            </w:tcBorders>
            <w:shd w:fill="C07010"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6"/>
                <w:szCs w:val="16"/>
              </w:rPr>
              <w:t xml:space="preserve">MEDIO</w:t>
            </w:r>
          </w:p>
        </w:tc>
        <w:tc>
          <w:tcPr>
            <w:tcW w:type="dxa" w:w="22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Escalado a humano con contexto</w:t>
            </w:r>
          </w:p>
        </w:tc>
        <w:tc>
          <w:tcPr>
            <w:tcW w:type="dxa" w:w="5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Si SONEX detecta una consulta crítica o con confianza muy baja, ofrece el botón 'Escalar a técnico' que copia el hilo de conversación en un formato listo para enviar al responsable técnico de la delegación.</w:t>
            </w:r>
          </w:p>
        </w:tc>
      </w:tr>
    </w:tbl>
    <w:p>
      <w:pPr>
        <w:spacing w:before="280" w:after="80"/>
      </w:pPr>
      <w:r>
        <w:rPr>
          <w:rFonts w:ascii="Arial" w:cs="Arial" w:eastAsia="Arial" w:hAnsi="Arial"/>
          <w:b/>
          <w:bCs/>
          <w:i w:val="false"/>
          <w:iCs w:val="false"/>
          <w:caps w:val="false"/>
          <w:color w:val="0A0A14"/>
          <w:sz w:val="24"/>
          <w:szCs w:val="24"/>
        </w:rPr>
        <w:t xml:space="preserve">V5.0 — Integración con catálogo (visión a largo plazo)</w:t>
      </w:r>
    </w:p>
    <w:p>
      <w:pPr>
        <w:spacing w:before="40" w:after="80"/>
      </w:pPr>
      <w:r>
        <w:rPr>
          <w:rFonts w:ascii="Arial" w:cs="Arial" w:eastAsia="Arial" w:hAnsi="Arial"/>
          <w:b w:val="false"/>
          <w:bCs w:val="false"/>
          <w:i w:val="false"/>
          <w:iCs w:val="false"/>
          <w:caps w:val="false"/>
          <w:color w:val="555555"/>
          <w:sz w:val="19"/>
          <w:szCs w:val="19"/>
        </w:rPr>
        <w:t xml:space="preserve">La v5 es la versión con mayor impacto comercial pero también la más compleja técnicamente. Requiere acceso al catálogo real de Sonepar, ya sea vía API, CSV exportado del ERP o scraping del portal. Es la versión que convierte SONEX en un diferencial real frente a los asistentes de fabricante — porque SONEX sabe qué hay en stock en esa delegación, a qué precio y con qué plazo.</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Fichas técnicas en tiempo real: </w:t>
      </w:r>
      <w:r>
        <w:rPr>
          <w:rFonts w:ascii="Arial" w:cs="Arial" w:eastAsia="Arial" w:hAnsi="Arial"/>
          <w:b w:val="false"/>
          <w:bCs w:val="false"/>
          <w:i w:val="false"/>
          <w:iCs w:val="false"/>
          <w:caps w:val="false"/>
          <w:color w:val="555555"/>
          <w:sz w:val="19"/>
          <w:szCs w:val="19"/>
        </w:rPr>
        <w:t xml:space="preserve">integración con el módulo de Fichas Técnicas de Sonepar Tools o con el portal de Sonepar directamente.</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Disponibilidad de stock orientativa: </w:t>
      </w:r>
      <w:r>
        <w:rPr>
          <w:rFonts w:ascii="Arial" w:cs="Arial" w:eastAsia="Arial" w:hAnsi="Arial"/>
          <w:b w:val="false"/>
          <w:bCs w:val="false"/>
          <w:i w:val="false"/>
          <w:iCs w:val="false"/>
          <w:caps w:val="false"/>
          <w:color w:val="555555"/>
          <w:sz w:val="19"/>
          <w:szCs w:val="19"/>
        </w:rPr>
        <w:t xml:space="preserve">integración con el SGA de la delegación. Requiere acceso al sistema — a negociar con IT de Sonepar.</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Precios orientativos por tarifa: </w:t>
      </w:r>
      <w:r>
        <w:rPr>
          <w:rFonts w:ascii="Arial" w:cs="Arial" w:eastAsia="Arial" w:hAnsi="Arial"/>
          <w:b w:val="false"/>
          <w:bCs w:val="false"/>
          <w:i w:val="false"/>
          <w:iCs w:val="false"/>
          <w:caps w:val="false"/>
          <w:color w:val="555555"/>
          <w:sz w:val="19"/>
          <w:szCs w:val="19"/>
        </w:rPr>
        <w:t xml:space="preserve">integración con ERP para mostrar precios de tarifa pública. No precios negociados.</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Sincronización con catálogo actualizado: </w:t>
      </w:r>
      <w:r>
        <w:rPr>
          <w:rFonts w:ascii="Arial" w:cs="Arial" w:eastAsia="Arial" w:hAnsi="Arial"/>
          <w:b w:val="false"/>
          <w:bCs w:val="false"/>
          <w:i w:val="false"/>
          <w:iCs w:val="false"/>
          <w:caps w:val="false"/>
          <w:color w:val="555555"/>
          <w:sz w:val="19"/>
          <w:szCs w:val="19"/>
        </w:rPr>
        <w:t xml:space="preserve">cuando Sonepar añade nuevas referencias (VE, renovables), SONEX las conoce automáticamente.</w:t>
      </w:r>
    </w:p>
    <w:p>
      <w:pPr>
        <w:pBdr>
          <w:bottom w:val="single" w:color="E0DBD4" w:sz="2" w:space="1"/>
        </w:pBdr>
        <w:spacing w:before="240" w:after="240"/>
      </w:pPr>
      <w:r>
        <w:rPr>
          <w:rFonts w:ascii="Arial" w:cs="Arial" w:eastAsia="Arial" w:hAnsi="Arial"/>
          <w:b w:val="false"/>
          <w:bCs w:val="false"/>
          <w:i w:val="false"/>
          <w:iCs w:val="false"/>
          <w:caps w:val="false"/>
          <w:color w:val="0A0A14"/>
          <w:sz w:val="19"/>
          <w:szCs w:val="19"/>
        </w:rPr>
        <w:t xml:space="preserve"/>
      </w:r>
    </w:p>
    <w:p>
      <w:r>
        <w:br w:type="page"/>
      </w:r>
    </w:p>
    <w:p>
      <w:pPr>
        <w:pBdr>
          <w:bottom w:val="single" w:color="4A7AB5" w:sz="8" w:space="4"/>
        </w:pBdr>
        <w:spacing w:before="400" w:after="120"/>
      </w:pPr>
      <w:r>
        <w:rPr>
          <w:rFonts w:ascii="Arial" w:cs="Arial" w:eastAsia="Arial" w:hAnsi="Arial"/>
          <w:b/>
          <w:bCs/>
          <w:i w:val="false"/>
          <w:iCs w:val="false"/>
          <w:caps w:val="false"/>
          <w:color w:val="0A0A14"/>
          <w:sz w:val="32"/>
          <w:szCs w:val="32"/>
        </w:rPr>
        <w:t xml:space="preserve">05 — Plan de acción para v3.0</w:t>
      </w:r>
    </w:p>
    <w:p>
      <w:pPr>
        <w:spacing w:before="280" w:after="80"/>
      </w:pPr>
      <w:r>
        <w:rPr>
          <w:rFonts w:ascii="Arial" w:cs="Arial" w:eastAsia="Arial" w:hAnsi="Arial"/>
          <w:b/>
          <w:bCs/>
          <w:i w:val="false"/>
          <w:iCs w:val="false"/>
          <w:caps w:val="false"/>
          <w:color w:val="0A0A14"/>
          <w:sz w:val="24"/>
          <w:szCs w:val="24"/>
        </w:rPr>
        <w:t xml:space="preserve">Qué hay que hacer, en qué orden</w:t>
      </w:r>
    </w:p>
    <w:p>
      <w:pPr>
        <w:pStyle w:val="ListParagraph"/>
        <w:numPr>
          <w:ilvl w:val="0"/>
          <w:numId w:val="3"/>
        </w:numPr>
        <w:spacing w:before="40" w:after="40"/>
      </w:pPr>
      <w:r>
        <w:rPr>
          <w:rFonts w:ascii="Arial" w:cs="Arial" w:eastAsia="Arial" w:hAnsi="Arial"/>
          <w:b/>
          <w:bCs/>
          <w:i w:val="false"/>
          <w:iCs w:val="false"/>
          <w:caps w:val="false"/>
          <w:color w:val="0A0A14"/>
          <w:sz w:val="19"/>
          <w:szCs w:val="19"/>
        </w:rPr>
        <w:t xml:space="preserve">Reescribir el system prompt: </w:t>
      </w:r>
      <w:r>
        <w:rPr>
          <w:rFonts w:ascii="Arial" w:cs="Arial" w:eastAsia="Arial" w:hAnsi="Arial"/>
          <w:b w:val="false"/>
          <w:bCs w:val="false"/>
          <w:i w:val="false"/>
          <w:iCs w:val="false"/>
          <w:caps w:val="false"/>
          <w:color w:val="555555"/>
          <w:sz w:val="19"/>
          <w:szCs w:val="19"/>
        </w:rPr>
        <w:t xml:space="preserve">Es el cambio de mayor impacto y el más rápido de implementar. El system prompt actual es de 3 líneas. El de v3 será de 40-60 líneas con contexto de empresa, marcas, tipos de cliente y estructura de respuesta esperada.</w:t>
      </w:r>
    </w:p>
    <w:p>
      <w:pPr>
        <w:pStyle w:val="ListParagraph"/>
        <w:numPr>
          <w:ilvl w:val="0"/>
          <w:numId w:val="3"/>
        </w:numPr>
        <w:spacing w:before="40" w:after="40"/>
      </w:pPr>
      <w:r>
        <w:rPr>
          <w:rFonts w:ascii="Arial" w:cs="Arial" w:eastAsia="Arial" w:hAnsi="Arial"/>
          <w:b/>
          <w:bCs/>
          <w:i w:val="false"/>
          <w:iCs w:val="false"/>
          <w:caps w:val="false"/>
          <w:color w:val="0A0A14"/>
          <w:sz w:val="19"/>
          <w:szCs w:val="19"/>
        </w:rPr>
        <w:t xml:space="preserve">Añadir el mapa de familias de producto: </w:t>
      </w:r>
      <w:r>
        <w:rPr>
          <w:rFonts w:ascii="Arial" w:cs="Arial" w:eastAsia="Arial" w:hAnsi="Arial"/>
          <w:b w:val="false"/>
          <w:bCs w:val="false"/>
          <w:i w:val="false"/>
          <w:iCs w:val="false"/>
          <w:caps w:val="false"/>
          <w:color w:val="555555"/>
          <w:sz w:val="19"/>
          <w:szCs w:val="19"/>
        </w:rPr>
        <w:t xml:space="preserve">Array interno con las familias que maneja Sonepar y las marcas asociadas a cada una. Se inyecta en el prompt cuando SONEX detecta palabras clave de esa familia.</w:t>
      </w:r>
    </w:p>
    <w:p>
      <w:pPr>
        <w:pStyle w:val="ListParagraph"/>
        <w:numPr>
          <w:ilvl w:val="0"/>
          <w:numId w:val="3"/>
        </w:numPr>
        <w:spacing w:before="40" w:after="40"/>
      </w:pPr>
      <w:r>
        <w:rPr>
          <w:rFonts w:ascii="Arial" w:cs="Arial" w:eastAsia="Arial" w:hAnsi="Arial"/>
          <w:b/>
          <w:bCs/>
          <w:i w:val="false"/>
          <w:iCs w:val="false"/>
          <w:caps w:val="false"/>
          <w:color w:val="0A0A14"/>
          <w:sz w:val="19"/>
          <w:szCs w:val="19"/>
        </w:rPr>
        <w:t xml:space="preserve">Crear el 5º modo: instalador residencial: </w:t>
      </w:r>
      <w:r>
        <w:rPr>
          <w:rFonts w:ascii="Arial" w:cs="Arial" w:eastAsia="Arial" w:hAnsi="Arial"/>
          <w:b w:val="false"/>
          <w:bCs w:val="false"/>
          <w:i w:val="false"/>
          <w:iCs w:val="false"/>
          <w:caps w:val="false"/>
          <w:color w:val="555555"/>
          <w:sz w:val="19"/>
          <w:szCs w:val="19"/>
        </w:rPr>
        <w:t xml:space="preserve">Añadir al selector de contexto un modo específico con su propio bloque de prompt.</w:t>
      </w:r>
    </w:p>
    <w:p>
      <w:pPr>
        <w:pStyle w:val="ListParagraph"/>
        <w:numPr>
          <w:ilvl w:val="0"/>
          <w:numId w:val="3"/>
        </w:numPr>
        <w:spacing w:before="40" w:after="40"/>
      </w:pPr>
      <w:r>
        <w:rPr>
          <w:rFonts w:ascii="Arial" w:cs="Arial" w:eastAsia="Arial" w:hAnsi="Arial"/>
          <w:b/>
          <w:bCs/>
          <w:i w:val="false"/>
          <w:iCs w:val="false"/>
          <w:caps w:val="false"/>
          <w:color w:val="0A0A14"/>
          <w:sz w:val="19"/>
          <w:szCs w:val="19"/>
        </w:rPr>
        <w:t xml:space="preserve">Mejorar la estructura de respuesta por tipo: </w:t>
      </w:r>
      <w:r>
        <w:rPr>
          <w:rFonts w:ascii="Arial" w:cs="Arial" w:eastAsia="Arial" w:hAnsi="Arial"/>
          <w:b w:val="false"/>
          <w:bCs w:val="false"/>
          <w:i w:val="false"/>
          <w:iCs w:val="false"/>
          <w:caps w:val="false"/>
          <w:color w:val="555555"/>
          <w:sz w:val="19"/>
          <w:szCs w:val="19"/>
        </w:rPr>
        <w:t xml:space="preserve">En el prompt especificar el formato exacto de respuesta para avería, selección y consulta rápida. Probar con 10 preguntas reales de mostrador y ajustar.</w:t>
      </w:r>
    </w:p>
    <w:p>
      <w:pPr>
        <w:pStyle w:val="ListParagraph"/>
        <w:numPr>
          <w:ilvl w:val="0"/>
          <w:numId w:val="3"/>
        </w:numPr>
        <w:spacing w:before="40" w:after="40"/>
      </w:pPr>
      <w:r>
        <w:rPr>
          <w:rFonts w:ascii="Arial" w:cs="Arial" w:eastAsia="Arial" w:hAnsi="Arial"/>
          <w:b/>
          <w:bCs/>
          <w:i w:val="false"/>
          <w:iCs w:val="false"/>
          <w:caps w:val="false"/>
          <w:color w:val="0A0A14"/>
          <w:sz w:val="19"/>
          <w:szCs w:val="19"/>
        </w:rPr>
        <w:t xml:space="preserve">Actualizar el CHANGELOG y desplegar en Vercel: </w:t>
      </w:r>
      <w:r>
        <w:rPr>
          <w:rFonts w:ascii="Arial" w:cs="Arial" w:eastAsia="Arial" w:hAnsi="Arial"/>
          <w:b w:val="false"/>
          <w:bCs w:val="false"/>
          <w:i w:val="false"/>
          <w:iCs w:val="false"/>
          <w:caps w:val="false"/>
          <w:color w:val="555555"/>
          <w:sz w:val="19"/>
          <w:szCs w:val="19"/>
        </w:rPr>
        <w:t xml:space="preserve">Documentar todos los cambios siguiendo el flujo acordado y hacer push para que Vercel redespliegue.</w:t>
      </w:r>
    </w:p>
    <w:p>
      <w:pPr>
        <w:spacing w:before="280" w:after="80"/>
      </w:pPr>
      <w:r>
        <w:rPr>
          <w:rFonts w:ascii="Arial" w:cs="Arial" w:eastAsia="Arial" w:hAnsi="Arial"/>
          <w:b/>
          <w:bCs/>
          <w:i w:val="false"/>
          <w:iCs w:val="false"/>
          <w:caps w:val="false"/>
          <w:color w:val="0A0A14"/>
          <w:sz w:val="24"/>
          <w:szCs w:val="24"/>
        </w:rPr>
        <w:t xml:space="preserve">Preguntas de prueba para validar v3</w:t>
      </w:r>
    </w:p>
    <w:p>
      <w:pPr>
        <w:spacing w:before="40" w:after="80"/>
      </w:pPr>
      <w:r>
        <w:rPr>
          <w:rFonts w:ascii="Arial" w:cs="Arial" w:eastAsia="Arial" w:hAnsi="Arial"/>
          <w:b w:val="false"/>
          <w:bCs w:val="false"/>
          <w:i w:val="false"/>
          <w:iCs w:val="false"/>
          <w:caps w:val="false"/>
          <w:color w:val="555555"/>
          <w:sz w:val="19"/>
          <w:szCs w:val="19"/>
        </w:rPr>
        <w:t xml:space="preserve">Estas son las preguntas que usaremos para validar que v3 funciona correctamente antes de darlo por cerrado:</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Avería — contactor: </w:t>
      </w:r>
      <w:r>
        <w:rPr>
          <w:rFonts w:ascii="Arial" w:cs="Arial" w:eastAsia="Arial" w:hAnsi="Arial"/>
          <w:b w:val="false"/>
          <w:bCs w:val="false"/>
          <w:i w:val="false"/>
          <w:iCs w:val="false"/>
          <w:caps w:val="false"/>
          <w:color w:val="555555"/>
          <w:sz w:val="19"/>
          <w:szCs w:val="19"/>
        </w:rPr>
        <w:t xml:space="preserve">'Un contactor Schneider LC1D25 no cierra. El piloto de bobina enciende pero los contactos principales no cierran. Tensión de bobina correcta. ¿Qué verifico?'</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Selección — guardamotor: </w:t>
      </w:r>
      <w:r>
        <w:rPr>
          <w:rFonts w:ascii="Arial" w:cs="Arial" w:eastAsia="Arial" w:hAnsi="Arial"/>
          <w:b w:val="false"/>
          <w:bCs w:val="false"/>
          <w:i w:val="false"/>
          <w:iCs w:val="false"/>
          <w:caps w:val="false"/>
          <w:color w:val="555555"/>
          <w:sz w:val="19"/>
          <w:szCs w:val="19"/>
        </w:rPr>
        <w:t xml:space="preserve">'Necesito un guardamotor para un motor trifásico de 7.5kW, 400V, arranque directo. ¿Qué me recomiendas y por qué?'</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Normativa: </w:t>
      </w:r>
      <w:r>
        <w:rPr>
          <w:rFonts w:ascii="Arial" w:cs="Arial" w:eastAsia="Arial" w:hAnsi="Arial"/>
          <w:b w:val="false"/>
          <w:bCs w:val="false"/>
          <w:i w:val="false"/>
          <w:iCs w:val="false"/>
          <w:caps w:val="false"/>
          <w:color w:val="555555"/>
          <w:sz w:val="19"/>
          <w:szCs w:val="19"/>
        </w:rPr>
        <w:t xml:space="preserve">'¿Qué sección mínima de cable necesito para una instalación trifásica de 22kW a 30 metros, según el REBT?'</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VE (área nueva): </w:t>
      </w:r>
      <w:r>
        <w:rPr>
          <w:rFonts w:ascii="Arial" w:cs="Arial" w:eastAsia="Arial" w:hAnsi="Arial"/>
          <w:b w:val="false"/>
          <w:bCs w:val="false"/>
          <w:i w:val="false"/>
          <w:iCs w:val="false"/>
          <w:caps w:val="false"/>
          <w:color w:val="555555"/>
          <w:sz w:val="19"/>
          <w:szCs w:val="19"/>
        </w:rPr>
        <w:t xml:space="preserve">'¿Qué diferencia hay entre un punto de recarga Modo 2 y Modo 3 para una instalación residencial?'</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Consulta rápida: </w:t>
      </w:r>
      <w:r>
        <w:rPr>
          <w:rFonts w:ascii="Arial" w:cs="Arial" w:eastAsia="Arial" w:hAnsi="Arial"/>
          <w:b w:val="false"/>
          <w:bCs w:val="false"/>
          <w:i w:val="false"/>
          <w:iCs w:val="false"/>
          <w:caps w:val="false"/>
          <w:color w:val="555555"/>
          <w:sz w:val="19"/>
          <w:szCs w:val="19"/>
        </w:rPr>
        <w:t xml:space="preserve">'Grado de protección mínimo para un cuadro eléctrico en exterior.'</w:t>
      </w:r>
    </w:p>
    <w:p>
      <w:pPr>
        <w:pBdr>
          <w:bottom w:val="single" w:color="E0DBD4" w:sz="2" w:space="1"/>
        </w:pBdr>
        <w:spacing w:before="240" w:after="240"/>
      </w:pPr>
      <w:r>
        <w:rPr>
          <w:rFonts w:ascii="Arial" w:cs="Arial" w:eastAsia="Arial" w:hAnsi="Arial"/>
          <w:b w:val="false"/>
          <w:bCs w:val="false"/>
          <w:i w:val="false"/>
          <w:iCs w:val="false"/>
          <w:caps w:val="false"/>
          <w:color w:val="0A0A14"/>
          <w:sz w:val="19"/>
          <w:szCs w:val="19"/>
        </w:rPr>
        <w:t xml:space="preserve"/>
      </w:r>
    </w:p>
    <w:p>
      <w:pPr>
        <w:pBdr>
          <w:bottom w:val="single" w:color="4A7AB5" w:sz="8" w:space="4"/>
        </w:pBdr>
        <w:spacing w:before="400" w:after="120"/>
      </w:pPr>
      <w:r>
        <w:rPr>
          <w:rFonts w:ascii="Arial" w:cs="Arial" w:eastAsia="Arial" w:hAnsi="Arial"/>
          <w:b/>
          <w:bCs/>
          <w:i w:val="false"/>
          <w:iCs w:val="false"/>
          <w:caps w:val="false"/>
          <w:color w:val="0A0A14"/>
          <w:sz w:val="32"/>
          <w:szCs w:val="32"/>
        </w:rPr>
        <w:t xml:space="preserve">06 — Guión de demo para la presentación en Sonepar</w:t>
      </w:r>
    </w:p>
    <w:p>
      <w:pPr>
        <w:spacing w:before="280" w:after="80"/>
      </w:pPr>
      <w:r>
        <w:rPr>
          <w:rFonts w:ascii="Arial" w:cs="Arial" w:eastAsia="Arial" w:hAnsi="Arial"/>
          <w:b/>
          <w:bCs/>
          <w:i w:val="false"/>
          <w:iCs w:val="false"/>
          <w:caps w:val="false"/>
          <w:color w:val="0A0A14"/>
          <w:sz w:val="24"/>
          <w:szCs w:val="24"/>
        </w:rPr>
        <w:t xml:space="preserve">Objetivo de la demo</w:t>
      </w:r>
    </w:p>
    <w:p>
      <w:pPr>
        <w:spacing w:before="40" w:after="80"/>
      </w:pPr>
      <w:r>
        <w:rPr>
          <w:rFonts w:ascii="Arial" w:cs="Arial" w:eastAsia="Arial" w:hAnsi="Arial"/>
          <w:b w:val="false"/>
          <w:bCs w:val="false"/>
          <w:i w:val="false"/>
          <w:iCs w:val="false"/>
          <w:caps w:val="false"/>
          <w:color w:val="555555"/>
          <w:sz w:val="19"/>
          <w:szCs w:val="19"/>
        </w:rPr>
        <w:t xml:space="preserve">La demo de SONEX en la presentación interna tiene que generar una sola reacción: 'esto lo necesitamos'. No es una demo técnica — es una demo de valor de negocio. El técnico que la vea tiene que imaginarse usándola mañana en el mostrador.</w:t>
      </w:r>
    </w:p>
    <w:p>
      <w:pPr>
        <w:spacing w:before="280" w:after="80"/>
      </w:pPr>
      <w:r>
        <w:rPr>
          <w:rFonts w:ascii="Arial" w:cs="Arial" w:eastAsia="Arial" w:hAnsi="Arial"/>
          <w:b/>
          <w:bCs/>
          <w:i w:val="false"/>
          <w:iCs w:val="false"/>
          <w:caps w:val="false"/>
          <w:color w:val="0A0A14"/>
          <w:sz w:val="24"/>
          <w:szCs w:val="24"/>
        </w:rPr>
        <w:t xml:space="preserve">Guión sugerido — 4 minutos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26"/>
      </w:tblGrid>
      <w:tr>
        <w:tc>
          <w:tcPr>
            <w:tcW w:type="dxa" w:w="9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Tiempo</w:t>
            </w:r>
          </w:p>
        </w:tc>
        <w:tc>
          <w:tcPr>
            <w:tcW w:type="dxa" w:w="18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Sección</w:t>
            </w:r>
          </w:p>
        </w:tc>
        <w:tc>
          <w:tcPr>
            <w:tcW w:type="dxa" w:w="6326"/>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Guión sugerido</w:t>
            </w:r>
          </w:p>
        </w:tc>
      </w:tr>
      <w:tr>
        <w:tc>
          <w:tcPr>
            <w:tcW w:type="dxa" w:w="9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4A7AB5"/>
                <w:sz w:val="18"/>
                <w:szCs w:val="18"/>
              </w:rPr>
              <w:t xml:space="preserve">0:00</w:t>
            </w:r>
          </w:p>
        </w:tc>
        <w:tc>
          <w:tcPr>
            <w:tcW w:type="dxa" w:w="1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Contexto</w:t>
            </w:r>
          </w:p>
        </w:tc>
        <w:tc>
          <w:tcPr>
            <w:tcW w:type="dxa" w:w="63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Explicar que SONEX es el técnico de mostrador virtual de Sonepar. No necesita login, no tiene tiempos de espera.</w:t>
            </w:r>
          </w:p>
        </w:tc>
      </w:tr>
      <w:tr>
        <w:tc>
          <w:tcPr>
            <w:tcW w:type="dxa" w:w="9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4A7AB5"/>
                <w:sz w:val="18"/>
                <w:szCs w:val="18"/>
              </w:rPr>
              <w:t xml:space="preserve">0:30</w:t>
            </w:r>
          </w:p>
        </w:tc>
        <w:tc>
          <w:tcPr>
            <w:tcW w:type="dxa" w:w="1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Demo — avería real</w:t>
            </w:r>
          </w:p>
        </w:tc>
        <w:tc>
          <w:tcPr>
            <w:tcW w:type="dxa" w:w="63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Preguntar: 'Un contactor ABB AF09 no cierra el circuito, el piloto de bobina enciende pero los contactos no cierran. ¿Qué reviso?' → mostrar diagnóstico estructurado con pasos.</w:t>
            </w:r>
          </w:p>
        </w:tc>
      </w:tr>
      <w:tr>
        <w:tc>
          <w:tcPr>
            <w:tcW w:type="dxa" w:w="9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4A7AB5"/>
                <w:sz w:val="18"/>
                <w:szCs w:val="18"/>
              </w:rPr>
              <w:t xml:space="preserve">1:30</w:t>
            </w:r>
          </w:p>
        </w:tc>
        <w:tc>
          <w:tcPr>
            <w:tcW w:type="dxa" w:w="1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Demo — selección</w:t>
            </w:r>
          </w:p>
        </w:tc>
        <w:tc>
          <w:tcPr>
            <w:tcW w:type="dxa" w:w="63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Preguntar: 'Necesito un guardamotor para un motor trifásico de 5.5kW, tensión 400V, arranque directo.' → mostrar recomendación con argumentación técnica y normativa.</w:t>
            </w:r>
          </w:p>
        </w:tc>
      </w:tr>
      <w:tr>
        <w:tc>
          <w:tcPr>
            <w:tcW w:type="dxa" w:w="9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4A7AB5"/>
                <w:sz w:val="18"/>
                <w:szCs w:val="18"/>
              </w:rPr>
              <w:t xml:space="preserve">2:30</w:t>
            </w:r>
          </w:p>
        </w:tc>
        <w:tc>
          <w:tcPr>
            <w:tcW w:type="dxa" w:w="1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Indicador de confianza</w:t>
            </w:r>
          </w:p>
        </w:tc>
        <w:tc>
          <w:tcPr>
            <w:tcW w:type="dxa" w:w="63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Señalar el badge verde/amarillo/rojo. Explicar que SONEX nunca da una respuesta con confianza alta en algo que no conoce.</w:t>
            </w:r>
          </w:p>
        </w:tc>
      </w:tr>
      <w:tr>
        <w:tc>
          <w:tcPr>
            <w:tcW w:type="dxa" w:w="9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4A7AB5"/>
                <w:sz w:val="18"/>
                <w:szCs w:val="18"/>
              </w:rPr>
              <w:t xml:space="preserve">3:00</w:t>
            </w:r>
          </w:p>
        </w:tc>
        <w:tc>
          <w:tcPr>
            <w:tcW w:type="dxa" w:w="1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Consulta rápida</w:t>
            </w:r>
          </w:p>
        </w:tc>
        <w:tc>
          <w:tcPr>
            <w:tcW w:type="dxa" w:w="63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Mostrar modo consulta rápida: '¿Qué sección de cable para un motor de 11kW a 20 metros?' → respuesta en 3 frases, sin historial.</w:t>
            </w:r>
          </w:p>
        </w:tc>
      </w:tr>
      <w:tr>
        <w:tc>
          <w:tcPr>
            <w:tcW w:type="dxa" w:w="9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4A7AB5"/>
                <w:sz w:val="18"/>
                <w:szCs w:val="18"/>
              </w:rPr>
              <w:t xml:space="preserve">3:30</w:t>
            </w:r>
          </w:p>
        </w:tc>
        <w:tc>
          <w:tcPr>
            <w:tcW w:type="dxa" w:w="1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Cierre</w:t>
            </w:r>
          </w:p>
        </w:tc>
        <w:tc>
          <w:tcPr>
            <w:tcW w:type="dxa" w:w="63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Explicar que cada consulta que resuelve SONEX son 5-10 minutos del técnico recuperados, más ventas no perdidas por falta de respuesta inmediata.</w:t>
            </w:r>
          </w:p>
        </w:tc>
      </w:tr>
    </w:tbl>
    <w:p>
      <w:pPr>
        <w:spacing w:before="280" w:after="80"/>
      </w:pPr>
      <w:r>
        <w:rPr>
          <w:rFonts w:ascii="Arial" w:cs="Arial" w:eastAsia="Arial" w:hAnsi="Arial"/>
          <w:b/>
          <w:bCs/>
          <w:i w:val="false"/>
          <w:iCs w:val="false"/>
          <w:caps w:val="false"/>
          <w:color w:val="0A0A14"/>
          <w:sz w:val="24"/>
          <w:szCs w:val="24"/>
        </w:rPr>
        <w:t xml:space="preserve">Qué no hacer en la demo</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No mostrar el código: </w:t>
      </w:r>
      <w:r>
        <w:rPr>
          <w:rFonts w:ascii="Arial" w:cs="Arial" w:eastAsia="Arial" w:hAnsi="Arial"/>
          <w:b w:val="false"/>
          <w:bCs w:val="false"/>
          <w:i w:val="false"/>
          <w:iCs w:val="false"/>
          <w:caps w:val="false"/>
          <w:color w:val="555555"/>
          <w:sz w:val="19"/>
          <w:szCs w:val="19"/>
        </w:rPr>
        <w:t xml:space="preserve">ni mencionar React ni Claude. La herramienta es SONEX, no la tecnología detrás.</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No pedir perdón por los límites: </w:t>
      </w:r>
      <w:r>
        <w:rPr>
          <w:rFonts w:ascii="Arial" w:cs="Arial" w:eastAsia="Arial" w:hAnsi="Arial"/>
          <w:b w:val="false"/>
          <w:bCs w:val="false"/>
          <w:i w:val="false"/>
          <w:iCs w:val="false"/>
          <w:caps w:val="false"/>
          <w:color w:val="555555"/>
          <w:sz w:val="19"/>
          <w:szCs w:val="19"/>
        </w:rPr>
        <w:t xml:space="preserve">si SONEX da confianza media en algo, es honesto — eso es una feature, no un bug.</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No hacer preguntas que SONEX no puede responder bien todavía: </w:t>
      </w:r>
      <w:r>
        <w:rPr>
          <w:rFonts w:ascii="Arial" w:cs="Arial" w:eastAsia="Arial" w:hAnsi="Arial"/>
          <w:b w:val="false"/>
          <w:bCs w:val="false"/>
          <w:i w:val="false"/>
          <w:iCs w:val="false"/>
          <w:caps w:val="false"/>
          <w:color w:val="555555"/>
          <w:sz w:val="19"/>
          <w:szCs w:val="19"/>
        </w:rPr>
        <w:t xml:space="preserve">preparar las preguntas de demo con v3 ya instalada.</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No hablar de versiones futuras salvo si preguntan: </w:t>
      </w:r>
      <w:r>
        <w:rPr>
          <w:rFonts w:ascii="Arial" w:cs="Arial" w:eastAsia="Arial" w:hAnsi="Arial"/>
          <w:b w:val="false"/>
          <w:bCs w:val="false"/>
          <w:i w:val="false"/>
          <w:iCs w:val="false"/>
          <w:caps w:val="false"/>
          <w:color w:val="555555"/>
          <w:sz w:val="19"/>
          <w:szCs w:val="19"/>
        </w:rPr>
        <w:t xml:space="preserve">la demo es sobre lo que funciona hoy, no sobre lo que podría hacer.</w:t>
      </w:r>
    </w:p>
    <w:p>
      <w:pPr>
        <w:pBdr>
          <w:bottom w:val="single" w:color="E0DBD4" w:sz="2" w:space="1"/>
        </w:pBdr>
        <w:spacing w:before="240" w:after="240"/>
      </w:pPr>
      <w:r>
        <w:rPr>
          <w:rFonts w:ascii="Arial" w:cs="Arial" w:eastAsia="Arial" w:hAnsi="Arial"/>
          <w:b w:val="false"/>
          <w:bCs w:val="false"/>
          <w:i w:val="false"/>
          <w:iCs w:val="false"/>
          <w:caps w:val="false"/>
          <w:color w:val="0A0A14"/>
          <w:sz w:val="19"/>
          <w:szCs w:val="19"/>
        </w:rPr>
        <w:t xml:space="preserve"/>
      </w:r>
    </w:p>
    <w:p>
      <w:pPr>
        <w:pBdr>
          <w:bottom w:val="single" w:color="4A7AB5" w:sz="8" w:space="4"/>
        </w:pBdr>
        <w:spacing w:before="400" w:after="120"/>
      </w:pPr>
      <w:r>
        <w:rPr>
          <w:rFonts w:ascii="Arial" w:cs="Arial" w:eastAsia="Arial" w:hAnsi="Arial"/>
          <w:b/>
          <w:bCs/>
          <w:i w:val="false"/>
          <w:iCs w:val="false"/>
          <w:caps w:val="false"/>
          <w:color w:val="0A0A14"/>
          <w:sz w:val="32"/>
          <w:szCs w:val="32"/>
        </w:rPr>
        <w:t xml:space="preserve">07 — KPIs para medir el éxito de SONEX</w:t>
      </w:r>
    </w:p>
    <w:p>
      <w:pPr>
        <w:spacing w:before="280" w:after="80"/>
      </w:pPr>
      <w:r>
        <w:rPr>
          <w:rFonts w:ascii="Arial" w:cs="Arial" w:eastAsia="Arial" w:hAnsi="Arial"/>
          <w:b/>
          <w:bCs/>
          <w:i w:val="false"/>
          <w:iCs w:val="false"/>
          <w:caps w:val="false"/>
          <w:color w:val="0A0A14"/>
          <w:sz w:val="24"/>
          <w:szCs w:val="24"/>
        </w:rPr>
        <w:t xml:space="preserve">Métricas de seguimiento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26"/>
        <w:gridCol w:w="2000"/>
      </w:tblGrid>
      <w:tr>
        <w:tc>
          <w:tcPr>
            <w:tcW w:type="dxa" w:w="28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KPI</w:t>
            </w:r>
          </w:p>
        </w:tc>
        <w:tc>
          <w:tcPr>
            <w:tcW w:type="dxa" w:w="4226"/>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Definición</w:t>
            </w:r>
          </w:p>
        </w:tc>
        <w:tc>
          <w:tcPr>
            <w:tcW w:type="dxa" w:w="2000"/>
            <w:tcBorders>
              <w:top w:val="single" w:color="0A0A14" w:sz="5"/>
              <w:left w:val="single" w:color="0A0A14" w:sz="5"/>
              <w:bottom w:val="single" w:color="0A0A14" w:sz="5"/>
              <w:right w:val="single" w:color="0A0A14" w:sz="5"/>
            </w:tcBorders>
            <w:shd w:fill="0A0A14" w:val="clear"/>
            <w:tcMar>
              <w:top w:type="dxa" w:w="80"/>
              <w:left w:type="dxa" w:w="160"/>
              <w:bottom w:type="dxa" w:w="80"/>
              <w:right w:type="dxa" w:w="160"/>
            </w:tcMar>
          </w:tcPr>
          <w:p>
            <w:r>
              <w:rPr>
                <w:rFonts w:ascii="Arial" w:cs="Arial" w:eastAsia="Arial" w:hAnsi="Arial"/>
                <w:b/>
                <w:bCs/>
                <w:i w:val="false"/>
                <w:iCs w:val="false"/>
                <w:caps/>
                <w:color w:val="FFFFFF"/>
                <w:sz w:val="17"/>
                <w:szCs w:val="17"/>
              </w:rPr>
              <w:t xml:space="preserve">Objetivo</w:t>
            </w:r>
          </w:p>
        </w:tc>
      </w:tr>
      <w:tr>
        <w:tc>
          <w:tcPr>
            <w:tcW w:type="dxa" w:w="2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Consultas resueltas sin escalar</w:t>
            </w:r>
          </w:p>
        </w:tc>
        <w:tc>
          <w:tcPr>
            <w:tcW w:type="dxa" w:w="4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 de preguntas que SONEX responde sin necesitar a un técnico humano.</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7"/>
                <w:szCs w:val="17"/>
              </w:rPr>
              <w:t xml:space="preserve">Objetivo v3: &gt;60%</w:t>
            </w:r>
          </w:p>
        </w:tc>
      </w:tr>
      <w:tr>
        <w:tc>
          <w:tcPr>
            <w:tcW w:type="dxa" w:w="2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Tiempo medio de respuesta</w:t>
            </w:r>
          </w:p>
        </w:tc>
        <w:tc>
          <w:tcPr>
            <w:tcW w:type="dxa" w:w="4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Segundos desde que el usuario envía la pregunta hasta recibir respuesta completa.</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7"/>
                <w:szCs w:val="17"/>
              </w:rPr>
              <w:t xml:space="preserve">Objetivo: &lt;8 segundos</w:t>
            </w:r>
          </w:p>
        </w:tc>
      </w:tr>
      <w:tr>
        <w:tc>
          <w:tcPr>
            <w:tcW w:type="dxa" w:w="2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Tasa de confianza alta</w:t>
            </w:r>
          </w:p>
        </w:tc>
        <w:tc>
          <w:tcPr>
            <w:tcW w:type="dxa" w:w="4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 de respuestas marcadas con indicador de confianza verde.</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7"/>
                <w:szCs w:val="17"/>
              </w:rPr>
              <w:t xml:space="preserve">Objetivo v3: &gt;70%</w:t>
            </w:r>
          </w:p>
        </w:tc>
      </w:tr>
      <w:tr>
        <w:tc>
          <w:tcPr>
            <w:tcW w:type="dxa" w:w="2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Consultas únicas por semana</w:t>
            </w:r>
          </w:p>
        </w:tc>
        <w:tc>
          <w:tcPr>
            <w:tcW w:type="dxa" w:w="4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Volumen de uso real. Indica adopción en la delegación.</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7"/>
                <w:szCs w:val="17"/>
              </w:rPr>
              <w:t xml:space="preserve">KPI de adopción</w:t>
            </w:r>
          </w:p>
        </w:tc>
      </w:tr>
      <w:tr>
        <w:tc>
          <w:tcPr>
            <w:tcW w:type="dxa" w:w="2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Ventas asistidas</w:t>
            </w:r>
          </w:p>
        </w:tc>
        <w:tc>
          <w:tcPr>
            <w:tcW w:type="dxa" w:w="4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Presupuestos o pedidos que el técnico cierra tras una consulta a SONEX (manual).</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7"/>
                <w:szCs w:val="17"/>
              </w:rPr>
              <w:t xml:space="preserve">KPI de impacto en negocio</w:t>
            </w:r>
          </w:p>
        </w:tc>
      </w:tr>
      <w:tr>
        <w:tc>
          <w:tcPr>
            <w:tcW w:type="dxa" w:w="28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bCs/>
                <w:i w:val="false"/>
                <w:iCs w:val="false"/>
                <w:caps w:val="false"/>
                <w:color w:val="0A0A14"/>
                <w:sz w:val="18"/>
                <w:szCs w:val="18"/>
              </w:rPr>
              <w:t xml:space="preserve">NPS interno</w:t>
            </w:r>
          </w:p>
        </w:tc>
        <w:tc>
          <w:tcPr>
            <w:tcW w:type="dxa" w:w="4226"/>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555555"/>
                <w:sz w:val="17"/>
                <w:szCs w:val="17"/>
              </w:rPr>
              <w:t xml:space="preserve">¿Recomendarías SONEX a un compañero? Encuesta mensual al equipo.</w:t>
            </w:r>
          </w:p>
        </w:tc>
        <w:tc>
          <w:tcPr>
            <w:tcW w:type="dxa" w:w="2000"/>
            <w:tcBorders>
              <w:top w:val="single" w:color="E0DBD4" w:sz="5"/>
              <w:left w:val="single" w:color="E0DBD4" w:sz="5"/>
              <w:bottom w:val="single" w:color="E0DBD4" w:sz="5"/>
              <w:right w:val="single" w:color="E0DBD4" w:sz="5"/>
            </w:tcBorders>
            <w:shd w:fill="FFFFFF" w:val="clear"/>
            <w:tcMar>
              <w:top w:type="dxa" w:w="90"/>
              <w:left w:type="dxa" w:w="160"/>
              <w:bottom w:type="dxa" w:w="90"/>
              <w:right w:type="dxa" w:w="160"/>
            </w:tcMar>
          </w:tcPr>
          <w:p>
            <w:pPr>
              <w:jc w:val="left"/>
            </w:pPr>
            <w:r>
              <w:rPr>
                <w:rFonts w:ascii="Arial" w:cs="Arial" w:eastAsia="Arial" w:hAnsi="Arial"/>
                <w:b w:val="false"/>
                <w:bCs w:val="false"/>
                <w:i w:val="false"/>
                <w:iCs w:val="false"/>
                <w:caps w:val="false"/>
                <w:color w:val="4CAF82"/>
                <w:sz w:val="17"/>
                <w:szCs w:val="17"/>
              </w:rPr>
              <w:t xml:space="preserve">Objetivo: &gt;7/10</w:t>
            </w:r>
          </w:p>
        </w:tc>
      </w:tr>
    </w:tbl>
    <w:p>
      <w:pPr>
        <w:spacing w:before="280" w:after="80"/>
      </w:pPr>
      <w:r>
        <w:rPr>
          <w:rFonts w:ascii="Arial" w:cs="Arial" w:eastAsia="Arial" w:hAnsi="Arial"/>
          <w:b/>
          <w:bCs/>
          <w:i w:val="false"/>
          <w:iCs w:val="false"/>
          <w:caps w:val="false"/>
          <w:color w:val="0A0A14"/>
          <w:sz w:val="24"/>
          <w:szCs w:val="24"/>
        </w:rPr>
        <w:t xml:space="preserve">Argumento de ROI para Sonepar</w:t>
      </w:r>
    </w:p>
    <w:p>
      <w:pPr>
        <w:spacing w:before="40" w:after="80"/>
      </w:pPr>
      <w:r>
        <w:rPr>
          <w:rFonts w:ascii="Arial" w:cs="Arial" w:eastAsia="Arial" w:hAnsi="Arial"/>
          <w:b w:val="false"/>
          <w:bCs w:val="false"/>
          <w:i w:val="false"/>
          <w:iCs w:val="false"/>
          <w:caps w:val="false"/>
          <w:color w:val="555555"/>
          <w:sz w:val="19"/>
          <w:szCs w:val="19"/>
        </w:rPr>
        <w:t xml:space="preserve">Si un técnico de mostrador resuelve 20 consultas técnicas por día, y SONEX le ahorra 5 minutos por consulta, son 100 minutos al día, 8 horas a la semana. Con un coste horario de 15€, eso es 120€ semanales por delegación, 6.240€ anuales por delegación. En 10 delegaciones: 62.400€ anuales en tiempo recuperado. Sin contar ventas no perdidas por respuesta inmediata.</w:t>
      </w:r>
    </w:p>
    <w:p>
      <w:pPr>
        <w:spacing w:before="40" w:after="80"/>
      </w:pPr>
      <w:r>
        <w:rPr>
          <w:rFonts w:ascii="Arial" w:cs="Arial" w:eastAsia="Arial" w:hAnsi="Arial"/>
          <w:b w:val="false"/>
          <w:bCs w:val="false"/>
          <w:i w:val="false"/>
          <w:iCs w:val="false"/>
          <w:caps w:val="false"/>
          <w:color w:val="555555"/>
          <w:sz w:val="19"/>
          <w:szCs w:val="19"/>
        </w:rPr>
        <w:t xml:space="preserve">Este cálculo es conservador y está basado en los estudios de Schneider Electric y Google citados en la sección 02. Es el argumento que llevar a la dirección.</w:t>
      </w:r>
    </w:p>
    <w:p>
      <w:pPr>
        <w:pBdr>
          <w:bottom w:val="single" w:color="E0DBD4" w:sz="2" w:space="1"/>
        </w:pBdr>
        <w:spacing w:before="240" w:after="240"/>
      </w:pPr>
      <w:r>
        <w:rPr>
          <w:rFonts w:ascii="Arial" w:cs="Arial" w:eastAsia="Arial" w:hAnsi="Arial"/>
          <w:b w:val="false"/>
          <w:bCs w:val="false"/>
          <w:i w:val="false"/>
          <w:iCs w:val="false"/>
          <w:caps w:val="false"/>
          <w:color w:val="0A0A14"/>
          <w:sz w:val="19"/>
          <w:szCs w:val="19"/>
        </w:rPr>
        <w:t xml:space="preserve"/>
      </w:r>
    </w:p>
    <w:p>
      <w:pPr>
        <w:pBdr>
          <w:bottom w:val="single" w:color="4A7AB5" w:sz="8" w:space="4"/>
        </w:pBdr>
        <w:spacing w:before="400" w:after="120"/>
      </w:pPr>
      <w:r>
        <w:rPr>
          <w:rFonts w:ascii="Arial" w:cs="Arial" w:eastAsia="Arial" w:hAnsi="Arial"/>
          <w:b/>
          <w:bCs/>
          <w:i w:val="false"/>
          <w:iCs w:val="false"/>
          <w:caps w:val="false"/>
          <w:color w:val="0A0A14"/>
          <w:sz w:val="32"/>
          <w:szCs w:val="32"/>
        </w:rPr>
        <w:t xml:space="preserve">08 — Tu contexto: cómo usar SONEX para posicionarte</w:t>
      </w:r>
    </w:p>
    <w:p>
      <w:pPr>
        <w:spacing w:before="280" w:after="80"/>
      </w:pPr>
      <w:r>
        <w:rPr>
          <w:rFonts w:ascii="Arial" w:cs="Arial" w:eastAsia="Arial" w:hAnsi="Arial"/>
          <w:b/>
          <w:bCs/>
          <w:i w:val="false"/>
          <w:iCs w:val="false"/>
          <w:caps w:val="false"/>
          <w:color w:val="0A0A14"/>
          <w:sz w:val="24"/>
          <w:szCs w:val="24"/>
        </w:rPr>
        <w:t xml:space="preserve">El argumento para la empresa</w:t>
      </w:r>
    </w:p>
    <w:p>
      <w:pPr>
        <w:spacing w:before="40" w:after="80"/>
      </w:pPr>
      <w:r>
        <w:rPr>
          <w:rFonts w:ascii="Arial" w:cs="Arial" w:eastAsia="Arial" w:hAnsi="Arial"/>
          <w:b w:val="false"/>
          <w:bCs w:val="false"/>
          <w:i w:val="false"/>
          <w:iCs w:val="false"/>
          <w:caps w:val="false"/>
          <w:color w:val="555555"/>
          <w:sz w:val="19"/>
          <w:szCs w:val="19"/>
        </w:rPr>
        <w:t xml:space="preserve">Sonepar está invirtiendo en transformación digital. Schneider Electric — uno de sus proveedores principales — acaba de publicar resultados de su asistente con IA. Tú llegas con una herramienta funcionando, desplegada en producción, con documentación de desarrollo y un plan de evolución. Eso no es un proyecto de prácticas, eso es un activo de la empresa.</w:t>
      </w:r>
    </w:p>
    <w:p>
      <w:pPr>
        <w:spacing w:before="280" w:after="80"/>
      </w:pPr>
      <w:r>
        <w:rPr>
          <w:rFonts w:ascii="Arial" w:cs="Arial" w:eastAsia="Arial" w:hAnsi="Arial"/>
          <w:b/>
          <w:bCs/>
          <w:i w:val="false"/>
          <w:iCs w:val="false"/>
          <w:caps w:val="false"/>
          <w:color w:val="0A0A14"/>
          <w:sz w:val="24"/>
          <w:szCs w:val="24"/>
        </w:rPr>
        <w:t xml:space="preserve">Cómo presentarlo</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No lo presentes como 'proyecto de prácticas': </w:t>
      </w:r>
      <w:r>
        <w:rPr>
          <w:rFonts w:ascii="Arial" w:cs="Arial" w:eastAsia="Arial" w:hAnsi="Arial"/>
          <w:b w:val="false"/>
          <w:bCs w:val="false"/>
          <w:i w:val="false"/>
          <w:iCs w:val="false"/>
          <w:caps w:val="false"/>
          <w:color w:val="555555"/>
          <w:sz w:val="19"/>
          <w:szCs w:val="19"/>
        </w:rPr>
        <w:t xml:space="preserve">preséntalo como 'una herramienta que desarrollé para resolver un problema real del mostrador'.</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Lleva datos del sector: </w:t>
      </w:r>
      <w:r>
        <w:rPr>
          <w:rFonts w:ascii="Arial" w:cs="Arial" w:eastAsia="Arial" w:hAnsi="Arial"/>
          <w:b w:val="false"/>
          <w:bCs w:val="false"/>
          <w:i w:val="false"/>
          <w:iCs w:val="false"/>
          <w:caps w:val="false"/>
          <w:color w:val="555555"/>
          <w:sz w:val="19"/>
          <w:szCs w:val="19"/>
        </w:rPr>
        <w:t xml:space="preserve">los números de Schneider Electric y de Klarna son públicos y verificables. Úsalos para contextualizar.</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Propón el piloto en una delegación: </w:t>
      </w:r>
      <w:r>
        <w:rPr>
          <w:rFonts w:ascii="Arial" w:cs="Arial" w:eastAsia="Arial" w:hAnsi="Arial"/>
          <w:b w:val="false"/>
          <w:bCs w:val="false"/>
          <w:i w:val="false"/>
          <w:iCs w:val="false"/>
          <w:caps w:val="false"/>
          <w:color w:val="555555"/>
          <w:sz w:val="19"/>
          <w:szCs w:val="19"/>
        </w:rPr>
        <w:t xml:space="preserve">no pidas aprobación general. Propón: 'probemos en A Coruña durante un mes y medimos'. Es mucho más fácil de aprobar.</w:t>
      </w:r>
    </w:p>
    <w:p>
      <w:pPr>
        <w:pStyle w:val="ListParagraph"/>
        <w:numPr>
          <w:ilvl w:val="0"/>
          <w:numId w:val="2"/>
        </w:numPr>
        <w:spacing w:before="40" w:after="40"/>
      </w:pPr>
      <w:r>
        <w:rPr>
          <w:rFonts w:ascii="Arial" w:cs="Arial" w:eastAsia="Arial" w:hAnsi="Arial"/>
          <w:b/>
          <w:bCs/>
          <w:i w:val="false"/>
          <w:iCs w:val="false"/>
          <w:caps w:val="false"/>
          <w:color w:val="0A0A14"/>
          <w:sz w:val="19"/>
          <w:szCs w:val="19"/>
        </w:rPr>
        <w:t xml:space="preserve">Documenta el uso: </w:t>
      </w:r>
      <w:r>
        <w:rPr>
          <w:rFonts w:ascii="Arial" w:cs="Arial" w:eastAsia="Arial" w:hAnsi="Arial"/>
          <w:b w:val="false"/>
          <w:bCs w:val="false"/>
          <w:i w:val="false"/>
          <w:iCs w:val="false"/>
          <w:caps w:val="false"/>
          <w:color w:val="555555"/>
          <w:sz w:val="19"/>
          <w:szCs w:val="19"/>
        </w:rPr>
        <w:t xml:space="preserve">si consigues que lo usen aunque sea informalmente, anota cuántas consultas, qué tipo, qué dice el equipo. Son tus datos propios.</w:t>
      </w:r>
    </w:p>
    <w:p>
      <w:pPr>
        <w:spacing w:before="280" w:after="80"/>
      </w:pPr>
      <w:r>
        <w:rPr>
          <w:rFonts w:ascii="Arial" w:cs="Arial" w:eastAsia="Arial" w:hAnsi="Arial"/>
          <w:b/>
          <w:bCs/>
          <w:i w:val="false"/>
          <w:iCs w:val="false"/>
          <w:caps w:val="false"/>
          <w:color w:val="0A0A14"/>
          <w:sz w:val="24"/>
          <w:szCs w:val="24"/>
        </w:rPr>
        <w:t xml:space="preserve">El paso siguiente después de las prácticas</w:t>
      </w:r>
    </w:p>
    <w:p>
      <w:pPr>
        <w:spacing w:before="40" w:after="80"/>
      </w:pPr>
      <w:r>
        <w:rPr>
          <w:rFonts w:ascii="Arial" w:cs="Arial" w:eastAsia="Arial" w:hAnsi="Arial"/>
          <w:b w:val="false"/>
          <w:bCs w:val="false"/>
          <w:i w:val="false"/>
          <w:iCs w:val="false"/>
          <w:caps w:val="false"/>
          <w:color w:val="555555"/>
          <w:sz w:val="19"/>
          <w:szCs w:val="19"/>
        </w:rPr>
        <w:t xml:space="preserve">Si la empresa muestra interés, el argumento para continuar el desarrollo no es técnico — es comercial. Una herramienta como SONEX, bien integrada con el catálogo de Sonepar, es un diferencial frente a distribuidores que no tienen nada parecido. En el sector de distribución eléctrica B2B, el servicio técnico es el principal factor de fidelización. SONEX es servicio técnico escalable.</w:t>
      </w:r>
    </w:p>
    <w:p>
      <w:pPr>
        <w:pBdr>
          <w:bottom w:val="single" w:color="E0DBD4" w:sz="2" w:space="1"/>
        </w:pBdr>
        <w:spacing w:before="240" w:after="240"/>
      </w:pPr>
      <w:r>
        <w:rPr>
          <w:rFonts w:ascii="Arial" w:cs="Arial" w:eastAsia="Arial" w:hAnsi="Arial"/>
          <w:b w:val="false"/>
          <w:bCs w:val="false"/>
          <w:i w:val="false"/>
          <w:iCs w:val="false"/>
          <w:caps w:val="false"/>
          <w:color w:val="0A0A14"/>
          <w:sz w:val="19"/>
          <w:szCs w:val="19"/>
        </w:rPr>
        <w:t xml:space="preserve"/>
      </w:r>
    </w:p>
    <w:p>
      <w:pPr>
        <w:spacing w:before="0" w:after="0"/>
      </w:pPr>
      <w:r>
        <w:rPr>
          <w:rFonts w:ascii="Arial" w:cs="Arial" w:eastAsia="Arial" w:hAnsi="Arial"/>
          <w:b w:val="false"/>
          <w:bCs w:val="false"/>
          <w:i/>
          <w:iCs/>
          <w:caps w:val="false"/>
          <w:color w:val="999999"/>
          <w:sz w:val="16"/>
          <w:szCs w:val="16"/>
        </w:rPr>
        <w:t xml:space="preserve">SONEX · Hoja de Ruta · Iago Robo · Prácticas Sonepar A Coruña 2026 · Documento vivo — actualizar con cada versión</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2026-03-07T19:23:38.250Z</dcterms:created>
  <dcterms:modified xsi:type="dcterms:W3CDTF">2026-03-07T19:23:38.251Z</dcterms:modified>
</cp:coreProperties>
</file>

<file path=docProps/custom.xml><?xml version="1.0" encoding="utf-8"?>
<Properties xmlns="http://schemas.openxmlformats.org/officeDocument/2006/custom-properties" xmlns:vt="http://schemas.openxmlformats.org/officeDocument/2006/docPropsVTypes"/>
</file>