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A90D9" w:sz="6" w:space="1"/>
        </w:pBdr>
        <w:spacing w:before="0" w:after="100"/>
        <w:jc w:val="left"/>
      </w:pPr>
      <w:r>
        <w:rPr>
          <w:rFonts w:ascii="Arial" w:cs="Arial" w:eastAsia="Arial" w:hAnsi="Arial"/>
          <w:b/>
          <w:bCs/>
          <w:color w:val="003087"/>
          <w:sz w:val="20"/>
          <w:szCs w:val="20"/>
        </w:rPr>
        <w:t xml:space="preserve">SONEPAR TOOLS — CHANGELOG</w:t>
      </w:r>
    </w:p>
    <w:p>
      <w:pPr>
        <w:spacing w:before="120" w:after="0"/>
      </w:pPr>
      <w:r>
        <w:rPr>
          <w:rFonts w:ascii="Arial" w:cs="Arial" w:eastAsia="Arial" w:hAnsi="Arial"/>
          <w:sz w:val="22"/>
          <w:szCs w:val="22"/>
        </w:rPr>
        <w:t xml:space="preserve"/>
      </w:r>
    </w:p>
    <w:p>
      <w:pPr>
        <w:spacing w:before="0" w:after="80"/>
      </w:pPr>
      <w:r>
        <w:rPr>
          <w:rFonts w:ascii="Arial" w:cs="Arial" w:eastAsia="Arial" w:hAnsi="Arial"/>
          <w:b/>
          <w:bCs/>
          <w:color w:val="003087"/>
          <w:sz w:val="44"/>
          <w:szCs w:val="44"/>
        </w:rPr>
        <w:t xml:space="preserve">Dashboard de Incidencias Técnicas</w:t>
      </w:r>
    </w:p>
    <w:p>
      <w:pPr>
        <w:spacing w:before="0" w:after="60"/>
      </w:pPr>
      <w:r>
        <w:rPr>
          <w:rFonts w:ascii="Arial" w:cs="Arial" w:eastAsia="Arial" w:hAnsi="Arial"/>
          <w:b/>
          <w:bCs/>
          <w:color w:val="4A90D9"/>
          <w:sz w:val="26"/>
          <w:szCs w:val="26"/>
        </w:rPr>
        <w:t xml:space="preserve">Versión v3.0</w:t>
      </w:r>
      <w:r>
        <w:rPr>
          <w:rFonts w:ascii="Arial" w:cs="Arial" w:eastAsia="Arial" w:hAnsi="Arial"/>
          <w:color w:val="5C6080"/>
          <w:sz w:val="20"/>
          <w:szCs w:val="20"/>
        </w:rPr>
        <w:t xml:space="preserve">   |   Marzo 2026   |   Iago Robo   |   Sonepar España · A Coruña</w:t>
      </w:r>
    </w:p>
    <w:p>
      <w:pPr>
        <w:spacing w:before="0" w:after="200"/>
      </w:pPr>
      <w:r>
        <w:rPr>
          <w:rFonts w:ascii="Arial" w:cs="Arial" w:eastAsia="Arial" w:hAnsi="Arial"/>
          <w:i/>
          <w:iCs/>
          <w:color w:val="9399B2"/>
          <w:sz w:val="18"/>
          <w:szCs w:val="18"/>
        </w:rPr>
        <w:t xml:space="preserve">Archivo: dashboard-incidencias/sonepar-dashboard-incidencias-v3.jsx</w:t>
      </w:r>
    </w:p>
    <w:p>
      <w:pPr>
        <w:spacing w:before="0" w:after="240"/>
      </w:pPr>
      <w:r>
        <w:rPr>
          <w:rFonts w:ascii="Arial" w:cs="Arial" w:eastAsia="Arial" w:hAnsi="Arial"/>
          <w:color w:val="1A1F36"/>
          <w:sz w:val="22"/>
          <w:szCs w:val="22"/>
        </w:rPr>
        <w:t xml:space="preserve">Rediseño visual completo con el sistema de diseño corporativo Sonepar. La v3 mantiene el accent bar en rojo crítico como diferenciador de dominio, añade badges semaforizados para severidad y estado, y homogeniza KPIs, cards y panel de detalle con el resto del portfolio.</w:t>
      </w:r>
    </w:p>
    <w:p>
      <w:pPr>
        <w:pBdr>
          <w:bottom w:val="single" w:color="4A90D9" w:sz="4" w:space="1"/>
        </w:pBdr>
        <w:spacing w:before="300" w:after="120"/>
      </w:pPr>
      <w:r>
        <w:rPr>
          <w:rFonts w:ascii="Arial" w:cs="Arial" w:eastAsia="Arial" w:hAnsi="Arial"/>
          <w:b/>
          <w:bCs/>
          <w:color w:val="003087"/>
          <w:sz w:val="28"/>
          <w:szCs w:val="28"/>
        </w:rPr>
        <w:t xml:space="preserve">1. Resumen ejecutivo</w:t>
      </w:r>
    </w:p>
    <w:p>
      <w:pPr>
        <w:spacing w:before="100" w:after="100"/>
        <w:jc w:val="left"/>
      </w:pPr>
      <w:r>
        <w:rPr>
          <w:rFonts w:ascii="Arial" w:cs="Arial" w:eastAsia="Arial" w:hAnsi="Arial"/>
          <w:b w:val="false"/>
          <w:bCs w:val="false"/>
          <w:i w:val="false"/>
          <w:iCs w:val="false"/>
          <w:color w:val="1A1F36"/>
          <w:sz w:val="22"/>
          <w:szCs w:val="22"/>
        </w:rPr>
        <w:t xml:space="preserve">El Dashboard de Incidencias adopta en v3 el design system corporativo Sonepar. El acento rojo del header se preserva como identificador visual del dominio crítico (incidencias). Toda la funcionalidad de diagnóstico IA, gestión de estados y observaciones de seguimiento se mantiene intacta.</w:t>
      </w:r>
    </w:p>
    <w:p>
      <w:pPr>
        <w:pBdr>
          <w:bottom w:val="single" w:color="4A90D9" w:sz="4" w:space="1"/>
        </w:pBdr>
        <w:spacing w:before="300" w:after="120"/>
      </w:pPr>
      <w:r>
        <w:rPr>
          <w:rFonts w:ascii="Arial" w:cs="Arial" w:eastAsia="Arial" w:hAnsi="Arial"/>
          <w:b/>
          <w:bCs/>
          <w:color w:val="003087"/>
          <w:sz w:val="28"/>
          <w:szCs w:val="28"/>
        </w:rPr>
        <w:t xml:space="preserve">2. Registro de cambios</w:t>
      </w:r>
    </w:p>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TIPO</w:t>
            </w:r>
          </w:p>
        </w:tc>
        <w:tc>
          <w:tcPr>
            <w:tcW w:type="dxa" w:w="2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CAMBIO</w:t>
            </w:r>
          </w:p>
        </w:tc>
        <w:tc>
          <w:tcPr>
            <w:tcW w:type="dxa" w:w="496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DESCRIPCIÓN DETALLADA</w:t>
            </w:r>
          </w:p>
        </w:tc>
      </w:tr>
      <w:tr>
        <w:tc>
          <w:tcPr>
            <w:tcW w:type="dxa" w:w="1600"/>
            <w:tcBorders>
              <w:top w:val="single" w:color="D8DCE6" w:sz="1"/>
              <w:left w:val="single" w:color="D8DCE6" w:sz="1"/>
              <w:bottom w:val="single" w:color="D8DCE6" w:sz="1"/>
              <w:right w:val="single" w:color="D8DCE6" w:sz="1"/>
            </w:tcBorders>
            <w:shd w:fill="E8ECF5" w:val="clear"/>
            <w:tcMar>
              <w:top w:type="dxa" w:w="80"/>
              <w:left w:type="dxa" w:w="120"/>
              <w:bottom w:type="dxa" w:w="80"/>
              <w:right w:type="dxa" w:w="120"/>
            </w:tcMar>
            <w:vAlign w:val="center"/>
          </w:tcPr>
          <w:p>
            <w:pPr>
              <w:spacing w:before="0" w:after="0"/>
              <w:jc w:val="center"/>
            </w:pPr>
            <w:r>
              <w:rPr>
                <w:rFonts w:ascii="Arial" w:cs="Arial" w:eastAsia="Arial" w:hAnsi="Arial"/>
                <w:b/>
                <w:bCs/>
                <w:color w:val="003087"/>
                <w:sz w:val="18"/>
                <w:szCs w:val="18"/>
              </w:rPr>
              <w:t xml:space="preserve">REDISEÑO</w:t>
            </w:r>
          </w:p>
        </w:tc>
        <w:tc>
          <w:tcPr>
            <w:tcW w:type="dxa" w:w="28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Header corporativo</w:t>
            </w:r>
          </w:p>
        </w:tc>
        <w:tc>
          <w:tcPr>
            <w:tcW w:type="dxa" w:w="496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Fondo navy #003087, accent bar en degradado rojo (#C62828) como diferenciador de dominio crítico. Logo SVG orbital. Botones LISTADO / + NUEVA en azul activo.</w:t>
            </w:r>
          </w:p>
        </w:tc>
      </w:tr>
      <w:tr>
        <w:tc>
          <w:tcPr>
            <w:tcW w:type="dxa" w:w="1600"/>
            <w:tcBorders>
              <w:top w:val="single" w:color="D8DCE6" w:sz="1"/>
              <w:left w:val="single" w:color="D8DCE6" w:sz="1"/>
              <w:bottom w:val="single" w:color="D8DCE6" w:sz="1"/>
              <w:right w:val="single" w:color="D8DCE6" w:sz="1"/>
            </w:tcBorders>
            <w:shd w:fill="E8ECF5" w:val="clear"/>
            <w:tcMar>
              <w:top w:type="dxa" w:w="80"/>
              <w:left w:type="dxa" w:w="120"/>
              <w:bottom w:type="dxa" w:w="80"/>
              <w:right w:type="dxa" w:w="120"/>
            </w:tcMar>
            <w:vAlign w:val="center"/>
          </w:tcPr>
          <w:p>
            <w:pPr>
              <w:spacing w:before="0" w:after="0"/>
              <w:jc w:val="center"/>
            </w:pPr>
            <w:r>
              <w:rPr>
                <w:rFonts w:ascii="Arial" w:cs="Arial" w:eastAsia="Arial" w:hAnsi="Arial"/>
                <w:b/>
                <w:bCs/>
                <w:color w:val="003087"/>
                <w:sz w:val="18"/>
                <w:szCs w:val="18"/>
              </w:rPr>
              <w:t xml:space="preserve">REDISEÑO</w:t>
            </w:r>
          </w:p>
        </w:tc>
        <w:tc>
          <w:tcPr>
            <w:tcW w:type="dxa" w:w="28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KPI row</w:t>
            </w:r>
          </w:p>
        </w:tc>
        <w:tc>
          <w:tcPr>
            <w:tcW w:type="dxa" w:w="496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4 métricas (Críticas Activas, Abiertas, En Diagnóstico, Resueltas) en cards blancos. Críticas en rojo, Resueltas en verde optimal.</w:t>
            </w:r>
          </w:p>
        </w:tc>
      </w:tr>
      <w:tr>
        <w:tc>
          <w:tcPr>
            <w:tcW w:type="dxa" w:w="1600"/>
            <w:tcBorders>
              <w:top w:val="single" w:color="D8DCE6" w:sz="1"/>
              <w:left w:val="single" w:color="D8DCE6" w:sz="1"/>
              <w:bottom w:val="single" w:color="D8DCE6" w:sz="1"/>
              <w:right w:val="single" w:color="D8DCE6" w:sz="1"/>
            </w:tcBorders>
            <w:shd w:fill="E8F5EE" w:val="clear"/>
            <w:tcMar>
              <w:top w:type="dxa" w:w="80"/>
              <w:left w:type="dxa" w:w="120"/>
              <w:bottom w:type="dxa" w:w="80"/>
              <w:right w:type="dxa" w:w="120"/>
            </w:tcMar>
            <w:vAlign w:val="center"/>
          </w:tcPr>
          <w:p>
            <w:pPr>
              <w:spacing w:before="0" w:after="0"/>
              <w:jc w:val="center"/>
            </w:pPr>
            <w:r>
              <w:rPr>
                <w:rFonts w:ascii="Arial" w:cs="Arial" w:eastAsia="Arial" w:hAnsi="Arial"/>
                <w:b/>
                <w:bCs/>
                <w:color w:val="1B6B3A"/>
                <w:sz w:val="18"/>
                <w:szCs w:val="18"/>
              </w:rPr>
              <w:t xml:space="preserve">NUEVO</w:t>
            </w:r>
          </w:p>
        </w:tc>
        <w:tc>
          <w:tcPr>
            <w:tcW w:type="dxa" w:w="28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Componentes badge</w:t>
            </w:r>
          </w:p>
        </w:tc>
        <w:tc>
          <w:tcPr>
            <w:tcW w:type="dxa" w:w="496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SevBadge y EstBadge: badges con background/color semaforizados del design system. Aplicados en lista y panel detalle.</w:t>
            </w:r>
          </w:p>
        </w:tc>
      </w:tr>
      <w:tr>
        <w:tc>
          <w:tcPr>
            <w:tcW w:type="dxa" w:w="1600"/>
            <w:tcBorders>
              <w:top w:val="single" w:color="D8DCE6" w:sz="1"/>
              <w:left w:val="single" w:color="D8DCE6" w:sz="1"/>
              <w:bottom w:val="single" w:color="D8DCE6" w:sz="1"/>
              <w:right w:val="single" w:color="D8DCE6" w:sz="1"/>
            </w:tcBorders>
            <w:shd w:fill="E8ECF5" w:val="clear"/>
            <w:tcMar>
              <w:top w:type="dxa" w:w="80"/>
              <w:left w:type="dxa" w:w="120"/>
              <w:bottom w:type="dxa" w:w="80"/>
              <w:right w:type="dxa" w:w="120"/>
            </w:tcMar>
            <w:vAlign w:val="center"/>
          </w:tcPr>
          <w:p>
            <w:pPr>
              <w:spacing w:before="0" w:after="0"/>
              <w:jc w:val="center"/>
            </w:pPr>
            <w:r>
              <w:rPr>
                <w:rFonts w:ascii="Arial" w:cs="Arial" w:eastAsia="Arial" w:hAnsi="Arial"/>
                <w:b/>
                <w:bCs/>
                <w:color w:val="003087"/>
                <w:sz w:val="18"/>
                <w:szCs w:val="18"/>
              </w:rPr>
              <w:t xml:space="preserve">REDISEÑO</w:t>
            </w:r>
          </w:p>
        </w:tc>
        <w:tc>
          <w:tcPr>
            <w:tcW w:type="dxa" w:w="28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Tabla de incidencias</w:t>
            </w:r>
          </w:p>
        </w:tc>
        <w:tc>
          <w:tcPr>
            <w:tcW w:type="dxa" w:w="496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Border-radius 8px, header navy, filas alternadas blanco/F5F6F8, borde izquierdo 3px con color de severidad, hover blueBg.</w:t>
            </w:r>
          </w:p>
        </w:tc>
      </w:tr>
      <w:tr>
        <w:tc>
          <w:tcPr>
            <w:tcW w:type="dxa" w:w="1600"/>
            <w:tcBorders>
              <w:top w:val="single" w:color="D8DCE6" w:sz="1"/>
              <w:left w:val="single" w:color="D8DCE6" w:sz="1"/>
              <w:bottom w:val="single" w:color="D8DCE6" w:sz="1"/>
              <w:right w:val="single" w:color="D8DCE6" w:sz="1"/>
            </w:tcBorders>
            <w:shd w:fill="E8ECF5" w:val="clear"/>
            <w:tcMar>
              <w:top w:type="dxa" w:w="80"/>
              <w:left w:type="dxa" w:w="120"/>
              <w:bottom w:type="dxa" w:w="80"/>
              <w:right w:type="dxa" w:w="120"/>
            </w:tcMar>
            <w:vAlign w:val="center"/>
          </w:tcPr>
          <w:p>
            <w:pPr>
              <w:spacing w:before="0" w:after="0"/>
              <w:jc w:val="center"/>
            </w:pPr>
            <w:r>
              <w:rPr>
                <w:rFonts w:ascii="Arial" w:cs="Arial" w:eastAsia="Arial" w:hAnsi="Arial"/>
                <w:b/>
                <w:bCs/>
                <w:color w:val="003087"/>
                <w:sz w:val="18"/>
                <w:szCs w:val="18"/>
              </w:rPr>
              <w:t xml:space="preserve">REDISEÑO</w:t>
            </w:r>
          </w:p>
        </w:tc>
        <w:tc>
          <w:tcPr>
            <w:tcW w:type="dxa" w:w="28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Panel de detalle</w:t>
            </w:r>
          </w:p>
        </w:tc>
        <w:tc>
          <w:tcPr>
            <w:tcW w:type="dxa" w:w="496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Diseño limpio con separadores, borde izquierdo con color de severidad en el bloque de síntoma. Listas numeradas con círculos navy.</w:t>
            </w:r>
          </w:p>
        </w:tc>
      </w:tr>
      <w:tr>
        <w:tc>
          <w:tcPr>
            <w:tcW w:type="dxa" w:w="1600"/>
            <w:tcBorders>
              <w:top w:val="single" w:color="D8DCE6" w:sz="1"/>
              <w:left w:val="single" w:color="D8DCE6" w:sz="1"/>
              <w:bottom w:val="single" w:color="D8DCE6" w:sz="1"/>
              <w:right w:val="single" w:color="D8DCE6" w:sz="1"/>
            </w:tcBorders>
            <w:shd w:fill="E8ECF5" w:val="clear"/>
            <w:tcMar>
              <w:top w:type="dxa" w:w="80"/>
              <w:left w:type="dxa" w:w="120"/>
              <w:bottom w:type="dxa" w:w="80"/>
              <w:right w:type="dxa" w:w="120"/>
            </w:tcMar>
            <w:vAlign w:val="center"/>
          </w:tcPr>
          <w:p>
            <w:pPr>
              <w:spacing w:before="0" w:after="0"/>
              <w:jc w:val="center"/>
            </w:pPr>
            <w:r>
              <w:rPr>
                <w:rFonts w:ascii="Arial" w:cs="Arial" w:eastAsia="Arial" w:hAnsi="Arial"/>
                <w:b/>
                <w:bCs/>
                <w:color w:val="003087"/>
                <w:sz w:val="18"/>
                <w:szCs w:val="18"/>
              </w:rPr>
              <w:t xml:space="preserve">REDISEÑO</w:t>
            </w:r>
          </w:p>
        </w:tc>
        <w:tc>
          <w:tcPr>
            <w:tcW w:type="dxa" w:w="28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Botones de estado</w:t>
            </w:r>
          </w:p>
        </w:tc>
        <w:tc>
          <w:tcPr>
            <w:tcW w:type="dxa" w:w="496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Botones outline con background de color semaforizados (criticalBg/blueBg/optimalBg/purpleBg) según estado destino.</w:t>
            </w:r>
          </w:p>
        </w:tc>
      </w:tr>
      <w:tr>
        <w:tc>
          <w:tcPr>
            <w:tcW w:type="dxa" w:w="1600"/>
            <w:tcBorders>
              <w:top w:val="single" w:color="D8DCE6" w:sz="1"/>
              <w:left w:val="single" w:color="D8DCE6" w:sz="1"/>
              <w:bottom w:val="single" w:color="D8DCE6" w:sz="1"/>
              <w:right w:val="single" w:color="D8DCE6" w:sz="1"/>
            </w:tcBorders>
            <w:shd w:fill="E8ECF5" w:val="clear"/>
            <w:tcMar>
              <w:top w:type="dxa" w:w="80"/>
              <w:left w:type="dxa" w:w="120"/>
              <w:bottom w:type="dxa" w:w="80"/>
              <w:right w:type="dxa" w:w="120"/>
            </w:tcMar>
            <w:vAlign w:val="center"/>
          </w:tcPr>
          <w:p>
            <w:pPr>
              <w:spacing w:before="0" w:after="0"/>
              <w:jc w:val="center"/>
            </w:pPr>
            <w:r>
              <w:rPr>
                <w:rFonts w:ascii="Arial" w:cs="Arial" w:eastAsia="Arial" w:hAnsi="Arial"/>
                <w:b/>
                <w:bCs/>
                <w:color w:val="003087"/>
                <w:sz w:val="18"/>
                <w:szCs w:val="18"/>
              </w:rPr>
              <w:t xml:space="preserve">REDISEÑO</w:t>
            </w:r>
          </w:p>
        </w:tc>
        <w:tc>
          <w:tcPr>
            <w:tcW w:type="dxa" w:w="28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Filtros</w:t>
            </w:r>
          </w:p>
        </w:tc>
        <w:tc>
          <w:tcPr>
            <w:tcW w:type="dxa" w:w="496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Pills con border y background activo por color de estado/severidad. Hover/active consistente con el design system.</w:t>
            </w:r>
          </w:p>
        </w:tc>
      </w:tr>
      <w:tr>
        <w:tc>
          <w:tcPr>
            <w:tcW w:type="dxa" w:w="1600"/>
            <w:tcBorders>
              <w:top w:val="single" w:color="D8DCE6" w:sz="1"/>
              <w:left w:val="single" w:color="D8DCE6" w:sz="1"/>
              <w:bottom w:val="single" w:color="D8DCE6" w:sz="1"/>
              <w:right w:val="single" w:color="D8DCE6" w:sz="1"/>
            </w:tcBorders>
            <w:shd w:fill="E8ECF5" w:val="clear"/>
            <w:tcMar>
              <w:top w:type="dxa" w:w="80"/>
              <w:left w:type="dxa" w:w="120"/>
              <w:bottom w:type="dxa" w:w="80"/>
              <w:right w:type="dxa" w:w="120"/>
            </w:tcMar>
            <w:vAlign w:val="center"/>
          </w:tcPr>
          <w:p>
            <w:pPr>
              <w:spacing w:before="0" w:after="0"/>
              <w:jc w:val="center"/>
            </w:pPr>
            <w:r>
              <w:rPr>
                <w:rFonts w:ascii="Arial" w:cs="Arial" w:eastAsia="Arial" w:hAnsi="Arial"/>
                <w:b/>
                <w:bCs/>
                <w:color w:val="003087"/>
                <w:sz w:val="18"/>
                <w:szCs w:val="18"/>
              </w:rPr>
              <w:t xml:space="preserve">REDISEÑO</w:t>
            </w:r>
          </w:p>
        </w:tc>
        <w:tc>
          <w:tcPr>
            <w:tcW w:type="dxa" w:w="28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Diagnóstico IA</w:t>
            </w:r>
          </w:p>
        </w:tc>
        <w:tc>
          <w:tcPr>
            <w:tcW w:type="dxa" w:w="496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Card con punto azul indicador, bloques causa/solución con borde izquierdo coloreado (rojo/blue), pasos con numeración circular navy.</w:t>
            </w:r>
          </w:p>
        </w:tc>
      </w:tr>
      <w:tr>
        <w:tc>
          <w:tcPr>
            <w:tcW w:type="dxa" w:w="1600"/>
            <w:tcBorders>
              <w:top w:val="single" w:color="D8DCE6" w:sz="1"/>
              <w:left w:val="single" w:color="D8DCE6" w:sz="1"/>
              <w:bottom w:val="single" w:color="D8DCE6" w:sz="1"/>
              <w:right w:val="single" w:color="D8DCE6" w:sz="1"/>
            </w:tcBorders>
            <w:shd w:fill="E8ECF5" w:val="clear"/>
            <w:tcMar>
              <w:top w:type="dxa" w:w="80"/>
              <w:left w:type="dxa" w:w="120"/>
              <w:bottom w:type="dxa" w:w="80"/>
              <w:right w:type="dxa" w:w="120"/>
            </w:tcMar>
            <w:vAlign w:val="center"/>
          </w:tcPr>
          <w:p>
            <w:pPr>
              <w:spacing w:before="0" w:after="0"/>
              <w:jc w:val="center"/>
            </w:pPr>
            <w:r>
              <w:rPr>
                <w:rFonts w:ascii="Arial" w:cs="Arial" w:eastAsia="Arial" w:hAnsi="Arial"/>
                <w:b/>
                <w:bCs/>
                <w:color w:val="003087"/>
                <w:sz w:val="18"/>
                <w:szCs w:val="18"/>
              </w:rPr>
              <w:t xml:space="preserve">REDISEÑO</w:t>
            </w:r>
          </w:p>
        </w:tc>
        <w:tc>
          <w:tcPr>
            <w:tcW w:type="dxa" w:w="28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Stats resolución</w:t>
            </w:r>
          </w:p>
        </w:tc>
        <w:tc>
          <w:tcPr>
            <w:tcW w:type="dxa" w:w="496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Cards en bg F5F6F8 con border-radius 7px, valor en 20px navy.</w:t>
            </w:r>
          </w:p>
        </w:tc>
      </w:tr>
      <w:tr>
        <w:tc>
          <w:tcPr>
            <w:tcW w:type="dxa" w:w="1600"/>
            <w:tcBorders>
              <w:top w:val="single" w:color="D8DCE6" w:sz="1"/>
              <w:left w:val="single" w:color="D8DCE6" w:sz="1"/>
              <w:bottom w:val="single" w:color="D8DCE6" w:sz="1"/>
              <w:right w:val="single" w:color="D8DCE6" w:sz="1"/>
            </w:tcBorders>
            <w:shd w:fill="E8ECF5" w:val="clear"/>
            <w:tcMar>
              <w:top w:type="dxa" w:w="80"/>
              <w:left w:type="dxa" w:w="120"/>
              <w:bottom w:type="dxa" w:w="80"/>
              <w:right w:type="dxa" w:w="120"/>
            </w:tcMar>
            <w:vAlign w:val="center"/>
          </w:tcPr>
          <w:p>
            <w:pPr>
              <w:spacing w:before="0" w:after="0"/>
              <w:jc w:val="center"/>
            </w:pPr>
            <w:r>
              <w:rPr>
                <w:rFonts w:ascii="Arial" w:cs="Arial" w:eastAsia="Arial" w:hAnsi="Arial"/>
                <w:b/>
                <w:bCs/>
                <w:color w:val="003087"/>
                <w:sz w:val="18"/>
                <w:szCs w:val="18"/>
              </w:rPr>
              <w:t xml:space="preserve">REDISEÑO</w:t>
            </w:r>
          </w:p>
        </w:tc>
        <w:tc>
          <w:tcPr>
            <w:tcW w:type="dxa" w:w="28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Alerta crítica</w:t>
            </w:r>
          </w:p>
        </w:tc>
        <w:tc>
          <w:tcPr>
            <w:tcW w:type="dxa" w:w="496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Banner criticalBg con badge CRÍTICO rojo, tipografía consistente.</w:t>
            </w:r>
          </w:p>
        </w:tc>
      </w:tr>
      <w:tr>
        <w:tc>
          <w:tcPr>
            <w:tcW w:type="dxa" w:w="1600"/>
            <w:tcBorders>
              <w:top w:val="single" w:color="D8DCE6" w:sz="1"/>
              <w:left w:val="single" w:color="D8DCE6" w:sz="1"/>
              <w:bottom w:val="single" w:color="D8DCE6" w:sz="1"/>
              <w:right w:val="single" w:color="D8DCE6" w:sz="1"/>
            </w:tcBorders>
            <w:shd w:fill="E8ECF5" w:val="clear"/>
            <w:tcMar>
              <w:top w:type="dxa" w:w="80"/>
              <w:left w:type="dxa" w:w="120"/>
              <w:bottom w:type="dxa" w:w="80"/>
              <w:right w:type="dxa" w:w="120"/>
            </w:tcMar>
            <w:vAlign w:val="center"/>
          </w:tcPr>
          <w:p>
            <w:pPr>
              <w:spacing w:before="0" w:after="0"/>
              <w:jc w:val="center"/>
            </w:pPr>
            <w:r>
              <w:rPr>
                <w:rFonts w:ascii="Arial" w:cs="Arial" w:eastAsia="Arial" w:hAnsi="Arial"/>
                <w:b/>
                <w:bCs/>
                <w:color w:val="003087"/>
                <w:sz w:val="18"/>
                <w:szCs w:val="18"/>
              </w:rPr>
              <w:t xml:space="preserve">REDISEÑO</w:t>
            </w:r>
          </w:p>
        </w:tc>
        <w:tc>
          <w:tcPr>
            <w:tcW w:type="dxa" w:w="28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Formulario nueva incidencia</w:t>
            </w:r>
          </w:p>
        </w:tc>
        <w:tc>
          <w:tcPr>
            <w:tcW w:type="dxa" w:w="496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Inputs border-radius 6px, selector severidad con color dinámico, botón de registro navy.</w:t>
            </w:r>
          </w:p>
        </w:tc>
      </w:tr>
      <w:tr>
        <w:tc>
          <w:tcPr>
            <w:tcW w:type="dxa" w:w="1600"/>
            <w:tcBorders>
              <w:top w:val="single" w:color="D8DCE6" w:sz="1"/>
              <w:left w:val="single" w:color="D8DCE6" w:sz="1"/>
              <w:bottom w:val="single" w:color="D8DCE6" w:sz="1"/>
              <w:right w:val="single" w:color="D8DCE6" w:sz="1"/>
            </w:tcBorders>
            <w:shd w:fill="E8ECF5" w:val="clear"/>
            <w:tcMar>
              <w:top w:type="dxa" w:w="80"/>
              <w:left w:type="dxa" w:w="120"/>
              <w:bottom w:type="dxa" w:w="80"/>
              <w:right w:type="dxa" w:w="120"/>
            </w:tcMar>
            <w:vAlign w:val="center"/>
          </w:tcPr>
          <w:p>
            <w:pPr>
              <w:spacing w:before="0" w:after="0"/>
              <w:jc w:val="center"/>
            </w:pPr>
            <w:r>
              <w:rPr>
                <w:rFonts w:ascii="Arial" w:cs="Arial" w:eastAsia="Arial" w:hAnsi="Arial"/>
                <w:b/>
                <w:bCs/>
                <w:color w:val="003087"/>
                <w:sz w:val="18"/>
                <w:szCs w:val="18"/>
              </w:rPr>
              <w:t xml:space="preserve">REDISEÑO</w:t>
            </w:r>
          </w:p>
        </w:tc>
        <w:tc>
          <w:tcPr>
            <w:tcW w:type="dxa" w:w="28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ObservacionesEditor</w:t>
            </w:r>
          </w:p>
        </w:tc>
        <w:tc>
          <w:tcPr>
            <w:tcW w:type="dxa" w:w="496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Textarea con border-radius 6px, botón Guardar navy, contador de caracteres en textMuted.</w:t>
            </w:r>
          </w:p>
        </w:tc>
      </w:tr>
      <w:tr>
        <w:tc>
          <w:tcPr>
            <w:tcW w:type="dxa" w:w="1600"/>
            <w:tcBorders>
              <w:top w:val="single" w:color="D8DCE6" w:sz="1"/>
              <w:left w:val="single" w:color="D8DCE6" w:sz="1"/>
              <w:bottom w:val="single" w:color="D8DCE6" w:sz="1"/>
              <w:right w:val="single" w:color="D8DCE6" w:sz="1"/>
            </w:tcBorders>
            <w:shd w:fill="E8ECF5" w:val="clear"/>
            <w:tcMar>
              <w:top w:type="dxa" w:w="80"/>
              <w:left w:type="dxa" w:w="120"/>
              <w:bottom w:type="dxa" w:w="80"/>
              <w:right w:type="dxa" w:w="120"/>
            </w:tcMar>
            <w:vAlign w:val="center"/>
          </w:tcPr>
          <w:p>
            <w:pPr>
              <w:spacing w:before="0" w:after="0"/>
              <w:jc w:val="center"/>
            </w:pPr>
            <w:r>
              <w:rPr>
                <w:rFonts w:ascii="Arial" w:cs="Arial" w:eastAsia="Arial" w:hAnsi="Arial"/>
                <w:b/>
                <w:bCs/>
                <w:color w:val="003087"/>
                <w:sz w:val="18"/>
                <w:szCs w:val="18"/>
              </w:rPr>
              <w:t xml:space="preserve">REDISEÑO</w:t>
            </w:r>
          </w:p>
        </w:tc>
        <w:tc>
          <w:tcPr>
            <w:tcW w:type="dxa" w:w="28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Toast</w:t>
            </w:r>
          </w:p>
        </w:tc>
        <w:tc>
          <w:tcPr>
            <w:tcW w:type="dxa" w:w="496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Notificación navy con texto blanco, border-radius 8px, box-shadow tintado.</w:t>
            </w:r>
          </w:p>
        </w:tc>
      </w:tr>
      <w:tr>
        <w:tc>
          <w:tcPr>
            <w:tcW w:type="dxa" w:w="1600"/>
            <w:tcBorders>
              <w:top w:val="single" w:color="D8DCE6" w:sz="1"/>
              <w:left w:val="single" w:color="D8DCE6" w:sz="1"/>
              <w:bottom w:val="single" w:color="D8DCE6" w:sz="1"/>
              <w:right w:val="single" w:color="D8DCE6" w:sz="1"/>
            </w:tcBorders>
            <w:shd w:fill="F0F1F5" w:val="clear"/>
            <w:tcMar>
              <w:top w:type="dxa" w:w="80"/>
              <w:left w:type="dxa" w:w="120"/>
              <w:bottom w:type="dxa" w:w="80"/>
              <w:right w:type="dxa" w:w="120"/>
            </w:tcMar>
            <w:vAlign w:val="center"/>
          </w:tcPr>
          <w:p>
            <w:pPr>
              <w:spacing w:before="0" w:after="0"/>
              <w:jc w:val="center"/>
            </w:pPr>
            <w:r>
              <w:rPr>
                <w:rFonts w:ascii="Arial" w:cs="Arial" w:eastAsia="Arial" w:hAnsi="Arial"/>
                <w:b/>
                <w:bCs/>
                <w:color w:val="5C6080"/>
                <w:sz w:val="18"/>
                <w:szCs w:val="18"/>
              </w:rPr>
              <w:t xml:space="preserve">TÉCNICO</w:t>
            </w:r>
          </w:p>
        </w:tc>
        <w:tc>
          <w:tcPr>
            <w:tcW w:type="dxa" w:w="28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Eliminación fuentes mono</w:t>
            </w:r>
          </w:p>
        </w:tc>
        <w:tc>
          <w:tcPr>
            <w:tcW w:type="dxa" w:w="496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Courier New eliminado. Toda la interfaz usa system-ui.</w:t>
            </w:r>
          </w:p>
        </w:tc>
      </w:tr>
      <w:tr>
        <w:tc>
          <w:tcPr>
            <w:tcW w:type="dxa" w:w="1600"/>
            <w:tcBorders>
              <w:top w:val="single" w:color="D8DCE6" w:sz="1"/>
              <w:left w:val="single" w:color="D8DCE6" w:sz="1"/>
              <w:bottom w:val="single" w:color="D8DCE6" w:sz="1"/>
              <w:right w:val="single" w:color="D8DCE6" w:sz="1"/>
            </w:tcBorders>
            <w:shd w:fill="F0F1F5" w:val="clear"/>
            <w:tcMar>
              <w:top w:type="dxa" w:w="80"/>
              <w:left w:type="dxa" w:w="120"/>
              <w:bottom w:type="dxa" w:w="80"/>
              <w:right w:type="dxa" w:w="120"/>
            </w:tcMar>
            <w:vAlign w:val="center"/>
          </w:tcPr>
          <w:p>
            <w:pPr>
              <w:spacing w:before="0" w:after="0"/>
              <w:jc w:val="center"/>
            </w:pPr>
            <w:r>
              <w:rPr>
                <w:rFonts w:ascii="Arial" w:cs="Arial" w:eastAsia="Arial" w:hAnsi="Arial"/>
                <w:b/>
                <w:bCs/>
                <w:color w:val="5C6080"/>
                <w:sz w:val="18"/>
                <w:szCs w:val="18"/>
              </w:rPr>
              <w:t xml:space="preserve">TÉCNICO</w:t>
            </w:r>
          </w:p>
        </w:tc>
        <w:tc>
          <w:tcPr>
            <w:tcW w:type="dxa" w:w="28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Objeto C centralizado</w:t>
            </w:r>
          </w:p>
        </w:tc>
        <w:tc>
          <w:tcPr>
            <w:tcW w:type="dxa" w:w="496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Tokens de color en objeto C. Colores SEV_COLOR, SEV_BG, EST_COLOR, EST_BG para semáforo de severidad/estado.</w:t>
            </w:r>
          </w:p>
        </w:tc>
      </w:tr>
      <w:tr>
        <w:tc>
          <w:tcPr>
            <w:tcW w:type="dxa" w:w="1600"/>
            <w:tcBorders>
              <w:top w:val="single" w:color="D8DCE6" w:sz="1"/>
              <w:left w:val="single" w:color="D8DCE6" w:sz="1"/>
              <w:bottom w:val="single" w:color="D8DCE6" w:sz="1"/>
              <w:right w:val="single" w:color="D8DCE6" w:sz="1"/>
            </w:tcBorders>
            <w:shd w:fill="F0F1F5" w:val="clear"/>
            <w:tcMar>
              <w:top w:type="dxa" w:w="80"/>
              <w:left w:type="dxa" w:w="120"/>
              <w:bottom w:type="dxa" w:w="80"/>
              <w:right w:type="dxa" w:w="120"/>
            </w:tcMar>
            <w:vAlign w:val="center"/>
          </w:tcPr>
          <w:p>
            <w:pPr>
              <w:spacing w:before="0" w:after="0"/>
              <w:jc w:val="center"/>
            </w:pPr>
            <w:r>
              <w:rPr>
                <w:rFonts w:ascii="Arial" w:cs="Arial" w:eastAsia="Arial" w:hAnsi="Arial"/>
                <w:b/>
                <w:bCs/>
                <w:color w:val="5C6080"/>
                <w:sz w:val="18"/>
                <w:szCs w:val="18"/>
              </w:rPr>
              <w:t xml:space="preserve">TÉCNICO</w:t>
            </w:r>
          </w:p>
        </w:tc>
        <w:tc>
          <w:tcPr>
            <w:tcW w:type="dxa" w:w="28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b/>
                <w:bCs/>
                <w:color w:val="1A1F36"/>
                <w:sz w:val="20"/>
                <w:szCs w:val="20"/>
              </w:rPr>
              <w:t xml:space="preserve">Purple añadido al design sys</w:t>
            </w:r>
          </w:p>
        </w:tc>
        <w:tc>
          <w:tcPr>
            <w:tcW w:type="dxa" w:w="496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vAlign w:val="center"/>
          </w:tcPr>
          <w:p>
            <w:pPr>
              <w:spacing w:before="0" w:after="0"/>
            </w:pPr>
            <w:r>
              <w:rPr>
                <w:rFonts w:ascii="Arial" w:cs="Arial" w:eastAsia="Arial" w:hAnsi="Arial"/>
                <w:color w:val="5C6080"/>
                <w:sz w:val="20"/>
                <w:szCs w:val="20"/>
              </w:rPr>
              <w:t xml:space="preserve">Color #6A1B9A / purpleBg #F3E5F5 añadidos para el estado En diagnóstico, manteniendo coherencia visual.</w:t>
            </w:r>
          </w:p>
        </w:tc>
      </w:tr>
    </w:tbl>
    <w:p>
      <w:pPr>
        <w:spacing w:before="200" w:after="0"/>
      </w:pPr>
      <w:r>
        <w:rPr>
          <w:rFonts w:ascii="Arial" w:cs="Arial" w:eastAsia="Arial" w:hAnsi="Arial"/>
          <w:sz w:val="22"/>
          <w:szCs w:val="22"/>
        </w:rPr>
        <w:t xml:space="preserve"/>
      </w:r>
    </w:p>
    <w:p>
      <w:pPr>
        <w:pBdr>
          <w:bottom w:val="single" w:color="4A90D9" w:sz="4" w:space="1"/>
        </w:pBdr>
        <w:spacing w:before="300" w:after="120"/>
      </w:pPr>
      <w:r>
        <w:rPr>
          <w:rFonts w:ascii="Arial" w:cs="Arial" w:eastAsia="Arial" w:hAnsi="Arial"/>
          <w:b/>
          <w:bCs/>
          <w:color w:val="003087"/>
          <w:sz w:val="28"/>
          <w:szCs w:val="28"/>
        </w:rPr>
        <w:t xml:space="preserve">3. Comparativa antes/después</w:t>
      </w:r>
    </w:p>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80"/>
        <w:gridCol w:w="3580"/>
      </w:tblGrid>
      <w:tr>
        <w:trPr>
          <w:tblHeader/>
        </w:trPr>
        <w:tc>
          <w:tcPr>
            <w:tcW w:type="dxa" w:w="3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INDICADOR</w:t>
            </w:r>
          </w:p>
        </w:tc>
        <w:tc>
          <w:tcPr>
            <w:tcW w:type="dxa" w:w="258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v2 — ANTES</w:t>
            </w:r>
          </w:p>
        </w:tc>
        <w:tc>
          <w:tcPr>
            <w:tcW w:type="dxa" w:w="358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v3 — DESPUÉS</w:t>
            </w:r>
          </w:p>
        </w:tc>
      </w:tr>
      <w:tr>
        <w:tc>
          <w:tcPr>
            <w:tcW w:type="dxa" w:w="3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tcPr>
          <w:p>
            <w:pPr>
              <w:spacing w:before="0" w:after="0"/>
            </w:pPr>
            <w:r>
              <w:rPr>
                <w:rFonts w:ascii="Arial" w:cs="Arial" w:eastAsia="Arial" w:hAnsi="Arial"/>
                <w:b/>
                <w:bCs/>
                <w:color w:val="1A1F36"/>
                <w:sz w:val="20"/>
                <w:szCs w:val="20"/>
              </w:rPr>
              <w:t xml:space="preserve">Fuente principal</w:t>
            </w:r>
          </w:p>
        </w:tc>
        <w:tc>
          <w:tcPr>
            <w:tcW w:type="dxa" w:w="2580"/>
            <w:tcBorders>
              <w:top w:val="single" w:color="D8DCE6" w:sz="1"/>
              <w:left w:val="single" w:color="D8DCE6" w:sz="1"/>
              <w:bottom w:val="single" w:color="D8DCE6" w:sz="1"/>
              <w:right w:val="single" w:color="D8DCE6" w:sz="1"/>
            </w:tcBorders>
            <w:shd w:fill="FDEDED" w:val="clear"/>
            <w:tcMar>
              <w:top w:type="dxa" w:w="80"/>
              <w:left w:type="dxa" w:w="120"/>
              <w:bottom w:type="dxa" w:w="80"/>
              <w:right w:type="dxa" w:w="120"/>
            </w:tcMar>
          </w:tcPr>
          <w:p>
            <w:pPr>
              <w:spacing w:before="0" w:after="0"/>
            </w:pPr>
            <w:r>
              <w:rPr>
                <w:rFonts w:ascii="Arial" w:cs="Arial" w:eastAsia="Arial" w:hAnsi="Arial"/>
                <w:color w:val="C62828"/>
                <w:sz w:val="20"/>
                <w:szCs w:val="20"/>
              </w:rPr>
              <w:t xml:space="preserve">Georgia (serif)</w:t>
            </w:r>
          </w:p>
        </w:tc>
        <w:tc>
          <w:tcPr>
            <w:tcW w:type="dxa" w:w="3580"/>
            <w:tcBorders>
              <w:top w:val="single" w:color="D8DCE6" w:sz="1"/>
              <w:left w:val="single" w:color="D8DCE6" w:sz="1"/>
              <w:bottom w:val="single" w:color="D8DCE6" w:sz="1"/>
              <w:right w:val="single" w:color="D8DCE6" w:sz="1"/>
            </w:tcBorders>
            <w:shd w:fill="E8F5EE" w:val="clear"/>
            <w:tcMar>
              <w:top w:type="dxa" w:w="80"/>
              <w:left w:type="dxa" w:w="120"/>
              <w:bottom w:type="dxa" w:w="80"/>
              <w:right w:type="dxa" w:w="120"/>
            </w:tcMar>
          </w:tcPr>
          <w:p>
            <w:pPr>
              <w:spacing w:before="0" w:after="0"/>
            </w:pPr>
            <w:r>
              <w:rPr>
                <w:rFonts w:ascii="Arial" w:cs="Arial" w:eastAsia="Arial" w:hAnsi="Arial"/>
                <w:b/>
                <w:bCs/>
                <w:color w:val="1B6B3A"/>
                <w:sz w:val="20"/>
                <w:szCs w:val="20"/>
              </w:rPr>
              <w:t xml:space="preserve">system-ui / -apple-system</w:t>
            </w:r>
          </w:p>
        </w:tc>
      </w:tr>
      <w:tr>
        <w:tc>
          <w:tcPr>
            <w:tcW w:type="dxa" w:w="32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tcPr>
          <w:p>
            <w:pPr>
              <w:spacing w:before="0" w:after="0"/>
            </w:pPr>
            <w:r>
              <w:rPr>
                <w:rFonts w:ascii="Arial" w:cs="Arial" w:eastAsia="Arial" w:hAnsi="Arial"/>
                <w:b/>
                <w:bCs/>
                <w:color w:val="1A1F36"/>
                <w:sz w:val="20"/>
                <w:szCs w:val="20"/>
              </w:rPr>
              <w:t xml:space="preserve">Fuente secundaria</w:t>
            </w:r>
          </w:p>
        </w:tc>
        <w:tc>
          <w:tcPr>
            <w:tcW w:type="dxa" w:w="2580"/>
            <w:tcBorders>
              <w:top w:val="single" w:color="D8DCE6" w:sz="1"/>
              <w:left w:val="single" w:color="D8DCE6" w:sz="1"/>
              <w:bottom w:val="single" w:color="D8DCE6" w:sz="1"/>
              <w:right w:val="single" w:color="D8DCE6" w:sz="1"/>
            </w:tcBorders>
            <w:shd w:fill="FDEDED" w:val="clear"/>
            <w:tcMar>
              <w:top w:type="dxa" w:w="80"/>
              <w:left w:type="dxa" w:w="120"/>
              <w:bottom w:type="dxa" w:w="80"/>
              <w:right w:type="dxa" w:w="120"/>
            </w:tcMar>
          </w:tcPr>
          <w:p>
            <w:pPr>
              <w:spacing w:before="0" w:after="0"/>
            </w:pPr>
            <w:r>
              <w:rPr>
                <w:rFonts w:ascii="Arial" w:cs="Arial" w:eastAsia="Arial" w:hAnsi="Arial"/>
                <w:color w:val="C62828"/>
                <w:sz w:val="20"/>
                <w:szCs w:val="20"/>
              </w:rPr>
              <w:t xml:space="preserve">Courier New (monospace)</w:t>
            </w:r>
          </w:p>
        </w:tc>
        <w:tc>
          <w:tcPr>
            <w:tcW w:type="dxa" w:w="3580"/>
            <w:tcBorders>
              <w:top w:val="single" w:color="D8DCE6" w:sz="1"/>
              <w:left w:val="single" w:color="D8DCE6" w:sz="1"/>
              <w:bottom w:val="single" w:color="D8DCE6" w:sz="1"/>
              <w:right w:val="single" w:color="D8DCE6" w:sz="1"/>
            </w:tcBorders>
            <w:shd w:fill="E8F5EE" w:val="clear"/>
            <w:tcMar>
              <w:top w:type="dxa" w:w="80"/>
              <w:left w:type="dxa" w:w="120"/>
              <w:bottom w:type="dxa" w:w="80"/>
              <w:right w:type="dxa" w:w="120"/>
            </w:tcMar>
          </w:tcPr>
          <w:p>
            <w:pPr>
              <w:spacing w:before="0" w:after="0"/>
            </w:pPr>
            <w:r>
              <w:rPr>
                <w:rFonts w:ascii="Arial" w:cs="Arial" w:eastAsia="Arial" w:hAnsi="Arial"/>
                <w:b/>
                <w:bCs/>
                <w:color w:val="1B6B3A"/>
                <w:sz w:val="20"/>
                <w:szCs w:val="20"/>
              </w:rPr>
              <w:t xml:space="preserve">Eliminada</w:t>
            </w:r>
          </w:p>
        </w:tc>
      </w:tr>
      <w:tr>
        <w:tc>
          <w:tcPr>
            <w:tcW w:type="dxa" w:w="3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tcPr>
          <w:p>
            <w:pPr>
              <w:spacing w:before="0" w:after="0"/>
            </w:pPr>
            <w:r>
              <w:rPr>
                <w:rFonts w:ascii="Arial" w:cs="Arial" w:eastAsia="Arial" w:hAnsi="Arial"/>
                <w:b/>
                <w:bCs/>
                <w:color w:val="1A1F36"/>
                <w:sz w:val="20"/>
                <w:szCs w:val="20"/>
              </w:rPr>
              <w:t xml:space="preserve">Color de fondo</w:t>
            </w:r>
          </w:p>
        </w:tc>
        <w:tc>
          <w:tcPr>
            <w:tcW w:type="dxa" w:w="2580"/>
            <w:tcBorders>
              <w:top w:val="single" w:color="D8DCE6" w:sz="1"/>
              <w:left w:val="single" w:color="D8DCE6" w:sz="1"/>
              <w:bottom w:val="single" w:color="D8DCE6" w:sz="1"/>
              <w:right w:val="single" w:color="D8DCE6" w:sz="1"/>
            </w:tcBorders>
            <w:shd w:fill="FDEDED" w:val="clear"/>
            <w:tcMar>
              <w:top w:type="dxa" w:w="80"/>
              <w:left w:type="dxa" w:w="120"/>
              <w:bottom w:type="dxa" w:w="80"/>
              <w:right w:type="dxa" w:w="120"/>
            </w:tcMar>
          </w:tcPr>
          <w:p>
            <w:pPr>
              <w:spacing w:before="0" w:after="0"/>
            </w:pPr>
            <w:r>
              <w:rPr>
                <w:rFonts w:ascii="Arial" w:cs="Arial" w:eastAsia="Arial" w:hAnsi="Arial"/>
                <w:color w:val="C62828"/>
                <w:sz w:val="20"/>
                <w:szCs w:val="20"/>
              </w:rPr>
              <w:t xml:space="preserve">#f4f1ec (beige)</w:t>
            </w:r>
          </w:p>
        </w:tc>
        <w:tc>
          <w:tcPr>
            <w:tcW w:type="dxa" w:w="3580"/>
            <w:tcBorders>
              <w:top w:val="single" w:color="D8DCE6" w:sz="1"/>
              <w:left w:val="single" w:color="D8DCE6" w:sz="1"/>
              <w:bottom w:val="single" w:color="D8DCE6" w:sz="1"/>
              <w:right w:val="single" w:color="D8DCE6" w:sz="1"/>
            </w:tcBorders>
            <w:shd w:fill="E8F5EE" w:val="clear"/>
            <w:tcMar>
              <w:top w:type="dxa" w:w="80"/>
              <w:left w:type="dxa" w:w="120"/>
              <w:bottom w:type="dxa" w:w="80"/>
              <w:right w:type="dxa" w:w="120"/>
            </w:tcMar>
          </w:tcPr>
          <w:p>
            <w:pPr>
              <w:spacing w:before="0" w:after="0"/>
            </w:pPr>
            <w:r>
              <w:rPr>
                <w:rFonts w:ascii="Arial" w:cs="Arial" w:eastAsia="Arial" w:hAnsi="Arial"/>
                <w:b/>
                <w:bCs/>
                <w:color w:val="1B6B3A"/>
                <w:sz w:val="20"/>
                <w:szCs w:val="20"/>
              </w:rPr>
              <w:t xml:space="preserve">#F5F6F8 (neutro Sonepar)</w:t>
            </w:r>
          </w:p>
        </w:tc>
      </w:tr>
      <w:tr>
        <w:tc>
          <w:tcPr>
            <w:tcW w:type="dxa" w:w="32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tcPr>
          <w:p>
            <w:pPr>
              <w:spacing w:before="0" w:after="0"/>
            </w:pPr>
            <w:r>
              <w:rPr>
                <w:rFonts w:ascii="Arial" w:cs="Arial" w:eastAsia="Arial" w:hAnsi="Arial"/>
                <w:b/>
                <w:bCs/>
                <w:color w:val="1A1F36"/>
                <w:sz w:val="20"/>
                <w:szCs w:val="20"/>
              </w:rPr>
              <w:t xml:space="preserve">Color primario UI</w:t>
            </w:r>
          </w:p>
        </w:tc>
        <w:tc>
          <w:tcPr>
            <w:tcW w:type="dxa" w:w="2580"/>
            <w:tcBorders>
              <w:top w:val="single" w:color="D8DCE6" w:sz="1"/>
              <w:left w:val="single" w:color="D8DCE6" w:sz="1"/>
              <w:bottom w:val="single" w:color="D8DCE6" w:sz="1"/>
              <w:right w:val="single" w:color="D8DCE6" w:sz="1"/>
            </w:tcBorders>
            <w:shd w:fill="FDEDED" w:val="clear"/>
            <w:tcMar>
              <w:top w:type="dxa" w:w="80"/>
              <w:left w:type="dxa" w:w="120"/>
              <w:bottom w:type="dxa" w:w="80"/>
              <w:right w:type="dxa" w:w="120"/>
            </w:tcMar>
          </w:tcPr>
          <w:p>
            <w:pPr>
              <w:spacing w:before="0" w:after="0"/>
            </w:pPr>
            <w:r>
              <w:rPr>
                <w:rFonts w:ascii="Arial" w:cs="Arial" w:eastAsia="Arial" w:hAnsi="Arial"/>
                <w:color w:val="C62828"/>
                <w:sz w:val="20"/>
                <w:szCs w:val="20"/>
              </w:rPr>
              <w:t xml:space="preserve">#1a1a2e (negro azulado)</w:t>
            </w:r>
          </w:p>
        </w:tc>
        <w:tc>
          <w:tcPr>
            <w:tcW w:type="dxa" w:w="3580"/>
            <w:tcBorders>
              <w:top w:val="single" w:color="D8DCE6" w:sz="1"/>
              <w:left w:val="single" w:color="D8DCE6" w:sz="1"/>
              <w:bottom w:val="single" w:color="D8DCE6" w:sz="1"/>
              <w:right w:val="single" w:color="D8DCE6" w:sz="1"/>
            </w:tcBorders>
            <w:shd w:fill="E8F5EE" w:val="clear"/>
            <w:tcMar>
              <w:top w:type="dxa" w:w="80"/>
              <w:left w:type="dxa" w:w="120"/>
              <w:bottom w:type="dxa" w:w="80"/>
              <w:right w:type="dxa" w:w="120"/>
            </w:tcMar>
          </w:tcPr>
          <w:p>
            <w:pPr>
              <w:spacing w:before="0" w:after="0"/>
            </w:pPr>
            <w:r>
              <w:rPr>
                <w:rFonts w:ascii="Arial" w:cs="Arial" w:eastAsia="Arial" w:hAnsi="Arial"/>
                <w:b/>
                <w:bCs/>
                <w:color w:val="1B6B3A"/>
                <w:sz w:val="20"/>
                <w:szCs w:val="20"/>
              </w:rPr>
              <w:t xml:space="preserve">#003087 (navy Sonepar)</w:t>
            </w:r>
          </w:p>
        </w:tc>
      </w:tr>
      <w:tr>
        <w:tc>
          <w:tcPr>
            <w:tcW w:type="dxa" w:w="3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tcPr>
          <w:p>
            <w:pPr>
              <w:spacing w:before="0" w:after="0"/>
            </w:pPr>
            <w:r>
              <w:rPr>
                <w:rFonts w:ascii="Arial" w:cs="Arial" w:eastAsia="Arial" w:hAnsi="Arial"/>
                <w:b/>
                <w:bCs/>
                <w:color w:val="1A1F36"/>
                <w:sz w:val="20"/>
                <w:szCs w:val="20"/>
              </w:rPr>
              <w:t xml:space="preserve">Accent header</w:t>
            </w:r>
          </w:p>
        </w:tc>
        <w:tc>
          <w:tcPr>
            <w:tcW w:type="dxa" w:w="2580"/>
            <w:tcBorders>
              <w:top w:val="single" w:color="D8DCE6" w:sz="1"/>
              <w:left w:val="single" w:color="D8DCE6" w:sz="1"/>
              <w:bottom w:val="single" w:color="D8DCE6" w:sz="1"/>
              <w:right w:val="single" w:color="D8DCE6" w:sz="1"/>
            </w:tcBorders>
            <w:shd w:fill="FDEDED" w:val="clear"/>
            <w:tcMar>
              <w:top w:type="dxa" w:w="80"/>
              <w:left w:type="dxa" w:w="120"/>
              <w:bottom w:type="dxa" w:w="80"/>
              <w:right w:type="dxa" w:w="120"/>
            </w:tcMar>
          </w:tcPr>
          <w:p>
            <w:pPr>
              <w:spacing w:before="0" w:after="0"/>
            </w:pPr>
            <w:r>
              <w:rPr>
                <w:rFonts w:ascii="Arial" w:cs="Arial" w:eastAsia="Arial" w:hAnsi="Arial"/>
                <w:color w:val="C62828"/>
                <w:sz w:val="20"/>
                <w:szCs w:val="20"/>
              </w:rPr>
              <w:t xml:space="preserve">#c62828 sólido</w:t>
            </w:r>
          </w:p>
        </w:tc>
        <w:tc>
          <w:tcPr>
            <w:tcW w:type="dxa" w:w="3580"/>
            <w:tcBorders>
              <w:top w:val="single" w:color="D8DCE6" w:sz="1"/>
              <w:left w:val="single" w:color="D8DCE6" w:sz="1"/>
              <w:bottom w:val="single" w:color="D8DCE6" w:sz="1"/>
              <w:right w:val="single" w:color="D8DCE6" w:sz="1"/>
            </w:tcBorders>
            <w:shd w:fill="E8F5EE" w:val="clear"/>
            <w:tcMar>
              <w:top w:type="dxa" w:w="80"/>
              <w:left w:type="dxa" w:w="120"/>
              <w:bottom w:type="dxa" w:w="80"/>
              <w:right w:type="dxa" w:w="120"/>
            </w:tcMar>
          </w:tcPr>
          <w:p>
            <w:pPr>
              <w:spacing w:before="0" w:after="0"/>
            </w:pPr>
            <w:r>
              <w:rPr>
                <w:rFonts w:ascii="Arial" w:cs="Arial" w:eastAsia="Arial" w:hAnsi="Arial"/>
                <w:b/>
                <w:bCs/>
                <w:color w:val="1B6B3A"/>
                <w:sz w:val="20"/>
                <w:szCs w:val="20"/>
              </w:rPr>
              <w:t xml:space="preserve">Degradado rojo corporativo</w:t>
            </w:r>
          </w:p>
        </w:tc>
      </w:tr>
      <w:tr>
        <w:tc>
          <w:tcPr>
            <w:tcW w:type="dxa" w:w="32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tcPr>
          <w:p>
            <w:pPr>
              <w:spacing w:before="0" w:after="0"/>
            </w:pPr>
            <w:r>
              <w:rPr>
                <w:rFonts w:ascii="Arial" w:cs="Arial" w:eastAsia="Arial" w:hAnsi="Arial"/>
                <w:b/>
                <w:bCs/>
                <w:color w:val="1A1F36"/>
                <w:sz w:val="20"/>
                <w:szCs w:val="20"/>
              </w:rPr>
              <w:t xml:space="preserve">Badges severidad/estado</w:t>
            </w:r>
          </w:p>
        </w:tc>
        <w:tc>
          <w:tcPr>
            <w:tcW w:type="dxa" w:w="2580"/>
            <w:tcBorders>
              <w:top w:val="single" w:color="D8DCE6" w:sz="1"/>
              <w:left w:val="single" w:color="D8DCE6" w:sz="1"/>
              <w:bottom w:val="single" w:color="D8DCE6" w:sz="1"/>
              <w:right w:val="single" w:color="D8DCE6" w:sz="1"/>
            </w:tcBorders>
            <w:shd w:fill="FDEDED" w:val="clear"/>
            <w:tcMar>
              <w:top w:type="dxa" w:w="80"/>
              <w:left w:type="dxa" w:w="120"/>
              <w:bottom w:type="dxa" w:w="80"/>
              <w:right w:type="dxa" w:w="120"/>
            </w:tcMar>
          </w:tcPr>
          <w:p>
            <w:pPr>
              <w:spacing w:before="0" w:after="0"/>
            </w:pPr>
            <w:r>
              <w:rPr>
                <w:rFonts w:ascii="Arial" w:cs="Arial" w:eastAsia="Arial" w:hAnsi="Arial"/>
                <w:color w:val="C62828"/>
                <w:sz w:val="20"/>
                <w:szCs w:val="20"/>
              </w:rPr>
              <w:t xml:space="preserve">Texto coloreado inline</w:t>
            </w:r>
          </w:p>
        </w:tc>
        <w:tc>
          <w:tcPr>
            <w:tcW w:type="dxa" w:w="3580"/>
            <w:tcBorders>
              <w:top w:val="single" w:color="D8DCE6" w:sz="1"/>
              <w:left w:val="single" w:color="D8DCE6" w:sz="1"/>
              <w:bottom w:val="single" w:color="D8DCE6" w:sz="1"/>
              <w:right w:val="single" w:color="D8DCE6" w:sz="1"/>
            </w:tcBorders>
            <w:shd w:fill="E8F5EE" w:val="clear"/>
            <w:tcMar>
              <w:top w:type="dxa" w:w="80"/>
              <w:left w:type="dxa" w:w="120"/>
              <w:bottom w:type="dxa" w:w="80"/>
              <w:right w:type="dxa" w:w="120"/>
            </w:tcMar>
          </w:tcPr>
          <w:p>
            <w:pPr>
              <w:spacing w:before="0" w:after="0"/>
            </w:pPr>
            <w:r>
              <w:rPr>
                <w:rFonts w:ascii="Arial" w:cs="Arial" w:eastAsia="Arial" w:hAnsi="Arial"/>
                <w:b/>
                <w:bCs/>
                <w:color w:val="1B6B3A"/>
                <w:sz w:val="20"/>
                <w:szCs w:val="20"/>
              </w:rPr>
              <w:t xml:space="preserve">Componentes SevBadge/EstBadge</w:t>
            </w:r>
          </w:p>
        </w:tc>
      </w:tr>
      <w:tr>
        <w:tc>
          <w:tcPr>
            <w:tcW w:type="dxa" w:w="3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120"/>
            </w:tcMar>
          </w:tcPr>
          <w:p>
            <w:pPr>
              <w:spacing w:before="0" w:after="0"/>
            </w:pPr>
            <w:r>
              <w:rPr>
                <w:rFonts w:ascii="Arial" w:cs="Arial" w:eastAsia="Arial" w:hAnsi="Arial"/>
                <w:b/>
                <w:bCs/>
                <w:color w:val="1A1F36"/>
                <w:sz w:val="20"/>
                <w:szCs w:val="20"/>
              </w:rPr>
              <w:t xml:space="preserve">Pasos de diagnóstico IA</w:t>
            </w:r>
          </w:p>
        </w:tc>
        <w:tc>
          <w:tcPr>
            <w:tcW w:type="dxa" w:w="2580"/>
            <w:tcBorders>
              <w:top w:val="single" w:color="D8DCE6" w:sz="1"/>
              <w:left w:val="single" w:color="D8DCE6" w:sz="1"/>
              <w:bottom w:val="single" w:color="D8DCE6" w:sz="1"/>
              <w:right w:val="single" w:color="D8DCE6" w:sz="1"/>
            </w:tcBorders>
            <w:shd w:fill="FDEDED" w:val="clear"/>
            <w:tcMar>
              <w:top w:type="dxa" w:w="80"/>
              <w:left w:type="dxa" w:w="120"/>
              <w:bottom w:type="dxa" w:w="80"/>
              <w:right w:type="dxa" w:w="120"/>
            </w:tcMar>
          </w:tcPr>
          <w:p>
            <w:pPr>
              <w:spacing w:before="0" w:after="0"/>
            </w:pPr>
            <w:r>
              <w:rPr>
                <w:rFonts w:ascii="Arial" w:cs="Arial" w:eastAsia="Arial" w:hAnsi="Arial"/>
                <w:color w:val="C62828"/>
                <w:sz w:val="20"/>
                <w:szCs w:val="20"/>
              </w:rPr>
              <w:t xml:space="preserve">Número texto simple</w:t>
            </w:r>
          </w:p>
        </w:tc>
        <w:tc>
          <w:tcPr>
            <w:tcW w:type="dxa" w:w="3580"/>
            <w:tcBorders>
              <w:top w:val="single" w:color="D8DCE6" w:sz="1"/>
              <w:left w:val="single" w:color="D8DCE6" w:sz="1"/>
              <w:bottom w:val="single" w:color="D8DCE6" w:sz="1"/>
              <w:right w:val="single" w:color="D8DCE6" w:sz="1"/>
            </w:tcBorders>
            <w:shd w:fill="E8F5EE" w:val="clear"/>
            <w:tcMar>
              <w:top w:type="dxa" w:w="80"/>
              <w:left w:type="dxa" w:w="120"/>
              <w:bottom w:type="dxa" w:w="80"/>
              <w:right w:type="dxa" w:w="120"/>
            </w:tcMar>
          </w:tcPr>
          <w:p>
            <w:pPr>
              <w:spacing w:before="0" w:after="0"/>
            </w:pPr>
            <w:r>
              <w:rPr>
                <w:rFonts w:ascii="Arial" w:cs="Arial" w:eastAsia="Arial" w:hAnsi="Arial"/>
                <w:b/>
                <w:bCs/>
                <w:color w:val="1B6B3A"/>
                <w:sz w:val="20"/>
                <w:szCs w:val="20"/>
              </w:rPr>
              <w:t xml:space="preserve">Círculo navy con número blanco</w:t>
            </w:r>
          </w:p>
        </w:tc>
      </w:tr>
      <w:tr>
        <w:tc>
          <w:tcPr>
            <w:tcW w:type="dxa" w:w="32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120"/>
            </w:tcMar>
          </w:tcPr>
          <w:p>
            <w:pPr>
              <w:spacing w:before="0" w:after="0"/>
            </w:pPr>
            <w:r>
              <w:rPr>
                <w:rFonts w:ascii="Arial" w:cs="Arial" w:eastAsia="Arial" w:hAnsi="Arial"/>
                <w:b/>
                <w:bCs/>
                <w:color w:val="1A1F36"/>
                <w:sz w:val="20"/>
                <w:szCs w:val="20"/>
              </w:rPr>
              <w:t xml:space="preserve">Compatibilidad design sys</w:t>
            </w:r>
          </w:p>
        </w:tc>
        <w:tc>
          <w:tcPr>
            <w:tcW w:type="dxa" w:w="2580"/>
            <w:tcBorders>
              <w:top w:val="single" w:color="D8DCE6" w:sz="1"/>
              <w:left w:val="single" w:color="D8DCE6" w:sz="1"/>
              <w:bottom w:val="single" w:color="D8DCE6" w:sz="1"/>
              <w:right w:val="single" w:color="D8DCE6" w:sz="1"/>
            </w:tcBorders>
            <w:shd w:fill="FDEDED" w:val="clear"/>
            <w:tcMar>
              <w:top w:type="dxa" w:w="80"/>
              <w:left w:type="dxa" w:w="120"/>
              <w:bottom w:type="dxa" w:w="80"/>
              <w:right w:type="dxa" w:w="120"/>
            </w:tcMar>
          </w:tcPr>
          <w:p>
            <w:pPr>
              <w:spacing w:before="0" w:after="0"/>
            </w:pPr>
            <w:r>
              <w:rPr>
                <w:rFonts w:ascii="Arial" w:cs="Arial" w:eastAsia="Arial" w:hAnsi="Arial"/>
                <w:color w:val="C62828"/>
                <w:sz w:val="20"/>
                <w:szCs w:val="20"/>
              </w:rPr>
              <w:t xml:space="preserve">Ninguna</w:t>
            </w:r>
          </w:p>
        </w:tc>
        <w:tc>
          <w:tcPr>
            <w:tcW w:type="dxa" w:w="3580"/>
            <w:tcBorders>
              <w:top w:val="single" w:color="D8DCE6" w:sz="1"/>
              <w:left w:val="single" w:color="D8DCE6" w:sz="1"/>
              <w:bottom w:val="single" w:color="D8DCE6" w:sz="1"/>
              <w:right w:val="single" w:color="D8DCE6" w:sz="1"/>
            </w:tcBorders>
            <w:shd w:fill="E8F5EE" w:val="clear"/>
            <w:tcMar>
              <w:top w:type="dxa" w:w="80"/>
              <w:left w:type="dxa" w:w="120"/>
              <w:bottom w:type="dxa" w:w="80"/>
              <w:right w:type="dxa" w:w="120"/>
            </w:tcMar>
          </w:tcPr>
          <w:p>
            <w:pPr>
              <w:spacing w:before="0" w:after="0"/>
            </w:pPr>
            <w:r>
              <w:rPr>
                <w:rFonts w:ascii="Arial" w:cs="Arial" w:eastAsia="Arial" w:hAnsi="Arial"/>
                <w:b/>
                <w:bCs/>
                <w:color w:val="1B6B3A"/>
                <w:sz w:val="20"/>
                <w:szCs w:val="20"/>
              </w:rPr>
              <w:t xml:space="preserve">100% — idéntico a SONEX v7</w:t>
            </w:r>
          </w:p>
        </w:tc>
      </w:tr>
    </w:tbl>
    <w:p>
      <w:pPr>
        <w:spacing w:before="200" w:after="0"/>
      </w:pPr>
      <w:r>
        <w:rPr>
          <w:rFonts w:ascii="Arial" w:cs="Arial" w:eastAsia="Arial" w:hAnsi="Arial"/>
          <w:sz w:val="22"/>
          <w:szCs w:val="22"/>
        </w:rPr>
        <w:t xml:space="preserve"/>
      </w:r>
    </w:p>
    <w:p>
      <w:pPr>
        <w:pBdr>
          <w:bottom w:val="single" w:color="4A90D9" w:sz="4" w:space="1"/>
        </w:pBdr>
        <w:spacing w:before="300" w:after="120"/>
      </w:pPr>
      <w:r>
        <w:rPr>
          <w:rFonts w:ascii="Arial" w:cs="Arial" w:eastAsia="Arial" w:hAnsi="Arial"/>
          <w:b/>
          <w:bCs/>
          <w:color w:val="003087"/>
          <w:sz w:val="28"/>
          <w:szCs w:val="28"/>
        </w:rPr>
        <w:t xml:space="preserve">4. Funcionalidad preservada</w:t>
      </w:r>
    </w:p>
    <w:p>
      <w:pPr>
        <w:spacing w:before="80" w:after="60"/>
        <w:jc w:val="left"/>
      </w:pPr>
      <w:r>
        <w:rPr>
          <w:rFonts w:ascii="Arial" w:cs="Arial" w:eastAsia="Arial" w:hAnsi="Arial"/>
          <w:b w:val="false"/>
          <w:bCs w:val="false"/>
          <w:i w:val="false"/>
          <w:iCs w:val="false"/>
          <w:color w:val="1A1F36"/>
          <w:sz w:val="22"/>
          <w:szCs w:val="22"/>
        </w:rPr>
        <w:t xml:space="preserve">Toda la funcionalidad de la v2 está intacta en la v3:</w:t>
      </w:r>
    </w:p>
    <w:p>
      <w:pPr>
        <w:pStyle w:val="ListParagraph"/>
        <w:numPr>
          <w:ilvl w:val="0"/>
          <w:numId w:val="2"/>
        </w:numPr>
        <w:spacing w:before="40" w:after="40"/>
      </w:pPr>
      <w:r>
        <w:rPr>
          <w:rFonts w:ascii="Arial" w:cs="Arial" w:eastAsia="Arial" w:hAnsi="Arial"/>
          <w:color w:val="1A1F36"/>
          <w:sz w:val="20"/>
          <w:szCs w:val="20"/>
        </w:rPr>
        <w:t xml:space="preserve">Persistencia en localStorage con migración de datos v1 → v2 → v3</w:t>
      </w:r>
    </w:p>
    <w:p>
      <w:pPr>
        <w:pStyle w:val="ListParagraph"/>
        <w:numPr>
          <w:ilvl w:val="0"/>
          <w:numId w:val="2"/>
        </w:numPr>
        <w:spacing w:before="40" w:after="40"/>
      </w:pPr>
      <w:r>
        <w:rPr>
          <w:rFonts w:ascii="Arial" w:cs="Arial" w:eastAsia="Arial" w:hAnsi="Arial"/>
          <w:color w:val="1A1F36"/>
          <w:sz w:val="20"/>
          <w:szCs w:val="20"/>
        </w:rPr>
        <w:t xml:space="preserve">CRUD de incidencias: crear, leer, actualizar estado, guardar observaciones</w:t>
      </w:r>
    </w:p>
    <w:p>
      <w:pPr>
        <w:pStyle w:val="ListParagraph"/>
        <w:numPr>
          <w:ilvl w:val="0"/>
          <w:numId w:val="2"/>
        </w:numPr>
        <w:spacing w:before="40" w:after="40"/>
      </w:pPr>
      <w:r>
        <w:rPr>
          <w:rFonts w:ascii="Arial" w:cs="Arial" w:eastAsia="Arial" w:hAnsi="Arial"/>
          <w:color w:val="1A1F36"/>
          <w:sz w:val="20"/>
          <w:szCs w:val="20"/>
        </w:rPr>
        <w:t xml:space="preserve">Diagnóstico IA: prompt técnico especializado → JSON estructurado → renderizado por secciones</w:t>
      </w:r>
    </w:p>
    <w:p>
      <w:pPr>
        <w:pStyle w:val="ListParagraph"/>
        <w:numPr>
          <w:ilvl w:val="0"/>
          <w:numId w:val="2"/>
        </w:numPr>
        <w:spacing w:before="40" w:after="40"/>
      </w:pPr>
      <w:r>
        <w:rPr>
          <w:rFonts w:ascii="Arial" w:cs="Arial" w:eastAsia="Arial" w:hAnsi="Arial"/>
          <w:color w:val="1A1F36"/>
          <w:sz w:val="20"/>
          <w:szCs w:val="20"/>
        </w:rPr>
        <w:t xml:space="preserve">Cambio de estado automático a 'En diagnóstico' al generar diagnóstico IA</w:t>
      </w:r>
    </w:p>
    <w:p>
      <w:pPr>
        <w:pStyle w:val="ListParagraph"/>
        <w:numPr>
          <w:ilvl w:val="0"/>
          <w:numId w:val="2"/>
        </w:numPr>
        <w:spacing w:before="40" w:after="40"/>
      </w:pPr>
      <w:r>
        <w:rPr>
          <w:rFonts w:ascii="Arial" w:cs="Arial" w:eastAsia="Arial" w:hAnsi="Arial"/>
          <w:color w:val="1A1F36"/>
          <w:sz w:val="20"/>
          <w:szCs w:val="20"/>
        </w:rPr>
        <w:t xml:space="preserve">Alerta de incidencias críticas sin atender más de 2 horas</w:t>
      </w:r>
    </w:p>
    <w:p>
      <w:pPr>
        <w:pStyle w:val="ListParagraph"/>
        <w:numPr>
          <w:ilvl w:val="0"/>
          <w:numId w:val="2"/>
        </w:numPr>
        <w:spacing w:before="40" w:after="40"/>
      </w:pPr>
      <w:r>
        <w:rPr>
          <w:rFonts w:ascii="Arial" w:cs="Arial" w:eastAsia="Arial" w:hAnsi="Arial"/>
          <w:color w:val="1A1F36"/>
          <w:sz w:val="20"/>
          <w:szCs w:val="20"/>
        </w:rPr>
        <w:t xml:space="preserve">Estadísticas de tiempo medio de resolución por equipo</w:t>
      </w:r>
    </w:p>
    <w:p>
      <w:pPr>
        <w:pStyle w:val="ListParagraph"/>
        <w:numPr>
          <w:ilvl w:val="0"/>
          <w:numId w:val="2"/>
        </w:numPr>
        <w:spacing w:before="40" w:after="40"/>
      </w:pPr>
      <w:r>
        <w:rPr>
          <w:rFonts w:ascii="Arial" w:cs="Arial" w:eastAsia="Arial" w:hAnsi="Arial"/>
          <w:color w:val="1A1F36"/>
          <w:sz w:val="20"/>
          <w:szCs w:val="20"/>
        </w:rPr>
        <w:t xml:space="preserve">Filtros combinados por estado y severidad</w:t>
      </w:r>
    </w:p>
    <w:p>
      <w:pPr>
        <w:pStyle w:val="ListParagraph"/>
        <w:numPr>
          <w:ilvl w:val="0"/>
          <w:numId w:val="2"/>
        </w:numPr>
        <w:spacing w:before="40" w:after="40"/>
      </w:pPr>
      <w:r>
        <w:rPr>
          <w:rFonts w:ascii="Arial" w:cs="Arial" w:eastAsia="Arial" w:hAnsi="Arial"/>
          <w:color w:val="1A1F36"/>
          <w:sz w:val="20"/>
          <w:szCs w:val="20"/>
        </w:rPr>
        <w:t xml:space="preserve">Panel split: lista + detalle en pantalla simultáneamente</w:t>
      </w:r>
    </w:p>
    <w:p>
      <w:pPr>
        <w:spacing w:before="100" w:after="0"/>
      </w:pPr>
      <w:r>
        <w:rPr>
          <w:rFonts w:ascii="Arial" w:cs="Arial" w:eastAsia="Arial" w:hAnsi="Arial"/>
          <w:sz w:val="22"/>
          <w:szCs w:val="22"/>
        </w:rPr>
        <w:t xml:space="preserve"/>
      </w:r>
    </w:p>
    <w:p>
      <w:pPr>
        <w:pBdr>
          <w:bottom w:val="single" w:color="4A90D9" w:sz="4" w:space="1"/>
        </w:pBdr>
        <w:spacing w:before="300" w:after="120"/>
      </w:pPr>
      <w:r>
        <w:rPr>
          <w:rFonts w:ascii="Arial" w:cs="Arial" w:eastAsia="Arial" w:hAnsi="Arial"/>
          <w:b/>
          <w:bCs/>
          <w:color w:val="003087"/>
          <w:sz w:val="28"/>
          <w:szCs w:val="28"/>
        </w:rPr>
        <w:t xml:space="preserve">5. Próximas versiones</w:t>
      </w:r>
    </w:p>
    <w:p>
      <w:pPr>
        <w:pStyle w:val="ListParagraph"/>
        <w:numPr>
          <w:ilvl w:val="0"/>
          <w:numId w:val="2"/>
        </w:numPr>
        <w:spacing w:before="40" w:after="40"/>
      </w:pPr>
      <w:r>
        <w:rPr>
          <w:rFonts w:ascii="Arial" w:cs="Arial" w:eastAsia="Arial" w:hAnsi="Arial"/>
          <w:color w:val="1A1F36"/>
          <w:sz w:val="20"/>
          <w:szCs w:val="20"/>
        </w:rPr>
        <w:t xml:space="preserve">Exportación de incidencias a PDF con window.print()</w:t>
      </w:r>
    </w:p>
    <w:p>
      <w:pPr>
        <w:pStyle w:val="ListParagraph"/>
        <w:numPr>
          <w:ilvl w:val="0"/>
          <w:numId w:val="2"/>
        </w:numPr>
        <w:spacing w:before="40" w:after="40"/>
      </w:pPr>
      <w:r>
        <w:rPr>
          <w:rFonts w:ascii="Arial" w:cs="Arial" w:eastAsia="Arial" w:hAnsi="Arial"/>
          <w:color w:val="1A1F36"/>
          <w:sz w:val="20"/>
          <w:szCs w:val="20"/>
        </w:rPr>
        <w:t xml:space="preserve">Filtro por zona y por operario</w:t>
      </w:r>
    </w:p>
    <w:p>
      <w:pPr>
        <w:pStyle w:val="ListParagraph"/>
        <w:numPr>
          <w:ilvl w:val="0"/>
          <w:numId w:val="2"/>
        </w:numPr>
        <w:spacing w:before="40" w:after="40"/>
      </w:pPr>
      <w:r>
        <w:rPr>
          <w:rFonts w:ascii="Arial" w:cs="Arial" w:eastAsia="Arial" w:hAnsi="Arial"/>
          <w:color w:val="1A1F36"/>
          <w:sz w:val="20"/>
          <w:szCs w:val="20"/>
        </w:rPr>
        <w:t xml:space="preserve">Historial de cambios de estado por incidencia</w:t>
      </w:r>
    </w:p>
    <w:p>
      <w:pPr>
        <w:pStyle w:val="ListParagraph"/>
        <w:numPr>
          <w:ilvl w:val="0"/>
          <w:numId w:val="2"/>
        </w:numPr>
        <w:spacing w:before="40" w:after="40"/>
      </w:pPr>
      <w:r>
        <w:rPr>
          <w:rFonts w:ascii="Arial" w:cs="Arial" w:eastAsia="Arial" w:hAnsi="Arial"/>
          <w:color w:val="1A1F36"/>
          <w:sz w:val="20"/>
          <w:szCs w:val="20"/>
        </w:rPr>
        <w:t xml:space="preserve">Notificación de escalado automático por tiempo sin respuesta</w:t>
      </w:r>
    </w:p>
    <w:p>
      <w:pPr>
        <w:spacing w:before="60" w:after="0"/>
      </w:pPr>
      <w:r>
        <w:rPr>
          <w:rFonts w:ascii="Arial" w:cs="Arial" w:eastAsia="Arial" w:hAnsi="Arial"/>
          <w:sz w:val="22"/>
          <w:szCs w:val="22"/>
        </w:rPr>
        <w:t xml:space="preserve"/>
      </w:r>
    </w:p>
    <w:p>
      <w:pPr>
        <w:pBdr>
          <w:top w:val="single" w:color="4A90D9" w:sz="4" w:space="1"/>
        </w:pBdr>
        <w:spacing w:before="200" w:after="0"/>
        <w:jc w:val="center"/>
      </w:pPr>
      <w:r>
        <w:rPr>
          <w:rFonts w:ascii="Arial" w:cs="Arial" w:eastAsia="Arial" w:hAnsi="Arial"/>
          <w:i/>
          <w:iCs/>
          <w:color w:val="9399B2"/>
          <w:sz w:val="18"/>
          <w:szCs w:val="18"/>
        </w:rPr>
        <w:t xml:space="preserve">Dashboard Incidencias · CHANGELOG v3.0 · Iago Robo · Sonepar A Coruña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space="1"/>
      </w:pBdr>
      <w:spacing w:before="80" w:after="0"/>
    </w:pPr>
    <w:r>
      <w:rPr>
        <w:rFonts w:ascii="Arial" w:cs="Arial" w:eastAsia="Arial" w:hAnsi="Arial"/>
        <w:color w:val="9399B2"/>
        <w:sz w:val="16"/>
        <w:szCs w:val="16"/>
      </w:rPr>
      <w:t xml:space="preserve">Dashboard Incidencias · CHANGELOG v3.0 · Iago Robo · Sonepar A Coruña 2026     </w:t>
    </w:r>
    <w:r>
      <w:rPr>
        <w:rFonts w:ascii="Arial" w:cs="Arial" w:eastAsia="Arial" w:hAnsi="Arial"/>
        <w:color w:val="9399B2"/>
        <w:sz w:val="16"/>
        <w:szCs w:val="16"/>
      </w:rPr>
      <w:fldChar w:fldCharType="begin"/>
      <w:instrText xml:space="preserve">PAGE</w:instrText>
      <w:fldChar w:fldCharType="separate"/>
      <w:fldChar w:fldCharType="end"/>
    </w:r>
    <w:r>
      <w:rPr>
        <w:rFonts w:ascii="Arial" w:cs="Arial" w:eastAsia="Arial" w:hAnsi="Arial"/>
        <w:color w:val="9399B2"/>
        <w:sz w:val="16"/>
        <w:szCs w:val="16"/>
      </w:rPr>
      <w:t xml:space="preserve"> / </w:t>
    </w:r>
    <w:r>
      <w:rPr>
        <w:rFonts w:ascii="Arial" w:cs="Arial" w:eastAsia="Arial" w:hAnsi="Arial"/>
        <w:color w:val="9399B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2026-03-13T08:35:58.076Z</dcterms:created>
  <dcterms:modified xsi:type="dcterms:W3CDTF">2026-03-13T08:35:58.076Z</dcterms:modified>
</cp:coreProperties>
</file>

<file path=docProps/custom.xml><?xml version="1.0" encoding="utf-8"?>
<Properties xmlns="http://schemas.openxmlformats.org/officeDocument/2006/custom-properties" xmlns:vt="http://schemas.openxmlformats.org/officeDocument/2006/docPropsVTypes"/>
</file>