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4A90D9" w:sz="6" w:space="1"/>
        </w:pBdr>
        <w:spacing w:before="0" w:after="100"/>
        <w:jc w:val="left"/>
      </w:pPr>
      <w:r>
        <w:rPr>
          <w:rFonts w:ascii="Arial" w:cs="Arial" w:eastAsia="Arial" w:hAnsi="Arial"/>
          <w:b/>
          <w:bCs/>
          <w:color w:val="003087"/>
          <w:sz w:val="20"/>
          <w:szCs w:val="20"/>
        </w:rPr>
        <w:t xml:space="preserve">SONEPAR TOOLS — CHANGELOG</w:t>
      </w:r>
    </w:p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003087"/>
          <w:sz w:val="44"/>
          <w:szCs w:val="44"/>
        </w:rPr>
        <w:t xml:space="preserve">Fichas Técnicas — Asistente IA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Versión v3.0</w:t>
      </w:r>
      <w:r>
        <w:rPr>
          <w:rFonts w:ascii="Arial" w:cs="Arial" w:eastAsia="Arial" w:hAnsi="Arial"/>
          <w:color w:val="5C6080"/>
          <w:sz w:val="20"/>
          <w:szCs w:val="20"/>
        </w:rPr>
        <w:t xml:space="preserve">   |   Marzo 2026   |   Iago Robo   |   Sonepar España · A Coruña</w:t>
      </w:r>
    </w:p>
    <w:p>
      <w:pPr>
        <w:spacing w:before="0" w:after="200"/>
      </w:pPr>
      <w:r>
        <w:rPr>
          <w:rFonts w:ascii="Arial" w:cs="Arial" w:eastAsia="Arial" w:hAnsi="Arial"/>
          <w:i/>
          <w:iCs/>
          <w:color w:val="9399B2"/>
          <w:sz w:val="18"/>
          <w:szCs w:val="18"/>
        </w:rPr>
        <w:t xml:space="preserve">Archivo: fichas-tecnicas/sonepar-fichas-tecnicas-v3.jsx</w:t>
      </w:r>
    </w:p>
    <w:p>
      <w:pPr>
        <w:spacing w:before="0" w:after="240"/>
      </w:pPr>
      <w:r>
        <w:rPr>
          <w:rFonts w:ascii="Arial" w:cs="Arial" w:eastAsia="Arial" w:hAnsi="Arial"/>
          <w:color w:val="1A1F36"/>
          <w:sz w:val="22"/>
          <w:szCs w:val="22"/>
        </w:rPr>
        <w:t xml:space="preserve">Rediseño visual completo con el sistema de diseño corporativo Sonepar. La v3 unifica sidebar, buscador, ficha de producto y modo comparativa con la paleta navy/blue, cards con border-radius y el logo SVG orbital. Toda la funcionalidad de consulta IA y comparativa de productos está preservada.</w:t>
      </w:r>
    </w:p>
    <w:p>
      <w:pPr>
        <w:pBdr>
          <w:bottom w:val="single" w:color="4A90D9" w:sz="4" w:space="1"/>
        </w:pBdr>
        <w:spacing w:before="300" w:after="120"/>
      </w:pPr>
      <w:r>
        <w:rPr>
          <w:rFonts w:ascii="Arial" w:cs="Arial" w:eastAsia="Arial" w:hAnsi="Arial"/>
          <w:b/>
          <w:bCs/>
          <w:color w:val="003087"/>
          <w:sz w:val="28"/>
          <w:szCs w:val="28"/>
        </w:rPr>
        <w:t xml:space="preserve">1. Resumen ejecutivo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F36"/>
          <w:sz w:val="22"/>
          <w:szCs w:val="22"/>
        </w:rPr>
        <w:t xml:space="preserve">La Ficha Técnica v3 cierra el ciclo de rediseño del portfolio Sonepar. Con esta versión todos los 7 artefactos comparten el mismo design system corporativo, haciendo el portfolio reconocible como un producto interno cohesionado. La funcionalidad de búsqueda IA, historial y comparativa de productos se mantiene sin cambios.</w:t>
      </w:r>
    </w:p>
    <w:p>
      <w:pPr>
        <w:pBdr>
          <w:bottom w:val="single" w:color="4A90D9" w:sz="4" w:space="1"/>
        </w:pBdr>
        <w:spacing w:before="300" w:after="120"/>
      </w:pPr>
      <w:r>
        <w:rPr>
          <w:rFonts w:ascii="Arial" w:cs="Arial" w:eastAsia="Arial" w:hAnsi="Arial"/>
          <w:b/>
          <w:bCs/>
          <w:color w:val="003087"/>
          <w:sz w:val="28"/>
          <w:szCs w:val="28"/>
        </w:rPr>
        <w:t xml:space="preserve">2. Registro de cambios</w:t>
      </w:r>
    </w:p>
    <w:p>
      <w:pPr>
        <w:spacing w:before="6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rPr>
          <w:tblHeader/>
        </w:trPr>
        <w:tc>
          <w:tcPr>
            <w:tcW w:type="dxa" w:w="1600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800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CAMBIO</w:t>
            </w:r>
          </w:p>
        </w:tc>
        <w:tc>
          <w:tcPr>
            <w:tcW w:type="dxa" w:w="4960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 DETALLADA</w:t>
            </w:r>
          </w:p>
        </w:tc>
      </w:tr>
      <w:tr>
        <w:tc>
          <w:tcPr>
            <w:tcW w:type="dxa" w:w="16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REDISEÑO</w:t>
            </w:r>
          </w:p>
        </w:tc>
        <w:tc>
          <w:tcPr>
            <w:tcW w:type="dxa" w:w="28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F36"/>
                <w:sz w:val="20"/>
                <w:szCs w:val="20"/>
              </w:rPr>
              <w:t xml:space="preserve">Header corporativo</w:t>
            </w:r>
          </w:p>
        </w:tc>
        <w:tc>
          <w:tcPr>
            <w:tcW w:type="dxa" w:w="496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C6080"/>
                <w:sz w:val="20"/>
                <w:szCs w:val="20"/>
              </w:rPr>
              <w:t xml:space="preserve">Fondo navy #003087, accent bar degradado blue, logo SVG orbital, tabs BÚSQUEDA/COMPARATIVA en azul activo.</w:t>
            </w:r>
          </w:p>
        </w:tc>
      </w:tr>
      <w:tr>
        <w:tc>
          <w:tcPr>
            <w:tcW w:type="dxa" w:w="16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REDISEÑO</w:t>
            </w:r>
          </w:p>
        </w:tc>
        <w:tc>
          <w:tcPr>
            <w:tcW w:type="dxa" w:w="28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F36"/>
                <w:sz w:val="20"/>
                <w:szCs w:val="20"/>
              </w:rPr>
              <w:t xml:space="preserve">Sidebar categorías</w:t>
            </w:r>
          </w:p>
        </w:tc>
        <w:tc>
          <w:tcPr>
            <w:tcW w:type="dxa" w:w="496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C6080"/>
                <w:sz w:val="20"/>
                <w:szCs w:val="20"/>
              </w:rPr>
              <w:t xml:space="preserve">Botones de categoría border-radius 6px con hover navy. Accesos rápidos con hover de borde navy. Historial en cards F5F6F8.</w:t>
            </w:r>
          </w:p>
        </w:tc>
      </w:tr>
      <w:tr>
        <w:tc>
          <w:tcPr>
            <w:tcW w:type="dxa" w:w="16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REDISEÑO</w:t>
            </w:r>
          </w:p>
        </w:tc>
        <w:tc>
          <w:tcPr>
            <w:tcW w:type="dxa" w:w="28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F36"/>
                <w:sz w:val="20"/>
                <w:szCs w:val="20"/>
              </w:rPr>
              <w:t xml:space="preserve">Buscador</w:t>
            </w:r>
          </w:p>
        </w:tc>
        <w:tc>
          <w:tcPr>
            <w:tcW w:type="dxa" w:w="496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C6080"/>
                <w:sz w:val="20"/>
                <w:szCs w:val="20"/>
              </w:rPr>
              <w:t xml:space="preserve">Input border-radius 6px, botón Buscar navy. Limpio y sin ornamentos.</w:t>
            </w:r>
          </w:p>
        </w:tc>
      </w:tr>
      <w:tr>
        <w:tc>
          <w:tcPr>
            <w:tcW w:type="dxa" w:w="16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NUEVO</w:t>
            </w:r>
          </w:p>
        </w:tc>
        <w:tc>
          <w:tcPr>
            <w:tcW w:type="dxa" w:w="28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F36"/>
                <w:sz w:val="20"/>
                <w:szCs w:val="20"/>
              </w:rPr>
              <w:t xml:space="preserve">Componente StockBadge</w:t>
            </w:r>
          </w:p>
        </w:tc>
        <w:tc>
          <w:tcPr>
            <w:tcW w:type="dxa" w:w="496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C6080"/>
                <w:sz w:val="20"/>
                <w:szCs w:val="20"/>
              </w:rPr>
              <w:t xml:space="preserve">Badge de disponibilidad con semáforo optimalBg/acceptBg/criticalBg según nivel Alto/Medio/Bajo.</w:t>
            </w:r>
          </w:p>
        </w:tc>
      </w:tr>
      <w:tr>
        <w:tc>
          <w:tcPr>
            <w:tcW w:type="dxa" w:w="16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REDISEÑO</w:t>
            </w:r>
          </w:p>
        </w:tc>
        <w:tc>
          <w:tcPr>
            <w:tcW w:type="dxa" w:w="28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F36"/>
                <w:sz w:val="20"/>
                <w:szCs w:val="20"/>
              </w:rPr>
              <w:t xml:space="preserve">Header de ficha</w:t>
            </w:r>
          </w:p>
        </w:tc>
        <w:tc>
          <w:tcPr>
            <w:tcW w:type="dxa" w:w="496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C6080"/>
                <w:sz w:val="20"/>
                <w:szCs w:val="20"/>
              </w:rPr>
              <w:t xml:space="preserve">Border-radius 8px, borde izquierdo 4px navy, precio en navy bold, acciones Copiar/PDF/Comparar alineadas.</w:t>
            </w:r>
          </w:p>
        </w:tc>
      </w:tr>
      <w:tr>
        <w:tc>
          <w:tcPr>
            <w:tcW w:type="dxa" w:w="16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REDISEÑO</w:t>
            </w:r>
          </w:p>
        </w:tc>
        <w:tc>
          <w:tcPr>
            <w:tcW w:type="dxa" w:w="28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F36"/>
                <w:sz w:val="20"/>
                <w:szCs w:val="20"/>
              </w:rPr>
              <w:t xml:space="preserve">Banda de stock y entrega</w:t>
            </w:r>
          </w:p>
        </w:tc>
        <w:tc>
          <w:tcPr>
            <w:tcW w:type="dxa" w:w="496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C6080"/>
                <w:sz w:val="20"/>
                <w:szCs w:val="20"/>
              </w:rPr>
              <w:t xml:space="preserve">Strip separado con StockBadge y tiempo de entrega en textSec.</w:t>
            </w:r>
          </w:p>
        </w:tc>
      </w:tr>
      <w:tr>
        <w:tc>
          <w:tcPr>
            <w:tcW w:type="dxa" w:w="16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REDISEÑO</w:t>
            </w:r>
          </w:p>
        </w:tc>
        <w:tc>
          <w:tcPr>
            <w:tcW w:type="dxa" w:w="28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F36"/>
                <w:sz w:val="20"/>
                <w:szCs w:val="20"/>
              </w:rPr>
              <w:t xml:space="preserve">Grid de specs</w:t>
            </w:r>
          </w:p>
        </w:tc>
        <w:tc>
          <w:tcPr>
            <w:tcW w:type="dxa" w:w="496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C6080"/>
                <w:sz w:val="20"/>
                <w:szCs w:val="20"/>
              </w:rPr>
              <w:t xml:space="preserve">Grid 2×2 para Características/Aplicaciones/Compatibilidades/Normativas. Viñetas con dash azul #4A90D9.</w:t>
            </w:r>
          </w:p>
        </w:tc>
      </w:tr>
      <w:tr>
        <w:tc>
          <w:tcPr>
            <w:tcW w:type="dxa" w:w="16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REDISEÑO</w:t>
            </w:r>
          </w:p>
        </w:tc>
        <w:tc>
          <w:tcPr>
            <w:tcW w:type="dxa" w:w="28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F36"/>
                <w:sz w:val="20"/>
                <w:szCs w:val="20"/>
              </w:rPr>
              <w:t xml:space="preserve">Consejo técnico</w:t>
            </w:r>
          </w:p>
        </w:tc>
        <w:tc>
          <w:tcPr>
            <w:tcW w:type="dxa" w:w="496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C6080"/>
                <w:sz w:val="20"/>
                <w:szCs w:val="20"/>
              </w:rPr>
              <w:t xml:space="preserve">Card blueBg #EBF3FC con borde left blue, título en navy bold, texto neutro.</w:t>
            </w:r>
          </w:p>
        </w:tc>
      </w:tr>
      <w:tr>
        <w:tc>
          <w:tcPr>
            <w:tcW w:type="dxa" w:w="16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REDISEÑO</w:t>
            </w:r>
          </w:p>
        </w:tc>
        <w:tc>
          <w:tcPr>
            <w:tcW w:type="dxa" w:w="28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F36"/>
                <w:sz w:val="20"/>
                <w:szCs w:val="20"/>
              </w:rPr>
              <w:t xml:space="preserve">Disclaimer</w:t>
            </w:r>
          </w:p>
        </w:tc>
        <w:tc>
          <w:tcPr>
            <w:tcW w:type="dxa" w:w="496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C6080"/>
                <w:sz w:val="20"/>
                <w:szCs w:val="20"/>
              </w:rPr>
              <w:t xml:space="preserve">Card acceptBg con borde left amber, tipografía 11px coherente con el design system.</w:t>
            </w:r>
          </w:p>
        </w:tc>
      </w:tr>
      <w:tr>
        <w:tc>
          <w:tcPr>
            <w:tcW w:type="dxa" w:w="16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REDISEÑO</w:t>
            </w:r>
          </w:p>
        </w:tc>
        <w:tc>
          <w:tcPr>
            <w:tcW w:type="dxa" w:w="28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F36"/>
                <w:sz w:val="20"/>
                <w:szCs w:val="20"/>
              </w:rPr>
              <w:t xml:space="preserve">Error / sugerencias</w:t>
            </w:r>
          </w:p>
        </w:tc>
        <w:tc>
          <w:tcPr>
            <w:tcW w:type="dxa" w:w="496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C6080"/>
                <w:sz w:val="20"/>
                <w:szCs w:val="20"/>
              </w:rPr>
              <w:t xml:space="preserve">Card acceptBg con borde left amber, botones de sugerencia outline amber.</w:t>
            </w:r>
          </w:p>
        </w:tc>
      </w:tr>
      <w:tr>
        <w:tc>
          <w:tcPr>
            <w:tcW w:type="dxa" w:w="16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REDISEÑO</w:t>
            </w:r>
          </w:p>
        </w:tc>
        <w:tc>
          <w:tcPr>
            <w:tcW w:type="dxa" w:w="28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F36"/>
                <w:sz w:val="20"/>
                <w:szCs w:val="20"/>
              </w:rPr>
              <w:t xml:space="preserve">Slots comparativa</w:t>
            </w:r>
          </w:p>
        </w:tc>
        <w:tc>
          <w:tcPr>
            <w:tcW w:type="dxa" w:w="496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C6080"/>
                <w:sz w:val="20"/>
                <w:szCs w:val="20"/>
              </w:rPr>
              <w:t xml:space="preserve">Border 2px navy cuando activo, border-radius 8px, botón Quitar en criticalBg.</w:t>
            </w:r>
          </w:p>
        </w:tc>
      </w:tr>
      <w:tr>
        <w:tc>
          <w:tcPr>
            <w:tcW w:type="dxa" w:w="16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REDISEÑO</w:t>
            </w:r>
          </w:p>
        </w:tc>
        <w:tc>
          <w:tcPr>
            <w:tcW w:type="dxa" w:w="28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F36"/>
                <w:sz w:val="20"/>
                <w:szCs w:val="20"/>
              </w:rPr>
              <w:t xml:space="preserve">Tabla comparativa</w:t>
            </w:r>
          </w:p>
        </w:tc>
        <w:tc>
          <w:tcPr>
            <w:tcW w:type="dxa" w:w="496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C6080"/>
                <w:sz w:val="20"/>
                <w:szCs w:val="20"/>
              </w:rPr>
              <w:t xml:space="preserve">Header navy, columna A en #81C784, columna B en #FFB74D, celdas ventaja en optimalBg con indicador ▶ verde.</w:t>
            </w:r>
          </w:p>
        </w:tc>
      </w:tr>
      <w:tr>
        <w:tc>
          <w:tcPr>
            <w:tcW w:type="dxa" w:w="16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REDISEÑO</w:t>
            </w:r>
          </w:p>
        </w:tc>
        <w:tc>
          <w:tcPr>
            <w:tcW w:type="dxa" w:w="28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F36"/>
                <w:sz w:val="20"/>
                <w:szCs w:val="20"/>
              </w:rPr>
              <w:t xml:space="preserve">Cards de recomendación</w:t>
            </w:r>
          </w:p>
        </w:tc>
        <w:tc>
          <w:tcPr>
            <w:tcW w:type="dxa" w:w="496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C6080"/>
                <w:sz w:val="20"/>
                <w:szCs w:val="20"/>
              </w:rPr>
              <w:t xml:space="preserve">3 cards con border-top coloreado (navy/blueMid/accept) para Recomendación General / Cuándo A / Cuándo B.</w:t>
            </w:r>
          </w:p>
        </w:tc>
      </w:tr>
      <w:tr>
        <w:tc>
          <w:tcPr>
            <w:tcW w:type="dxa" w:w="16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REDISEÑO</w:t>
            </w:r>
          </w:p>
        </w:tc>
        <w:tc>
          <w:tcPr>
            <w:tcW w:type="dxa" w:w="28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F36"/>
                <w:sz w:val="20"/>
                <w:szCs w:val="20"/>
              </w:rPr>
              <w:t xml:space="preserve">Estado vacío</w:t>
            </w:r>
          </w:p>
        </w:tc>
        <w:tc>
          <w:tcPr>
            <w:tcW w:type="dxa" w:w="496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C6080"/>
                <w:sz w:val="20"/>
                <w:szCs w:val="20"/>
              </w:rPr>
              <w:t xml:space="preserve">Diamante ◈ grande en opacidad 0.08, texto en textMuted letterSpacing.</w:t>
            </w:r>
          </w:p>
        </w:tc>
      </w:tr>
      <w:tr>
        <w:tc>
          <w:tcPr>
            <w:tcW w:type="dxa" w:w="16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0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C6080"/>
                <w:sz w:val="18"/>
                <w:szCs w:val="18"/>
              </w:rPr>
              <w:t xml:space="preserve">TÉCNICO</w:t>
            </w:r>
          </w:p>
        </w:tc>
        <w:tc>
          <w:tcPr>
            <w:tcW w:type="dxa" w:w="28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F36"/>
                <w:sz w:val="20"/>
                <w:szCs w:val="20"/>
              </w:rPr>
              <w:t xml:space="preserve">Eliminación fuentes mono</w:t>
            </w:r>
          </w:p>
        </w:tc>
        <w:tc>
          <w:tcPr>
            <w:tcW w:type="dxa" w:w="496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C6080"/>
                <w:sz w:val="20"/>
                <w:szCs w:val="20"/>
              </w:rPr>
              <w:t xml:space="preserve">Courier New y Georgia eliminados. Interfaz completa en system-ui.</w:t>
            </w:r>
          </w:p>
        </w:tc>
      </w:tr>
      <w:tr>
        <w:tc>
          <w:tcPr>
            <w:tcW w:type="dxa" w:w="16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0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C6080"/>
                <w:sz w:val="18"/>
                <w:szCs w:val="18"/>
              </w:rPr>
              <w:t xml:space="preserve">TÉCNICO</w:t>
            </w:r>
          </w:p>
        </w:tc>
        <w:tc>
          <w:tcPr>
            <w:tcW w:type="dxa" w:w="28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F36"/>
                <w:sz w:val="20"/>
                <w:szCs w:val="20"/>
              </w:rPr>
              <w:t xml:space="preserve">Objeto C centralizado</w:t>
            </w:r>
          </w:p>
        </w:tc>
        <w:tc>
          <w:tcPr>
            <w:tcW w:type="dxa" w:w="496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C6080"/>
                <w:sz w:val="20"/>
                <w:szCs w:val="20"/>
              </w:rPr>
              <w:t xml:space="preserve">Tokens de color en objeto C. StockBadge con su propio mapa de colores interno.</w:t>
            </w:r>
          </w:p>
        </w:tc>
      </w:tr>
      <w:tr>
        <w:tc>
          <w:tcPr>
            <w:tcW w:type="dxa" w:w="16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0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C6080"/>
                <w:sz w:val="18"/>
                <w:szCs w:val="18"/>
              </w:rPr>
              <w:t xml:space="preserve">TÉCNICO</w:t>
            </w:r>
          </w:p>
        </w:tc>
        <w:tc>
          <w:tcPr>
            <w:tcW w:type="dxa" w:w="28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F36"/>
                <w:sz w:val="20"/>
                <w:szCs w:val="20"/>
              </w:rPr>
              <w:t xml:space="preserve">Hover states en sidebar</w:t>
            </w:r>
          </w:p>
        </w:tc>
        <w:tc>
          <w:tcPr>
            <w:tcW w:type="dxa" w:w="496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C6080"/>
                <w:sz w:val="20"/>
                <w:szCs w:val="20"/>
              </w:rPr>
              <w:t xml:space="preserve">onMouseEnter/Leave con borderColor y color dinámicos en accesos rápidos.</w:t>
            </w:r>
          </w:p>
        </w:tc>
      </w:tr>
    </w:tbl>
    <w:p>
      <w:pPr>
        <w:spacing w:before="20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4A90D9" w:sz="4" w:space="1"/>
        </w:pBdr>
        <w:spacing w:before="300" w:after="120"/>
      </w:pPr>
      <w:r>
        <w:rPr>
          <w:rFonts w:ascii="Arial" w:cs="Arial" w:eastAsia="Arial" w:hAnsi="Arial"/>
          <w:b/>
          <w:bCs/>
          <w:color w:val="003087"/>
          <w:sz w:val="28"/>
          <w:szCs w:val="28"/>
        </w:rPr>
        <w:t xml:space="preserve">3. Comparativa antes/después</w:t>
      </w:r>
    </w:p>
    <w:p>
      <w:pPr>
        <w:spacing w:before="6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580"/>
        <w:gridCol w:w="3580"/>
      </w:tblGrid>
      <w:tr>
        <w:trPr>
          <w:tblHeader/>
        </w:trPr>
        <w:tc>
          <w:tcPr>
            <w:tcW w:type="dxa" w:w="3200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2580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v2 — ANTES</w:t>
            </w:r>
          </w:p>
        </w:tc>
        <w:tc>
          <w:tcPr>
            <w:tcW w:type="dxa" w:w="3580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v3 — DESPUÉS</w:t>
            </w:r>
          </w:p>
        </w:tc>
      </w:tr>
      <w:tr>
        <w:tc>
          <w:tcPr>
            <w:tcW w:type="dxa" w:w="32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F36"/>
                <w:sz w:val="20"/>
                <w:szCs w:val="20"/>
              </w:rPr>
              <w:t xml:space="preserve">Fuente principal</w:t>
            </w:r>
          </w:p>
        </w:tc>
        <w:tc>
          <w:tcPr>
            <w:tcW w:type="dxa" w:w="258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Georgia (serif)</w:t>
            </w:r>
          </w:p>
        </w:tc>
        <w:tc>
          <w:tcPr>
            <w:tcW w:type="dxa" w:w="358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system-ui / -apple-system</w:t>
            </w:r>
          </w:p>
        </w:tc>
      </w:tr>
      <w:tr>
        <w:tc>
          <w:tcPr>
            <w:tcW w:type="dxa" w:w="32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F36"/>
                <w:sz w:val="20"/>
                <w:szCs w:val="20"/>
              </w:rPr>
              <w:t xml:space="preserve">Fuente secundaria</w:t>
            </w:r>
          </w:p>
        </w:tc>
        <w:tc>
          <w:tcPr>
            <w:tcW w:type="dxa" w:w="258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Courier New (monospace)</w:t>
            </w:r>
          </w:p>
        </w:tc>
        <w:tc>
          <w:tcPr>
            <w:tcW w:type="dxa" w:w="358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Eliminada</w:t>
            </w:r>
          </w:p>
        </w:tc>
      </w:tr>
      <w:tr>
        <w:tc>
          <w:tcPr>
            <w:tcW w:type="dxa" w:w="32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F36"/>
                <w:sz w:val="20"/>
                <w:szCs w:val="20"/>
              </w:rPr>
              <w:t xml:space="preserve">Color de fondo</w:t>
            </w:r>
          </w:p>
        </w:tc>
        <w:tc>
          <w:tcPr>
            <w:tcW w:type="dxa" w:w="258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#f4f1ec (beige)</w:t>
            </w:r>
          </w:p>
        </w:tc>
        <w:tc>
          <w:tcPr>
            <w:tcW w:type="dxa" w:w="358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#F5F6F8 (neutro Sonepar)</w:t>
            </w:r>
          </w:p>
        </w:tc>
      </w:tr>
      <w:tr>
        <w:tc>
          <w:tcPr>
            <w:tcW w:type="dxa" w:w="32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F36"/>
                <w:sz w:val="20"/>
                <w:szCs w:val="20"/>
              </w:rPr>
              <w:t xml:space="preserve">Color primario UI</w:t>
            </w:r>
          </w:p>
        </w:tc>
        <w:tc>
          <w:tcPr>
            <w:tcW w:type="dxa" w:w="258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#1a6040 (verde arbitrario)</w:t>
            </w:r>
          </w:p>
        </w:tc>
        <w:tc>
          <w:tcPr>
            <w:tcW w:type="dxa" w:w="358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#003087 (navy Sonepar)</w:t>
            </w:r>
          </w:p>
        </w:tc>
      </w:tr>
      <w:tr>
        <w:tc>
          <w:tcPr>
            <w:tcW w:type="dxa" w:w="32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F36"/>
                <w:sz w:val="20"/>
                <w:szCs w:val="20"/>
              </w:rPr>
              <w:t xml:space="preserve">Badge de stock</w:t>
            </w:r>
          </w:p>
        </w:tc>
        <w:tc>
          <w:tcPr>
            <w:tcW w:type="dxa" w:w="258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Texto coloreado inline</w:t>
            </w:r>
          </w:p>
        </w:tc>
        <w:tc>
          <w:tcPr>
            <w:tcW w:type="dxa" w:w="358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Componente StockBadge</w:t>
            </w:r>
          </w:p>
        </w:tc>
      </w:tr>
      <w:tr>
        <w:tc>
          <w:tcPr>
            <w:tcW w:type="dxa" w:w="32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F36"/>
                <w:sz w:val="20"/>
                <w:szCs w:val="20"/>
              </w:rPr>
              <w:t xml:space="preserve">Viñeta de specs</w:t>
            </w:r>
          </w:p>
        </w:tc>
        <w:tc>
          <w:tcPr>
            <w:tcW w:type="dxa" w:w="258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Dash verde #1a6040</w:t>
            </w:r>
          </w:p>
        </w:tc>
        <w:tc>
          <w:tcPr>
            <w:tcW w:type="dxa" w:w="358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Dash azul #4A90D9</w:t>
            </w:r>
          </w:p>
        </w:tc>
      </w:tr>
      <w:tr>
        <w:tc>
          <w:tcPr>
            <w:tcW w:type="dxa" w:w="32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F36"/>
                <w:sz w:val="20"/>
                <w:szCs w:val="20"/>
              </w:rPr>
              <w:t xml:space="preserve">Consejo técnico accent</w:t>
            </w:r>
          </w:p>
        </w:tc>
        <w:tc>
          <w:tcPr>
            <w:tcW w:type="dxa" w:w="258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Verde #f0f7f4</w:t>
            </w:r>
          </w:p>
        </w:tc>
        <w:tc>
          <w:tcPr>
            <w:tcW w:type="dxa" w:w="358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Azul corporativo blueBg #EBF3FC</w:t>
            </w:r>
          </w:p>
        </w:tc>
      </w:tr>
      <w:tr>
        <w:tc>
          <w:tcPr>
            <w:tcW w:type="dxa" w:w="32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F36"/>
                <w:sz w:val="20"/>
                <w:szCs w:val="20"/>
              </w:rPr>
              <w:t xml:space="preserve">Indicador ventaja comp.</w:t>
            </w:r>
          </w:p>
        </w:tc>
        <w:tc>
          <w:tcPr>
            <w:tcW w:type="dxa" w:w="258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▶ verde #2e7d32</w:t>
            </w:r>
          </w:p>
        </w:tc>
        <w:tc>
          <w:tcPr>
            <w:tcW w:type="dxa" w:w="358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▶ optimal #1B6B3A (design system)</w:t>
            </w:r>
          </w:p>
        </w:tc>
      </w:tr>
      <w:tr>
        <w:tc>
          <w:tcPr>
            <w:tcW w:type="dxa" w:w="32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F36"/>
                <w:sz w:val="20"/>
                <w:szCs w:val="20"/>
              </w:rPr>
              <w:t xml:space="preserve">Compatibilidad design sys</w:t>
            </w:r>
          </w:p>
        </w:tc>
        <w:tc>
          <w:tcPr>
            <w:tcW w:type="dxa" w:w="258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Ninguna</w:t>
            </w:r>
          </w:p>
        </w:tc>
        <w:tc>
          <w:tcPr>
            <w:tcW w:type="dxa" w:w="358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100% — idéntico a SONEX v7</w:t>
            </w:r>
          </w:p>
        </w:tc>
      </w:tr>
    </w:tbl>
    <w:p>
      <w:pPr>
        <w:spacing w:before="20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4A90D9" w:sz="4" w:space="1"/>
        </w:pBdr>
        <w:spacing w:before="300" w:after="120"/>
      </w:pPr>
      <w:r>
        <w:rPr>
          <w:rFonts w:ascii="Arial" w:cs="Arial" w:eastAsia="Arial" w:hAnsi="Arial"/>
          <w:b/>
          <w:bCs/>
          <w:color w:val="003087"/>
          <w:sz w:val="28"/>
          <w:szCs w:val="28"/>
        </w:rPr>
        <w:t xml:space="preserve">4. Funcionalidad preservada</w:t>
      </w:r>
    </w:p>
    <w:p>
      <w:pPr>
        <w:spacing w:before="8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F36"/>
          <w:sz w:val="22"/>
          <w:szCs w:val="22"/>
        </w:rPr>
        <w:t xml:space="preserve">Toda la funcionalidad de la v2 está intacta en la v3: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F36"/>
          <w:sz w:val="20"/>
          <w:szCs w:val="20"/>
        </w:rPr>
        <w:t xml:space="preserve">Consulta IA de fichas técnicas por referencia o descripción con detección de consultas vagas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F36"/>
          <w:sz w:val="20"/>
          <w:szCs w:val="20"/>
        </w:rPr>
        <w:t xml:space="preserve">Output estructurado JSON: nombre, referencia, fabricante, categoría, precio, specs, aplicaciones, normas, consejo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F36"/>
          <w:sz w:val="20"/>
          <w:szCs w:val="20"/>
        </w:rPr>
        <w:t xml:space="preserve">StockBadge con nivel dinámico (Alto / Medio / Bajo) y tiempo de entrega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F36"/>
          <w:sz w:val="20"/>
          <w:szCs w:val="20"/>
        </w:rPr>
        <w:t xml:space="preserve">Historial de fichas consultadas con persistencia en localStorage (máx. 10 entradas)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F36"/>
          <w:sz w:val="20"/>
          <w:szCs w:val="20"/>
        </w:rPr>
        <w:t xml:space="preserve">Copia al portapapeles y exportación PDF con window.print()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F36"/>
          <w:sz w:val="20"/>
          <w:szCs w:val="20"/>
        </w:rPr>
        <w:t xml:space="preserve">Modo comparativa: 2 slots de producto + generación de tabla comparativa IA con criterios técnicos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F36"/>
          <w:sz w:val="20"/>
          <w:szCs w:val="20"/>
        </w:rPr>
        <w:t xml:space="preserve">Accesos rápidos a 6 productos comunes del catálogo Sonepar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F36"/>
          <w:sz w:val="20"/>
          <w:szCs w:val="20"/>
        </w:rPr>
        <w:t xml:space="preserve">Categorías en sidebar (Variadores, Contactores, Sensores, PLCs, Protección, Cables, Automatización)</w:t>
      </w:r>
    </w:p>
    <w:p>
      <w:pPr>
        <w:spacing w:before="10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4A90D9" w:sz="4" w:space="1"/>
        </w:pBdr>
        <w:spacing w:before="300" w:after="120"/>
      </w:pPr>
      <w:r>
        <w:rPr>
          <w:rFonts w:ascii="Arial" w:cs="Arial" w:eastAsia="Arial" w:hAnsi="Arial"/>
          <w:b/>
          <w:bCs/>
          <w:color w:val="003087"/>
          <w:sz w:val="28"/>
          <w:szCs w:val="28"/>
        </w:rPr>
        <w:t xml:space="preserve">5. Hito: design system completo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F36"/>
          <w:sz w:val="22"/>
          <w:szCs w:val="22"/>
        </w:rPr>
        <w:t xml:space="preserve">Con la publicación de Fichas Técnicas v3, todos los artefactos del portfolio Sonepar comparten el mismo design system corporativo: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F36"/>
          <w:sz w:val="20"/>
          <w:szCs w:val="20"/>
        </w:rPr>
        <w:t xml:space="preserve">SONEX Chatbot — v7 (referencia del design system)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F36"/>
          <w:sz w:val="20"/>
          <w:szCs w:val="20"/>
        </w:rPr>
        <w:t xml:space="preserve">KPI Logístico — v3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F36"/>
          <w:sz w:val="20"/>
          <w:szCs w:val="20"/>
        </w:rPr>
        <w:t xml:space="preserve">Generador de Presupuestos — v3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F36"/>
          <w:sz w:val="20"/>
          <w:szCs w:val="20"/>
        </w:rPr>
        <w:t xml:space="preserve">Simulador de Almacén — v3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F36"/>
          <w:sz w:val="20"/>
          <w:szCs w:val="20"/>
        </w:rPr>
        <w:t xml:space="preserve">Formación Interna — v3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F36"/>
          <w:sz w:val="20"/>
          <w:szCs w:val="20"/>
        </w:rPr>
        <w:t xml:space="preserve">Dashboard Incidencias — v3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F36"/>
          <w:sz w:val="20"/>
          <w:szCs w:val="20"/>
        </w:rPr>
        <w:t xml:space="preserve">Fichas Técnicas — v3  ✓  (esta versión)</w:t>
      </w:r>
    </w:p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F36"/>
          <w:sz w:val="22"/>
          <w:szCs w:val="22"/>
        </w:rPr>
        <w:t xml:space="preserve">El portfolio está listo para presentación en Sonepar España.</w:t>
      </w:r>
    </w:p>
    <w:p>
      <w:pPr>
        <w:pBdr>
          <w:top w:val="single" w:color="4A90D9" w:sz="4" w:space="1"/>
        </w:pBdr>
        <w:spacing w:before="200" w:after="0"/>
        <w:jc w:val="center"/>
      </w:pPr>
      <w:r>
        <w:rPr>
          <w:rFonts w:ascii="Arial" w:cs="Arial" w:eastAsia="Arial" w:hAnsi="Arial"/>
          <w:i/>
          <w:iCs/>
          <w:color w:val="9399B2"/>
          <w:sz w:val="18"/>
          <w:szCs w:val="18"/>
        </w:rPr>
        <w:t xml:space="preserve">Fichas Técnicas · CHANGELOG v3.0 · Iago Robo · Sonepar A Coruña 2026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A90D9" w:sz="4" w:space="1"/>
      </w:pBdr>
      <w:spacing w:before="80" w:after="0"/>
    </w:pPr>
    <w:r>
      <w:rPr>
        <w:rFonts w:ascii="Arial" w:cs="Arial" w:eastAsia="Arial" w:hAnsi="Arial"/>
        <w:color w:val="9399B2"/>
        <w:sz w:val="16"/>
        <w:szCs w:val="16"/>
      </w:rPr>
      <w:t xml:space="preserve">Fichas Técnicas · CHANGELOG v3.0 · Iago Robo · Sonepar A Coruña 2026     </w:t>
    </w:r>
    <w:r>
      <w:rPr>
        <w:rFonts w:ascii="Arial" w:cs="Arial" w:eastAsia="Arial" w:hAnsi="Arial"/>
        <w:color w:val="9399B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399B2"/>
        <w:sz w:val="16"/>
        <w:szCs w:val="16"/>
      </w:rPr>
      <w:t xml:space="preserve"> / </w:t>
    </w:r>
    <w:r>
      <w:rPr>
        <w:rFonts w:ascii="Arial" w:cs="Arial" w:eastAsia="Arial" w:hAnsi="Arial"/>
        <w:color w:val="9399B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F3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2026-03-13T08:35:58.095Z</dcterms:created>
  <dcterms:modified xsi:type="dcterms:W3CDTF">2026-03-13T08:35:58.095Z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