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4A90D9" w:sz="6" w:space="1"/>
        </w:pBdr>
        <w:spacing w:before="0" w:after="100"/>
        <w:jc w:val="left"/>
      </w:pPr>
      <w:r>
        <w:rPr>
          <w:rFonts w:ascii="Arial" w:cs="Arial" w:eastAsia="Arial" w:hAnsi="Arial"/>
          <w:b/>
          <w:bCs/>
          <w:color w:val="003087"/>
          <w:sz w:val="20"/>
          <w:szCs w:val="20"/>
        </w:rPr>
        <w:t xml:space="preserve">SONEPAR TOOLS — CHANGELOG</w:t>
      </w:r>
    </w:p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03087"/>
          <w:sz w:val="44"/>
          <w:szCs w:val="44"/>
        </w:rPr>
        <w:t xml:space="preserve">Sistema de Formación Interna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Versión v3.0</w:t>
      </w:r>
      <w:r>
        <w:rPr>
          <w:rFonts w:ascii="Arial" w:cs="Arial" w:eastAsia="Arial" w:hAnsi="Arial"/>
          <w:color w:val="5C6080"/>
          <w:sz w:val="20"/>
          <w:szCs w:val="20"/>
        </w:rPr>
        <w:t xml:space="preserve">   |   Marzo 2026   |   Iago Robo   |   Sonepar España · A Coruña</w:t>
      </w:r>
    </w:p>
    <w:p>
      <w:pPr>
        <w:spacing w:before="0" w:after="200"/>
      </w:pPr>
      <w:r>
        <w:rPr>
          <w:rFonts w:ascii="Arial" w:cs="Arial" w:eastAsia="Arial" w:hAnsi="Arial"/>
          <w:i/>
          <w:iCs/>
          <w:color w:val="9399B2"/>
          <w:sz w:val="18"/>
          <w:szCs w:val="18"/>
        </w:rPr>
        <w:t xml:space="preserve">Archivo: formacion-interna/sonepar-formacion-interna-v3.jsx</w:t>
      </w:r>
    </w:p>
    <w:p>
      <w:pPr>
        <w:spacing w:before="0" w:after="240"/>
      </w:pPr>
      <w:r>
        <w:rPr>
          <w:rFonts w:ascii="Arial" w:cs="Arial" w:eastAsia="Arial" w:hAnsi="Arial"/>
          <w:color w:val="1A1F36"/>
          <w:sz w:val="22"/>
          <w:szCs w:val="22"/>
        </w:rPr>
        <w:t xml:space="preserve">Rediseño visual completo con el sistema de diseño corporativo Sonepar. La v3 aplica la paleta navy/blue, el logo SVG orbital, tarjetas con bordes redondeados, badges de estado semaforizados y tipografía system-ui sobre fondo F5F6F8. Funcionalidad 100% preservada de la v2.</w:t>
      </w:r>
    </w:p>
    <w:p>
      <w:pPr>
        <w:pBdr>
          <w:bottom w:val="single" w:color="4A90D9" w:sz="4" w:space="1"/>
        </w:pBdr>
        <w:spacing w:before="300" w:after="120"/>
      </w:pPr>
      <w:r>
        <w:rPr>
          <w:rFonts w:ascii="Arial" w:cs="Arial" w:eastAsia="Arial" w:hAnsi="Arial"/>
          <w:b/>
          <w:bCs/>
          <w:color w:val="003087"/>
          <w:sz w:val="28"/>
          <w:szCs w:val="28"/>
        </w:rPr>
        <w:t xml:space="preserve">1. Resumen ejecutivo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F36"/>
          <w:sz w:val="22"/>
          <w:szCs w:val="22"/>
        </w:rPr>
        <w:t xml:space="preserve">La v3 no introduce cambios funcionales — su objetivo exclusivo es la homogeneización visual con el design system corporativo Sonepar establecido en SONEX v6/v7. El resultado es una herramienta visualmente coherente con el resto del portfolio, reconocible como producto interno Sonepar.</w:t>
      </w:r>
    </w:p>
    <w:p>
      <w:pPr>
        <w:pBdr>
          <w:bottom w:val="single" w:color="4A90D9" w:sz="4" w:space="1"/>
        </w:pBdr>
        <w:spacing w:before="300" w:after="120"/>
      </w:pPr>
      <w:r>
        <w:rPr>
          <w:rFonts w:ascii="Arial" w:cs="Arial" w:eastAsia="Arial" w:hAnsi="Arial"/>
          <w:b/>
          <w:bCs/>
          <w:color w:val="003087"/>
          <w:sz w:val="28"/>
          <w:szCs w:val="28"/>
        </w:rPr>
        <w:t xml:space="preserve">2. Registro de cambios</w:t>
      </w:r>
    </w:p>
    <w:p>
      <w:pPr>
        <w:spacing w:before="6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rPr>
          <w:tblHeader/>
        </w:trPr>
        <w:tc>
          <w:tcPr>
            <w:tcW w:type="dxa" w:w="16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8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CAMBIO</w:t>
            </w:r>
          </w:p>
        </w:tc>
        <w:tc>
          <w:tcPr>
            <w:tcW w:type="dxa" w:w="496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 DETALLADA</w:t>
            </w:r>
          </w:p>
        </w:tc>
      </w:tr>
      <w:tr>
        <w:tc>
          <w:tcPr>
            <w:tcW w:type="dxa" w:w="16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REDISEÑO</w:t>
            </w:r>
          </w:p>
        </w:tc>
        <w:tc>
          <w:tcPr>
            <w:tcW w:type="dxa" w:w="28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F36"/>
                <w:sz w:val="20"/>
                <w:szCs w:val="20"/>
              </w:rPr>
              <w:t xml:space="preserve">Header corporativo</w:t>
            </w:r>
          </w:p>
        </w:tc>
        <w:tc>
          <w:tcPr>
            <w:tcW w:type="dxa" w:w="496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C6080"/>
                <w:sz w:val="20"/>
                <w:szCs w:val="20"/>
              </w:rPr>
              <w:t xml:space="preserve">Fondo navy #003087, accent bar degradado blue, logo SVG orbital, subtítulo con versión en azul #4A90D9.</w:t>
            </w:r>
          </w:p>
        </w:tc>
      </w:tr>
      <w:tr>
        <w:tc>
          <w:tcPr>
            <w:tcW w:type="dxa" w:w="16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REDISEÑO</w:t>
            </w:r>
          </w:p>
        </w:tc>
        <w:tc>
          <w:tcPr>
            <w:tcW w:type="dxa" w:w="28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F36"/>
                <w:sz w:val="20"/>
                <w:szCs w:val="20"/>
              </w:rPr>
              <w:t xml:space="preserve">KPI row unificado</w:t>
            </w:r>
          </w:p>
        </w:tc>
        <w:tc>
          <w:tcPr>
            <w:tcW w:type="dxa" w:w="496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C6080"/>
                <w:sz w:val="20"/>
                <w:szCs w:val="20"/>
              </w:rPr>
              <w:t xml:space="preserve">4 métricas globales (Progreso Global, Empleados, Módulos, Con Alerta) en cards blancos con borde gris D8DCE6, valores en 28px weight-800.</w:t>
            </w:r>
          </w:p>
        </w:tc>
      </w:tr>
      <w:tr>
        <w:tc>
          <w:tcPr>
            <w:tcW w:type="dxa" w:w="16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REDISEÑO</w:t>
            </w:r>
          </w:p>
        </w:tc>
        <w:tc>
          <w:tcPr>
            <w:tcW w:type="dxa" w:w="28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F36"/>
                <w:sz w:val="20"/>
                <w:szCs w:val="20"/>
              </w:rPr>
              <w:t xml:space="preserve">Cards de empleado</w:t>
            </w:r>
          </w:p>
        </w:tc>
        <w:tc>
          <w:tcPr>
            <w:tcW w:type="dxa" w:w="496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C6080"/>
                <w:sz w:val="20"/>
                <w:szCs w:val="20"/>
              </w:rPr>
              <w:t xml:space="preserve">Border-radius 8px, hover con box-shadow navy, borde izquierdo 4px navy/rojo según alerta, transición 0.15s.</w:t>
            </w:r>
          </w:p>
        </w:tc>
      </w:tr>
      <w:tr>
        <w:tc>
          <w:tcPr>
            <w:tcW w:type="dxa" w:w="16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REDISEÑO</w:t>
            </w:r>
          </w:p>
        </w:tc>
        <w:tc>
          <w:tcPr>
            <w:tcW w:type="dxa" w:w="28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F36"/>
                <w:sz w:val="20"/>
                <w:szCs w:val="20"/>
              </w:rPr>
              <w:t xml:space="preserve">Barra de progreso</w:t>
            </w:r>
          </w:p>
        </w:tc>
        <w:tc>
          <w:tcPr>
            <w:tcW w:type="dxa" w:w="496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C6080"/>
                <w:sz w:val="20"/>
                <w:szCs w:val="20"/>
              </w:rPr>
              <w:t xml:space="preserve">Componente ProgressBar con gradiente animado. Color dinámico: ≥70% verde optimal, ≥40% amber accept, &lt;40% critical rojo.</w:t>
            </w:r>
          </w:p>
        </w:tc>
      </w:tr>
      <w:tr>
        <w:tc>
          <w:tcPr>
            <w:tcW w:type="dxa" w:w="16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REDISEÑO</w:t>
            </w:r>
          </w:p>
        </w:tc>
        <w:tc>
          <w:tcPr>
            <w:tcW w:type="dxa" w:w="28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F36"/>
                <w:sz w:val="20"/>
                <w:szCs w:val="20"/>
              </w:rPr>
              <w:t xml:space="preserve">Badges de estado</w:t>
            </w:r>
          </w:p>
        </w:tc>
        <w:tc>
          <w:tcPr>
            <w:tcW w:type="dxa" w:w="496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C6080"/>
                <w:sz w:val="20"/>
                <w:szCs w:val="20"/>
              </w:rPr>
              <w:t xml:space="preserve">Componente Badge para estados completado/en_curso/pendiente con colores semaforizados del design system.</w:t>
            </w:r>
          </w:p>
        </w:tc>
      </w:tr>
      <w:tr>
        <w:tc>
          <w:tcPr>
            <w:tcW w:type="dxa" w:w="16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REDISEÑO</w:t>
            </w:r>
          </w:p>
        </w:tc>
        <w:tc>
          <w:tcPr>
            <w:tcW w:type="dxa" w:w="28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F36"/>
                <w:sz w:val="20"/>
                <w:szCs w:val="20"/>
              </w:rPr>
              <w:t xml:space="preserve">Vista detalle empleado</w:t>
            </w:r>
          </w:p>
        </w:tc>
        <w:tc>
          <w:tcPr>
            <w:tcW w:type="dxa" w:w="496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C6080"/>
                <w:sz w:val="20"/>
                <w:szCs w:val="20"/>
              </w:rPr>
              <w:t xml:space="preserve">Header de empleado en card con borde left navy, porcentaje en 36px. Módulos en cards con badges, botones de transición con hover.</w:t>
            </w:r>
          </w:p>
        </w:tc>
      </w:tr>
      <w:tr>
        <w:tc>
          <w:tcPr>
            <w:tcW w:type="dxa" w:w="16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REDISEÑO</w:t>
            </w:r>
          </w:p>
        </w:tc>
        <w:tc>
          <w:tcPr>
            <w:tcW w:type="dxa" w:w="28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F36"/>
                <w:sz w:val="20"/>
                <w:szCs w:val="20"/>
              </w:rPr>
              <w:t xml:space="preserve">Vista matriz</w:t>
            </w:r>
          </w:p>
        </w:tc>
        <w:tc>
          <w:tcPr>
            <w:tcW w:type="dxa" w:w="496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C6080"/>
                <w:sz w:val="20"/>
                <w:szCs w:val="20"/>
              </w:rPr>
              <w:t xml:space="preserve">Celdas 28px con border-radius 5px, colores optimalBg/blueBg/grey. Header de tabla en navy con texto #8A9CC2.</w:t>
            </w:r>
          </w:p>
        </w:tc>
      </w:tr>
      <w:tr>
        <w:tc>
          <w:tcPr>
            <w:tcW w:type="dxa" w:w="16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REDISEÑO</w:t>
            </w:r>
          </w:p>
        </w:tc>
        <w:tc>
          <w:tcPr>
            <w:tcW w:type="dxa" w:w="28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F36"/>
                <w:sz w:val="20"/>
                <w:szCs w:val="20"/>
              </w:rPr>
              <w:t xml:space="preserve">Panel ajustes</w:t>
            </w:r>
          </w:p>
        </w:tc>
        <w:tc>
          <w:tcPr>
            <w:tcW w:type="dxa" w:w="496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C6080"/>
                <w:sz w:val="20"/>
                <w:szCs w:val="20"/>
              </w:rPr>
              <w:t xml:space="preserve">Formularios con inputs border-radius 6px, labels en 11px textMuted, botones navy full-width.</w:t>
            </w:r>
          </w:p>
        </w:tc>
      </w:tr>
      <w:tr>
        <w:tc>
          <w:tcPr>
            <w:tcW w:type="dxa" w:w="16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REDISEÑO</w:t>
            </w:r>
          </w:p>
        </w:tc>
        <w:tc>
          <w:tcPr>
            <w:tcW w:type="dxa" w:w="28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F36"/>
                <w:sz w:val="20"/>
                <w:szCs w:val="20"/>
              </w:rPr>
              <w:t xml:space="preserve">Plan IA</w:t>
            </w:r>
          </w:p>
        </w:tc>
        <w:tc>
          <w:tcPr>
            <w:tcW w:type="dxa" w:w="496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C6080"/>
                <w:sz w:val="20"/>
                <w:szCs w:val="20"/>
              </w:rPr>
              <w:t xml:space="preserve">Card con punto azul indicador, output en card bg F5F6F8 con border-radius 6px, botón regenerar outline.</w:t>
            </w:r>
          </w:p>
        </w:tc>
      </w:tr>
      <w:tr>
        <w:tc>
          <w:tcPr>
            <w:tcW w:type="dxa" w:w="16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REDISEÑO</w:t>
            </w:r>
          </w:p>
        </w:tc>
        <w:tc>
          <w:tcPr>
            <w:tcW w:type="dxa" w:w="28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F36"/>
                <w:sz w:val="20"/>
                <w:szCs w:val="20"/>
              </w:rPr>
              <w:t xml:space="preserve">Alerta obligatorios</w:t>
            </w:r>
          </w:p>
        </w:tc>
        <w:tc>
          <w:tcPr>
            <w:tcW w:type="dxa" w:w="496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C6080"/>
                <w:sz w:val="20"/>
                <w:szCs w:val="20"/>
              </w:rPr>
              <w:t xml:space="preserve">Banner criticalBg #FDEDED con borde inferior rojo, badge ALERTA rojo, tipografía consistente.</w:t>
            </w:r>
          </w:p>
        </w:tc>
      </w:tr>
      <w:tr>
        <w:tc>
          <w:tcPr>
            <w:tcW w:type="dxa" w:w="16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E8EC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3087"/>
                <w:sz w:val="18"/>
                <w:szCs w:val="18"/>
              </w:rPr>
              <w:t xml:space="preserve">REDISEÑO</w:t>
            </w:r>
          </w:p>
        </w:tc>
        <w:tc>
          <w:tcPr>
            <w:tcW w:type="dxa" w:w="28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F36"/>
                <w:sz w:val="20"/>
                <w:szCs w:val="20"/>
              </w:rPr>
              <w:t xml:space="preserve">Toast</w:t>
            </w:r>
          </w:p>
        </w:tc>
        <w:tc>
          <w:tcPr>
            <w:tcW w:type="dxa" w:w="496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C6080"/>
                <w:sz w:val="20"/>
                <w:szCs w:val="20"/>
              </w:rPr>
              <w:t xml:space="preserve">Notificación navy con texto blanco, border-radius 8px, box-shadow con tinte navy.</w:t>
            </w:r>
          </w:p>
        </w:tc>
      </w:tr>
      <w:tr>
        <w:tc>
          <w:tcPr>
            <w:tcW w:type="dxa" w:w="16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0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C6080"/>
                <w:sz w:val="18"/>
                <w:szCs w:val="18"/>
              </w:rPr>
              <w:t xml:space="preserve">TÉCNICO</w:t>
            </w:r>
          </w:p>
        </w:tc>
        <w:tc>
          <w:tcPr>
            <w:tcW w:type="dxa" w:w="28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F36"/>
                <w:sz w:val="20"/>
                <w:szCs w:val="20"/>
              </w:rPr>
              <w:t xml:space="preserve">Eliminación fuentes mono</w:t>
            </w:r>
          </w:p>
        </w:tc>
        <w:tc>
          <w:tcPr>
            <w:tcW w:type="dxa" w:w="496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C6080"/>
                <w:sz w:val="20"/>
                <w:szCs w:val="20"/>
              </w:rPr>
              <w:t xml:space="preserve">Courier New eliminado por completo. Toda la interfaz usa system-ui/-apple-system como en SONEX v7.</w:t>
            </w:r>
          </w:p>
        </w:tc>
      </w:tr>
      <w:tr>
        <w:tc>
          <w:tcPr>
            <w:tcW w:type="dxa" w:w="16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0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C6080"/>
                <w:sz w:val="18"/>
                <w:szCs w:val="18"/>
              </w:rPr>
              <w:t xml:space="preserve">TÉCNICO</w:t>
            </w:r>
          </w:p>
        </w:tc>
        <w:tc>
          <w:tcPr>
            <w:tcW w:type="dxa" w:w="28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F36"/>
                <w:sz w:val="20"/>
                <w:szCs w:val="20"/>
              </w:rPr>
              <w:t xml:space="preserve">Objeto C centralizado</w:t>
            </w:r>
          </w:p>
        </w:tc>
        <w:tc>
          <w:tcPr>
            <w:tcW w:type="dxa" w:w="496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C6080"/>
                <w:sz w:val="20"/>
                <w:szCs w:val="20"/>
              </w:rPr>
              <w:t xml:space="preserve">Todos los tokens de color en objeto C al inicio del archivo. Sin colores hardcodeados en el JSX.</w:t>
            </w:r>
          </w:p>
        </w:tc>
      </w:tr>
      <w:tr>
        <w:tc>
          <w:tcPr>
            <w:tcW w:type="dxa" w:w="16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0F1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C6080"/>
                <w:sz w:val="18"/>
                <w:szCs w:val="18"/>
              </w:rPr>
              <w:t xml:space="preserve">TÉCNICO</w:t>
            </w:r>
          </w:p>
        </w:tc>
        <w:tc>
          <w:tcPr>
            <w:tcW w:type="dxa" w:w="28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F36"/>
                <w:sz w:val="20"/>
                <w:szCs w:val="20"/>
              </w:rPr>
              <w:t xml:space="preserve">Componentes extraídos</w:t>
            </w:r>
          </w:p>
        </w:tc>
        <w:tc>
          <w:tcPr>
            <w:tcW w:type="dxa" w:w="496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C6080"/>
                <w:sz w:val="20"/>
                <w:szCs w:val="20"/>
              </w:rPr>
              <w:t xml:space="preserve">Badge y ProgressBar extraídos como componentes reutilizables con props limpias.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4A90D9" w:sz="4" w:space="1"/>
        </w:pBdr>
        <w:spacing w:before="300" w:after="120"/>
      </w:pPr>
      <w:r>
        <w:rPr>
          <w:rFonts w:ascii="Arial" w:cs="Arial" w:eastAsia="Arial" w:hAnsi="Arial"/>
          <w:b/>
          <w:bCs/>
          <w:color w:val="003087"/>
          <w:sz w:val="28"/>
          <w:szCs w:val="28"/>
        </w:rPr>
        <w:t xml:space="preserve">3. Comparativa antes/después</w:t>
      </w:r>
    </w:p>
    <w:p>
      <w:pPr>
        <w:spacing w:before="6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80"/>
        <w:gridCol w:w="3580"/>
      </w:tblGrid>
      <w:tr>
        <w:trPr>
          <w:tblHeader/>
        </w:trPr>
        <w:tc>
          <w:tcPr>
            <w:tcW w:type="dxa" w:w="320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258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v2 — ANTES</w:t>
            </w:r>
          </w:p>
        </w:tc>
        <w:tc>
          <w:tcPr>
            <w:tcW w:type="dxa" w:w="3580"/>
            <w:tcBorders>
              <w:top w:val="single" w:color="003087" w:sz="1"/>
              <w:left w:val="single" w:color="003087" w:sz="1"/>
              <w:bottom w:val="single" w:color="003087" w:sz="1"/>
              <w:right w:val="single" w:color="003087" w:sz="1"/>
            </w:tcBorders>
            <w:shd w:fill="00308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v3 — DESPUÉS</w:t>
            </w:r>
          </w:p>
        </w:tc>
      </w:tr>
      <w:tr>
        <w:tc>
          <w:tcPr>
            <w:tcW w:type="dxa" w:w="32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F36"/>
                <w:sz w:val="20"/>
                <w:szCs w:val="20"/>
              </w:rPr>
              <w:t xml:space="preserve">Fuente principal</w:t>
            </w:r>
          </w:p>
        </w:tc>
        <w:tc>
          <w:tcPr>
            <w:tcW w:type="dxa" w:w="258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Georgia (serif)</w:t>
            </w:r>
          </w:p>
        </w:tc>
        <w:tc>
          <w:tcPr>
            <w:tcW w:type="dxa" w:w="358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system-ui / -apple-system</w:t>
            </w:r>
          </w:p>
        </w:tc>
      </w:tr>
      <w:tr>
        <w:tc>
          <w:tcPr>
            <w:tcW w:type="dxa" w:w="32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F36"/>
                <w:sz w:val="20"/>
                <w:szCs w:val="20"/>
              </w:rPr>
              <w:t xml:space="preserve">Fuente secundaria</w:t>
            </w:r>
          </w:p>
        </w:tc>
        <w:tc>
          <w:tcPr>
            <w:tcW w:type="dxa" w:w="258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Courier New (monospace)</w:t>
            </w:r>
          </w:p>
        </w:tc>
        <w:tc>
          <w:tcPr>
            <w:tcW w:type="dxa" w:w="358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system-ui (eliminada)</w:t>
            </w:r>
          </w:p>
        </w:tc>
      </w:tr>
      <w:tr>
        <w:tc>
          <w:tcPr>
            <w:tcW w:type="dxa" w:w="32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F36"/>
                <w:sz w:val="20"/>
                <w:szCs w:val="20"/>
              </w:rPr>
              <w:t xml:space="preserve">Color de fondo</w:t>
            </w:r>
          </w:p>
        </w:tc>
        <w:tc>
          <w:tcPr>
            <w:tcW w:type="dxa" w:w="258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#f4f1ec (beige cálido)</w:t>
            </w:r>
          </w:p>
        </w:tc>
        <w:tc>
          <w:tcPr>
            <w:tcW w:type="dxa" w:w="358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#F5F6F8 (neutral corporativo)</w:t>
            </w:r>
          </w:p>
        </w:tc>
      </w:tr>
      <w:tr>
        <w:tc>
          <w:tcPr>
            <w:tcW w:type="dxa" w:w="32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F36"/>
                <w:sz w:val="20"/>
                <w:szCs w:val="20"/>
              </w:rPr>
              <w:t xml:space="preserve">Color primario</w:t>
            </w:r>
          </w:p>
        </w:tc>
        <w:tc>
          <w:tcPr>
            <w:tcW w:type="dxa" w:w="258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#3949ab (indigo arbitrario)</w:t>
            </w:r>
          </w:p>
        </w:tc>
        <w:tc>
          <w:tcPr>
            <w:tcW w:type="dxa" w:w="358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#003087 (navy Sonepar)</w:t>
            </w:r>
          </w:p>
        </w:tc>
      </w:tr>
      <w:tr>
        <w:tc>
          <w:tcPr>
            <w:tcW w:type="dxa" w:w="32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F36"/>
                <w:sz w:val="20"/>
                <w:szCs w:val="20"/>
              </w:rPr>
              <w:t xml:space="preserve">Logo</w:t>
            </w:r>
          </w:p>
        </w:tc>
        <w:tc>
          <w:tcPr>
            <w:tcW w:type="dxa" w:w="258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Texto plano SONEPAR</w:t>
            </w:r>
          </w:p>
        </w:tc>
        <w:tc>
          <w:tcPr>
            <w:tcW w:type="dxa" w:w="358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SVG orbital corporativo</w:t>
            </w:r>
          </w:p>
        </w:tc>
      </w:tr>
      <w:tr>
        <w:tc>
          <w:tcPr>
            <w:tcW w:type="dxa" w:w="32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F36"/>
                <w:sz w:val="20"/>
                <w:szCs w:val="20"/>
              </w:rPr>
              <w:t xml:space="preserve">Border radius cards</w:t>
            </w:r>
          </w:p>
        </w:tc>
        <w:tc>
          <w:tcPr>
            <w:tcW w:type="dxa" w:w="258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0px (esquinas vivas)</w:t>
            </w:r>
          </w:p>
        </w:tc>
        <w:tc>
          <w:tcPr>
            <w:tcW w:type="dxa" w:w="358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8px (consistente)</w:t>
            </w:r>
          </w:p>
        </w:tc>
      </w:tr>
      <w:tr>
        <w:tc>
          <w:tcPr>
            <w:tcW w:type="dxa" w:w="32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F36"/>
                <w:sz w:val="20"/>
                <w:szCs w:val="20"/>
              </w:rPr>
              <w:t xml:space="preserve">Tokens centralizados</w:t>
            </w:r>
          </w:p>
        </w:tc>
        <w:tc>
          <w:tcPr>
            <w:tcW w:type="dxa" w:w="258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Colores en línea dispersos</w:t>
            </w:r>
          </w:p>
        </w:tc>
        <w:tc>
          <w:tcPr>
            <w:tcW w:type="dxa" w:w="358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Objeto C único</w:t>
            </w:r>
          </w:p>
        </w:tc>
      </w:tr>
      <w:tr>
        <w:tc>
          <w:tcPr>
            <w:tcW w:type="dxa" w:w="320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F36"/>
                <w:sz w:val="20"/>
                <w:szCs w:val="20"/>
              </w:rPr>
              <w:t xml:space="preserve">Compatibilidad design sys</w:t>
            </w:r>
          </w:p>
        </w:tc>
        <w:tc>
          <w:tcPr>
            <w:tcW w:type="dxa" w:w="258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F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Ninguna</w:t>
            </w:r>
          </w:p>
        </w:tc>
        <w:tc>
          <w:tcPr>
            <w:tcW w:type="dxa" w:w="3580"/>
            <w:tcBorders>
              <w:top w:val="single" w:color="D8DCE6" w:sz="1"/>
              <w:left w:val="single" w:color="D8DCE6" w:sz="1"/>
              <w:bottom w:val="single" w:color="D8DCE6" w:sz="1"/>
              <w:right w:val="single" w:color="D8DCE6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100% — idéntico a SONEX v7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4A90D9" w:sz="4" w:space="1"/>
        </w:pBdr>
        <w:spacing w:before="300" w:after="120"/>
      </w:pPr>
      <w:r>
        <w:rPr>
          <w:rFonts w:ascii="Arial" w:cs="Arial" w:eastAsia="Arial" w:hAnsi="Arial"/>
          <w:b/>
          <w:bCs/>
          <w:color w:val="003087"/>
          <w:sz w:val="28"/>
          <w:szCs w:val="28"/>
        </w:rPr>
        <w:t xml:space="preserve">4. Funcionalidad preservada</w:t>
      </w:r>
    </w:p>
    <w:p>
      <w:pPr>
        <w:spacing w:before="8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F36"/>
          <w:sz w:val="22"/>
          <w:szCs w:val="22"/>
        </w:rPr>
        <w:t xml:space="preserve">La v3 es una actualización visual pura. Todos los comportamientos de la v2 están intactos: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F36"/>
          <w:sz w:val="20"/>
          <w:szCs w:val="20"/>
        </w:rPr>
        <w:t xml:space="preserve">Persistencia en localStorage (empleados, módulos, progresos, fechas de completado)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F36"/>
          <w:sz w:val="20"/>
          <w:szCs w:val="20"/>
        </w:rPr>
        <w:t xml:space="preserve">Migración de datos: compatibilidad con datos guardados en v2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F36"/>
          <w:sz w:val="20"/>
          <w:szCs w:val="20"/>
        </w:rPr>
        <w:t xml:space="preserve">Cambio de progreso por módulo (pendiente → en curso → completado) con fecha automática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F36"/>
          <w:sz w:val="20"/>
          <w:szCs w:val="20"/>
        </w:rPr>
        <w:t xml:space="preserve">Alerta de empleados con módulos obligatorios pendientes y más de 30 días de alta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F36"/>
          <w:sz w:val="20"/>
          <w:szCs w:val="20"/>
        </w:rPr>
        <w:t xml:space="preserve">Generación de plan de desarrollo IA con prompt contextual por empleado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F36"/>
          <w:sz w:val="20"/>
          <w:szCs w:val="20"/>
        </w:rPr>
        <w:t xml:space="preserve">Vista Matriz: tabla empleado × módulo con navegación a detalle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F36"/>
          <w:sz w:val="20"/>
          <w:szCs w:val="20"/>
        </w:rPr>
        <w:t xml:space="preserve">Ajustes: añadir módulos personalizados y empleados nuevos</w:t>
      </w:r>
    </w:p>
    <w:p>
      <w:pPr>
        <w:spacing w:before="10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4A90D9" w:sz="4" w:space="1"/>
        </w:pBdr>
        <w:spacing w:before="300" w:after="120"/>
      </w:pPr>
      <w:r>
        <w:rPr>
          <w:rFonts w:ascii="Arial" w:cs="Arial" w:eastAsia="Arial" w:hAnsi="Arial"/>
          <w:b/>
          <w:bCs/>
          <w:color w:val="003087"/>
          <w:sz w:val="28"/>
          <w:szCs w:val="28"/>
        </w:rPr>
        <w:t xml:space="preserve">5. Próximas versiones</w:t>
      </w:r>
    </w:p>
    <w:p>
      <w:pPr>
        <w:spacing w:before="8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F36"/>
          <w:sz w:val="22"/>
          <w:szCs w:val="22"/>
        </w:rPr>
        <w:t xml:space="preserve">Mejoras planificadas para v3.1 y superiores según el PLAN v3: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F36"/>
          <w:sz w:val="20"/>
          <w:szCs w:val="20"/>
        </w:rPr>
        <w:t xml:space="preserve">Fechas de vencimiento en módulos obligatorios con alertas anticipadas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F36"/>
          <w:sz w:val="20"/>
          <w:szCs w:val="20"/>
        </w:rPr>
        <w:t xml:space="preserve">Horas reales vs. estimadas — registro al completar un módulo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F36"/>
          <w:sz w:val="20"/>
          <w:szCs w:val="20"/>
        </w:rPr>
        <w:t xml:space="preserve">Itinerario de incorporación IA para nuevos empleados por rol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F36"/>
          <w:sz w:val="20"/>
          <w:szCs w:val="20"/>
        </w:rPr>
        <w:t xml:space="preserve">Análisis de equipo mensual — prompt que evalúa el progreso global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F36"/>
          <w:sz w:val="20"/>
          <w:szCs w:val="20"/>
        </w:rPr>
        <w:t xml:space="preserve">Exportación de matriz a Excel para informes de dirección</w:t>
      </w:r>
    </w:p>
    <w:p>
      <w:pPr>
        <w:spacing w:before="6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top w:val="single" w:color="4A90D9" w:sz="4" w:space="1"/>
        </w:pBdr>
        <w:spacing w:before="200" w:after="0"/>
        <w:jc w:val="center"/>
      </w:pPr>
      <w:r>
        <w:rPr>
          <w:rFonts w:ascii="Arial" w:cs="Arial" w:eastAsia="Arial" w:hAnsi="Arial"/>
          <w:i/>
          <w:iCs/>
          <w:color w:val="9399B2"/>
          <w:sz w:val="18"/>
          <w:szCs w:val="18"/>
        </w:rPr>
        <w:t xml:space="preserve">Formación Interna · CHANGELOG v3.0 · Iago Robo · Sonepar A Coruña 2026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A90D9" w:sz="4" w:space="1"/>
      </w:pBdr>
      <w:spacing w:before="80" w:after="0"/>
    </w:pPr>
    <w:r>
      <w:rPr>
        <w:rFonts w:ascii="Arial" w:cs="Arial" w:eastAsia="Arial" w:hAnsi="Arial"/>
        <w:color w:val="9399B2"/>
        <w:sz w:val="16"/>
        <w:szCs w:val="16"/>
      </w:rPr>
      <w:t xml:space="preserve">Formación Interna · CHANGELOG v3.0 · Iago Robo · Sonepar A Coruña 2026     </w:t>
    </w:r>
    <w:r>
      <w:rPr>
        <w:rFonts w:ascii="Arial" w:cs="Arial" w:eastAsia="Arial" w:hAnsi="Arial"/>
        <w:color w:val="9399B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399B2"/>
        <w:sz w:val="16"/>
        <w:szCs w:val="16"/>
      </w:rPr>
      <w:t xml:space="preserve"> / </w:t>
    </w:r>
    <w:r>
      <w:rPr>
        <w:rFonts w:ascii="Arial" w:cs="Arial" w:eastAsia="Arial" w:hAnsi="Arial"/>
        <w:color w:val="9399B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F3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2026-03-13T08:35:58.013Z</dcterms:created>
  <dcterms:modified xsi:type="dcterms:W3CDTF">2026-03-13T08:35:58.013Z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