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80"/>
        <w:jc w:val="center"/>
      </w:pPr>
      <w:r>
        <w:rPr>
          <w:rFonts w:ascii="Arial" w:cs="Arial" w:eastAsia="Arial" w:hAnsi="Arial"/>
          <w:b/>
          <w:bCs/>
          <w:color w:val="2D5016"/>
          <w:sz w:val="44"/>
          <w:szCs w:val="44"/>
        </w:rPr>
        <w:t xml:space="preserve">SONEPAR TOOLS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555555"/>
          <w:sz w:val="32"/>
          <w:szCs w:val="32"/>
        </w:rPr>
        <w:t xml:space="preserve">Hojas de Ruta por Herramienta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Versión 1.0  •  Iago Robo  •  2026</w:t>
      </w:r>
    </w:p>
    <w:p>
      <w:pPr>
        <w:pBdr>
          <w:bottom w:val="single" w:color="E8E0D0" w:sz="4" w:space="1"/>
        </w:pBdr>
        <w:spacing w:before="200" w:after="20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Este documento recoge la hoja de ruta individual de cada herramienta del proyecto Sonepar Tools: el contexto y la idea original, el problema que resuelve, el usuario objetivo, el historial de versiones con cambios detallados y las mejoras planificadas. Es el documento de referencia para el desarrollo y evolución del proyecto.</w:t>
      </w:r>
    </w:p>
    <w:p>
      <w:pPr>
        <w:pBdr>
          <w:bottom w:val="single" w:color="E8E0D0" w:sz="4" w:space="1"/>
        </w:pBdr>
        <w:spacing w:before="200" w:after="200"/>
      </w:pPr>
      <w:r>
        <w:t xml:space="preserve"/>
      </w:r>
    </w:p>
    <w:p>
      <w:pPr>
        <w:spacing w:before="320" w:after="80"/>
      </w:pPr>
      <w:r>
        <w:rPr>
          <w:rFonts w:ascii="Arial" w:cs="Arial" w:eastAsia="Arial" w:hAnsi="Arial"/>
          <w:b/>
          <w:bCs/>
          <w:color w:val="AAAAAA"/>
          <w:sz w:val="40"/>
          <w:szCs w:val="40"/>
        </w:rPr>
        <w:t xml:space="preserve">01  </w:t>
      </w:r>
      <w:r>
        <w:rPr>
          <w:rFonts w:ascii="Arial" w:cs="Arial" w:eastAsia="Arial" w:hAnsi="Arial"/>
          <w:b/>
          <w:bCs/>
          <w:color w:val="1A3060"/>
          <w:sz w:val="40"/>
          <w:szCs w:val="40"/>
        </w:rPr>
        <w:t xml:space="preserve">Simulador de Flujo de Almacén</w:t>
      </w:r>
    </w:p>
    <w:p>
      <w:pPr>
        <w:spacing w:before="0" w:after="8"/>
      </w:pPr>
      <w:r>
        <w:rPr>
          <w:rFonts w:ascii="Arial" w:cs="Arial" w:eastAsia="Arial" w:hAnsi="Arial"/>
          <w:i/>
          <w:iCs/>
          <w:color w:val="1A3060"/>
          <w:sz w:val="18"/>
          <w:szCs w:val="18"/>
        </w:rPr>
        <w:t xml:space="preserve">/simulador-almacen</w:t>
      </w:r>
    </w:p>
    <w:p>
      <w:pPr>
        <w:pBdr>
          <w:bottom w:val="single" w:color="1A3060" w:sz="4" w:space="4"/>
        </w:pBdr>
        <w:spacing w:before="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3060"/>
          <w:sz w:val="26"/>
          <w:szCs w:val="26"/>
        </w:rPr>
        <w:t xml:space="preserve">Idea y contexto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Visualizar de forma interactiva el ciclo completo de un pedido en el almacén, desde su recepción hasta la expedición. El objetivo es doble: servir como herramienta de formación para operarios nuevos y como simulador de análisis de procesos para detectar cuellos de botella.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3060"/>
          <w:sz w:val="26"/>
          <w:szCs w:val="26"/>
        </w:rPr>
        <w:t xml:space="preserve">Usuario objetivo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Responsables de operaciones, formadores internos, operarios en periodo de acogida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3060"/>
          <w:sz w:val="26"/>
          <w:szCs w:val="26"/>
        </w:rPr>
        <w:t xml:space="preserve">Problema que resuelve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Los operarios nuevos aprenden el flujo logístico de forma abstracta o mediante acompañamiento presencial. Esta herramienta permite entender el proceso de forma autónoma y visual, con análisis IA incluido.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3060"/>
          <w:sz w:val="26"/>
          <w:szCs w:val="26"/>
        </w:rPr>
        <w:t xml:space="preserve">Historial de versiones</w:t>
      </w:r>
    </w:p>
    <w:p>
      <w:pPr>
        <w:spacing w:before="14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626"/>
      </w:tblGrid>
      <w:tr>
        <w:tc>
          <w:tcPr>
            <w:tcW w:type="dxa" w:w="1200"/>
            <w:tcBorders>
              <w:top w:val="single" w:color="1A3060" w:sz="6"/>
              <w:left w:val="single" w:color="1A3060" w:sz="6"/>
              <w:bottom w:val="single" w:color="1A3060" w:sz="6"/>
              <w:right w:val="single" w:color="1A3060" w:sz="6"/>
            </w:tcBorders>
            <w:shd w:fill="1A30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1A3060" w:sz="6"/>
              <w:left w:val="single" w:color="1A3060" w:sz="6"/>
              <w:bottom w:val="single" w:color="1A3060" w:sz="6"/>
              <w:right w:val="single" w:color="1A3060" w:sz="6"/>
            </w:tcBorders>
            <w:shd w:fill="1A30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Marzo 2026</w:t>
            </w:r>
          </w:p>
        </w:tc>
        <w:tc>
          <w:tcPr>
            <w:tcW w:type="dxa" w:w="2200"/>
            <w:tcBorders>
              <w:top w:val="single" w:color="1A3060" w:sz="6"/>
              <w:left w:val="single" w:color="1A3060" w:sz="6"/>
              <w:bottom w:val="single" w:color="1A3060" w:sz="6"/>
              <w:right w:val="single" w:color="1A3060" w:sz="6"/>
            </w:tcBorders>
            <w:shd w:fill="1A30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PUBLICADO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Flujo visual de 5 etapas: Recibido → Ubicado → Picking → Verificación → Expedición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3 pedidos de ejemplo con productos reales de Sonepar (variador, PLC, contactor)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Log de eventos en tiempo real con timestamps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Formulario de pedido manual con referencia, producto y cantidad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Análisis IA al completar el ciclo: incidencias típicas, optimización y KPIs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Estética industrial dark con paleta naranja Sonepar</w:t>
            </w:r>
          </w:p>
        </w:tc>
      </w:tr>
    </w:tbl>
    <w:p>
      <w:pPr>
        <w:spacing w:before="80" w:after="0"/>
      </w:pPr>
    </w:p>
    <w:p>
      <w:pPr>
        <w:spacing w:before="14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626"/>
      </w:tblGrid>
      <w:tr>
        <w:tc>
          <w:tcPr>
            <w:tcW w:type="dxa" w:w="12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v2.0</w:t>
            </w:r>
          </w:p>
        </w:tc>
        <w:tc>
          <w:tcPr>
            <w:tcW w:type="dxa" w:w="20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Pendiente</w:t>
            </w:r>
          </w:p>
        </w:tc>
        <w:tc>
          <w:tcPr>
            <w:tcW w:type="dxa" w:w="22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 DESARROLLO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Modo de simulación con tiempos configurables por etapa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Panel de métricas acumuladas durante la simulación (tiempo por etapa, cuellos de botella)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Indicador visual de cuellos de botella cuando una etapa supera el tiempo estándar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060"/>
                <w:sz w:val="18"/>
                <w:szCs w:val="18"/>
              </w:rPr>
              <w:t xml:space="preserve">⬆ MEJORADO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Feedback visual claro al iniciar — instrucciones de uso visibles desde el primer momento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060"/>
                <w:sz w:val="18"/>
                <w:szCs w:val="18"/>
              </w:rPr>
              <w:t xml:space="preserve">⬆ MEJORADO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Validación del formulario de pedido manual con mensajes de error específicos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060"/>
                <w:sz w:val="18"/>
                <w:szCs w:val="18"/>
              </w:rPr>
              <w:t xml:space="preserve">⬆ MEJORADO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Legibilidad del panel de análisis IA (fondo y contraste mejorados)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Persistencia de los últimos pedidos simulados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3060"/>
          <w:sz w:val="26"/>
          <w:szCs w:val="26"/>
        </w:rPr>
        <w:t xml:space="preserve">Mejoras a largo plazo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Integración con datos reales del SGA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Modo multi-operario para simular flujos en paralelo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Exportación del informe de simulación</w:t>
      </w:r>
    </w:p>
    <w:p>
      <w:pPr>
        <w:pBdr>
          <w:bottom w:val="single" w:color="E8E0D0" w:sz="4" w:space="1"/>
        </w:pBdr>
        <w:spacing w:before="200" w:after="200"/>
      </w:pPr>
      <w:r>
        <w:t xml:space="preserve"/>
      </w:r>
    </w:p>
    <w:p>
      <w:pPr>
        <w:spacing w:before="320" w:after="80"/>
      </w:pPr>
      <w:r>
        <w:rPr>
          <w:rFonts w:ascii="Arial" w:cs="Arial" w:eastAsia="Arial" w:hAnsi="Arial"/>
          <w:b/>
          <w:bCs/>
          <w:color w:val="AAAAAA"/>
          <w:sz w:val="40"/>
          <w:szCs w:val="40"/>
        </w:rPr>
        <w:t xml:space="preserve">02  </w:t>
      </w:r>
      <w:r>
        <w:rPr>
          <w:rFonts w:ascii="Arial" w:cs="Arial" w:eastAsia="Arial" w:hAnsi="Arial"/>
          <w:b/>
          <w:bCs/>
          <w:color w:val="2D5016"/>
          <w:sz w:val="40"/>
          <w:szCs w:val="40"/>
        </w:rPr>
        <w:t xml:space="preserve">Asistente de Fichas Técnicas</w:t>
      </w:r>
    </w:p>
    <w:p>
      <w:pPr>
        <w:spacing w:before="0" w:after="8"/>
      </w:pPr>
      <w:r>
        <w:rPr>
          <w:rFonts w:ascii="Arial" w:cs="Arial" w:eastAsia="Arial" w:hAnsi="Arial"/>
          <w:i/>
          <w:iCs/>
          <w:color w:val="2D5016"/>
          <w:sz w:val="18"/>
          <w:szCs w:val="18"/>
        </w:rPr>
        <w:t xml:space="preserve">/fichas-tecnicas</w:t>
      </w:r>
    </w:p>
    <w:p>
      <w:pPr>
        <w:pBdr>
          <w:bottom w:val="single" w:color="2D5016" w:sz="4" w:space="4"/>
        </w:pBdr>
        <w:spacing w:before="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3060"/>
          <w:sz w:val="26"/>
          <w:szCs w:val="26"/>
        </w:rPr>
        <w:t xml:space="preserve">Idea y contexto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Poner un experto técnico en el mostrador de cada delegación. El técnico o instalador describe lo que necesita (referencia, descripción o síntoma) y obtiene al instante la ficha técnica completa con características, aplicaciones, compatibilidades y consejo práctico.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3060"/>
          <w:sz w:val="26"/>
          <w:szCs w:val="26"/>
        </w:rPr>
        <w:t xml:space="preserve">Usuario objetivo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Técnicos de mostrador, vendedores técnicos, instaladores que acuden a la delegación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3060"/>
          <w:sz w:val="26"/>
          <w:szCs w:val="26"/>
        </w:rPr>
        <w:t xml:space="preserve">Problema que resuelve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El personal de mostrador no puede conocer de memoria miles de referencias. Actualmente consultan PDFs, llaman al fabricante o dependen de compañeros más experimentados. Esta herramienta reduce el tiempo de atención y mejora la precisión técnica.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3060"/>
          <w:sz w:val="26"/>
          <w:szCs w:val="26"/>
        </w:rPr>
        <w:t xml:space="preserve">Historial de versiones</w:t>
      </w:r>
    </w:p>
    <w:p>
      <w:pPr>
        <w:spacing w:before="14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626"/>
      </w:tblGrid>
      <w:tr>
        <w:tc>
          <w:tcPr>
            <w:tcW w:type="dxa" w:w="1200"/>
            <w:tcBorders>
              <w:top w:val="single" w:color="2D5016" w:sz="6"/>
              <w:left w:val="single" w:color="2D5016" w:sz="6"/>
              <w:bottom w:val="single" w:color="2D5016" w:sz="6"/>
              <w:right w:val="single" w:color="2D5016" w:sz="6"/>
            </w:tcBorders>
            <w:shd w:fill="2D501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2D5016" w:sz="6"/>
              <w:left w:val="single" w:color="2D5016" w:sz="6"/>
              <w:bottom w:val="single" w:color="2D5016" w:sz="6"/>
              <w:right w:val="single" w:color="2D5016" w:sz="6"/>
            </w:tcBorders>
            <w:shd w:fill="2D501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Marzo 2026</w:t>
            </w:r>
          </w:p>
        </w:tc>
        <w:tc>
          <w:tcPr>
            <w:tcW w:type="dxa" w:w="2200"/>
            <w:tcBorders>
              <w:top w:val="single" w:color="2D5016" w:sz="6"/>
              <w:left w:val="single" w:color="2D5016" w:sz="6"/>
              <w:bottom w:val="single" w:color="2D5016" w:sz="6"/>
              <w:right w:val="single" w:color="2D5016" w:sz="6"/>
            </w:tcBorders>
            <w:shd w:fill="2D501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PUBLICADO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Búsqueda libre por referencia o descripción en lenguaje natural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Resultado estructurado: nombre, referencia, fabricante, categoría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Secciones de características técnicas, aplicaciones y compatibilidades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Normativas y certificaciones aplicables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Consejo técnico práctico generado por IA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Indicador de stock estimado y tiempo de entrega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Historial de consultas en sesión con sidebar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Filtros por categoría y accesos rápidos a productos frecuentes</w:t>
            </w:r>
          </w:p>
        </w:tc>
      </w:tr>
    </w:tbl>
    <w:p>
      <w:pPr>
        <w:spacing w:before="80" w:after="0"/>
      </w:pPr>
    </w:p>
    <w:p>
      <w:pPr>
        <w:spacing w:before="14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626"/>
      </w:tblGrid>
      <w:tr>
        <w:tc>
          <w:tcPr>
            <w:tcW w:type="dxa" w:w="12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v2.0</w:t>
            </w:r>
          </w:p>
        </w:tc>
        <w:tc>
          <w:tcPr>
            <w:tcW w:type="dxa" w:w="20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Pendiente</w:t>
            </w:r>
          </w:p>
        </w:tc>
        <w:tc>
          <w:tcPr>
            <w:tcW w:type="dxa" w:w="22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 DESARROLLO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Exportación de ficha a PDF imprimible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Modo comparativa: dos productos en paralelo con tabla de diferencias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Disclaimer visible de que stock y precios son estimados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060"/>
                <w:sz w:val="18"/>
                <w:szCs w:val="18"/>
              </w:rPr>
              <w:t xml:space="preserve">⬆ MEJORADO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Validación de consultas vagas con sugerencia de cómo mejorar la búsqueda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060"/>
                <w:sz w:val="18"/>
                <w:szCs w:val="18"/>
              </w:rPr>
              <w:t xml:space="preserve">⬆ MEJORADO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Persistencia del historial entre sesiones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Búsqueda por síntoma de avería: describe el problema y la IA sugiere el componente a revisar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3060"/>
          <w:sz w:val="26"/>
          <w:szCs w:val="26"/>
        </w:rPr>
        <w:t xml:space="preserve">Mejoras a largo plazo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Conexión con catálogo real de Sonepar vía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Escaneo de código de barras en móvil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Modo offline con caché de productos más consultados</w:t>
      </w:r>
    </w:p>
    <w:p>
      <w:pPr>
        <w:pBdr>
          <w:bottom w:val="single" w:color="E8E0D0" w:sz="4" w:space="1"/>
        </w:pBdr>
        <w:spacing w:before="200" w:after="200"/>
      </w:pPr>
      <w:r>
        <w:t xml:space="preserve"/>
      </w:r>
    </w:p>
    <w:p>
      <w:pPr>
        <w:spacing w:before="320" w:after="80"/>
      </w:pPr>
      <w:r>
        <w:rPr>
          <w:rFonts w:ascii="Arial" w:cs="Arial" w:eastAsia="Arial" w:hAnsi="Arial"/>
          <w:b/>
          <w:bCs/>
          <w:color w:val="AAAAAA"/>
          <w:sz w:val="40"/>
          <w:szCs w:val="40"/>
        </w:rPr>
        <w:t xml:space="preserve">03  </w:t>
      </w:r>
      <w:r>
        <w:rPr>
          <w:rFonts w:ascii="Arial" w:cs="Arial" w:eastAsia="Arial" w:hAnsi="Arial"/>
          <w:b/>
          <w:bCs/>
          <w:color w:val="C62828"/>
          <w:sz w:val="40"/>
          <w:szCs w:val="40"/>
        </w:rPr>
        <w:t xml:space="preserve">Dashboard de Incidencias Técnicas</w:t>
      </w:r>
    </w:p>
    <w:p>
      <w:pPr>
        <w:spacing w:before="0" w:after="8"/>
      </w:pPr>
      <w:r>
        <w:rPr>
          <w:rFonts w:ascii="Arial" w:cs="Arial" w:eastAsia="Arial" w:hAnsi="Arial"/>
          <w:i/>
          <w:iCs/>
          <w:color w:val="C62828"/>
          <w:sz w:val="18"/>
          <w:szCs w:val="18"/>
        </w:rPr>
        <w:t xml:space="preserve">/dashboard-incidencias</w:t>
      </w:r>
    </w:p>
    <w:p>
      <w:pPr>
        <w:pBdr>
          <w:bottom w:val="single" w:color="C62828" w:sz="4" w:space="4"/>
        </w:pBdr>
        <w:spacing w:before="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3060"/>
          <w:sz w:val="26"/>
          <w:szCs w:val="26"/>
        </w:rPr>
        <w:t xml:space="preserve">Idea y contexto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Reemplazar el papel, el WhatsApp y el Excel como canales de registro de fallos técnicos en el almacén. Un sistema centralizado donde los operarios registran incidencias y la IA diagnostica la causa probable y sugiere la solución.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3060"/>
          <w:sz w:val="26"/>
          <w:szCs w:val="26"/>
        </w:rPr>
        <w:t xml:space="preserve">Usuario objetivo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Técnicos de mantenimiento, responsables de almacén, operarios de turno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3060"/>
          <w:sz w:val="26"/>
          <w:szCs w:val="26"/>
        </w:rPr>
        <w:t xml:space="preserve">Problema que resuelve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Las incidencias en equipos (variadores, PLCs, robots, sensores) se comunican de forma no estructurada. Se pierde el histórico, se repiten los mismos fallos y no hay datos para el análisis preventivo.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3060"/>
          <w:sz w:val="26"/>
          <w:szCs w:val="26"/>
        </w:rPr>
        <w:t xml:space="preserve">Historial de versiones</w:t>
      </w:r>
    </w:p>
    <w:p>
      <w:pPr>
        <w:spacing w:before="14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626"/>
      </w:tblGrid>
      <w:tr>
        <w:tc>
          <w:tcPr>
            <w:tcW w:type="dxa" w:w="1200"/>
            <w:tcBorders>
              <w:top w:val="single" w:color="C62828" w:sz="6"/>
              <w:left w:val="single" w:color="C62828" w:sz="6"/>
              <w:bottom w:val="single" w:color="C62828" w:sz="6"/>
              <w:right w:val="single" w:color="C62828" w:sz="6"/>
            </w:tcBorders>
            <w:shd w:fill="C628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C62828" w:sz="6"/>
              <w:left w:val="single" w:color="C62828" w:sz="6"/>
              <w:bottom w:val="single" w:color="C62828" w:sz="6"/>
              <w:right w:val="single" w:color="C62828" w:sz="6"/>
            </w:tcBorders>
            <w:shd w:fill="C628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Marzo 2026</w:t>
            </w:r>
          </w:p>
        </w:tc>
        <w:tc>
          <w:tcPr>
            <w:tcW w:type="dxa" w:w="2200"/>
            <w:tcBorders>
              <w:top w:val="single" w:color="C62828" w:sz="6"/>
              <w:left w:val="single" w:color="C62828" w:sz="6"/>
              <w:bottom w:val="single" w:color="C62828" w:sz="6"/>
              <w:right w:val="single" w:color="C62828" w:sz="6"/>
            </w:tcBorders>
            <w:shd w:fill="C628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PUBLICADO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Registro de incidencias con equipo, zona, síntoma, severidad y operario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4 niveles de severidad: Crítica / Alta / Media / Baja con código de color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4 estados de gestión: Abierta / En diagnóstico / Resuelta / Escalada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Filtros combinados por estado y severidad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Vista de detalle con diagnóstico IA: causa, verificación, solución, prevención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KPIs globales: críticas activas, abiertas, en diagnóstico, resueltas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4 incidencias de demo con equipos reales (variador, contactor, sensor, PLC)</w:t>
            </w:r>
          </w:p>
        </w:tc>
      </w:tr>
    </w:tbl>
    <w:p>
      <w:pPr>
        <w:spacing w:before="80" w:after="0"/>
      </w:pPr>
    </w:p>
    <w:p>
      <w:pPr>
        <w:spacing w:before="14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626"/>
      </w:tblGrid>
      <w:tr>
        <w:tc>
          <w:tcPr>
            <w:tcW w:type="dxa" w:w="12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v2.0</w:t>
            </w:r>
          </w:p>
        </w:tc>
        <w:tc>
          <w:tcPr>
            <w:tcW w:type="dxa" w:w="20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Pendiente</w:t>
            </w:r>
          </w:p>
        </w:tc>
        <w:tc>
          <w:tcPr>
            <w:tcW w:type="dxa" w:w="22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 DESARROLLO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Persistencia de incidencias entre sesiones (localStorage)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Indicador visual en el listado de cuáles tienen diagnóstico IA generado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Estadísticas de tiempo medio de resolución por tipo de equipo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Alerta visual automática para incidencias críticas sin atender más de 2 horas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060"/>
                <w:sz w:val="18"/>
                <w:szCs w:val="18"/>
              </w:rPr>
              <w:t xml:space="preserve">⬆ MEJORADO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Confirmación visual (toast) al guardar nuevas incidencias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060"/>
                <w:sz w:val="18"/>
                <w:szCs w:val="18"/>
              </w:rPr>
              <w:t xml:space="preserve">⬆ MEJORADO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Animación de entrada para nuevas incidencias en el listado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Campo de observaciones adicionales para seguimiento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3060"/>
          <w:sz w:val="26"/>
          <w:szCs w:val="26"/>
        </w:rPr>
        <w:t xml:space="preserve">Mejoras a largo plazo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Notificaciones por email o Slack para incidencias críticas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Exportación a Excel del histórico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Dashboard analítico de fiabilidad por equipo</w:t>
      </w:r>
    </w:p>
    <w:p>
      <w:pPr>
        <w:pBdr>
          <w:bottom w:val="single" w:color="E8E0D0" w:sz="4" w:space="1"/>
        </w:pBdr>
        <w:spacing w:before="200" w:after="200"/>
      </w:pPr>
      <w:r>
        <w:t xml:space="preserve"/>
      </w:r>
    </w:p>
    <w:p>
      <w:pPr>
        <w:spacing w:before="320" w:after="80"/>
      </w:pPr>
      <w:r>
        <w:rPr>
          <w:rFonts w:ascii="Arial" w:cs="Arial" w:eastAsia="Arial" w:hAnsi="Arial"/>
          <w:b/>
          <w:bCs/>
          <w:color w:val="AAAAAA"/>
          <w:sz w:val="40"/>
          <w:szCs w:val="40"/>
        </w:rPr>
        <w:t xml:space="preserve">04  </w:t>
      </w:r>
      <w:r>
        <w:rPr>
          <w:rFonts w:ascii="Arial" w:cs="Arial" w:eastAsia="Arial" w:hAnsi="Arial"/>
          <w:b/>
          <w:bCs/>
          <w:color w:val="1565C0"/>
          <w:sz w:val="40"/>
          <w:szCs w:val="40"/>
        </w:rPr>
        <w:t xml:space="preserve">Calculadora de KPIs Logísticos</w:t>
      </w:r>
    </w:p>
    <w:p>
      <w:pPr>
        <w:spacing w:before="0" w:after="8"/>
      </w:pPr>
      <w:r>
        <w:rPr>
          <w:rFonts w:ascii="Arial" w:cs="Arial" w:eastAsia="Arial" w:hAnsi="Arial"/>
          <w:i/>
          <w:iCs/>
          <w:color w:val="1565C0"/>
          <w:sz w:val="18"/>
          <w:szCs w:val="18"/>
        </w:rPr>
        <w:t xml:space="preserve">/kpi-logistico</w:t>
      </w:r>
    </w:p>
    <w:p>
      <w:pPr>
        <w:pBdr>
          <w:bottom w:val="single" w:color="1565C0" w:sz="4" w:space="4"/>
        </w:pBdr>
        <w:spacing w:before="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3060"/>
          <w:sz w:val="26"/>
          <w:szCs w:val="26"/>
        </w:rPr>
        <w:t xml:space="preserve">Idea y contexto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Convertir los datos brutos de cualquier turno en indicadores accionables. El responsable introduce los números del turno y obtiene al instante 6 KPIs comparados con benchmarks del sector, gráficos de histórico y un informe ejecutivo generado por IA.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3060"/>
          <w:sz w:val="26"/>
          <w:szCs w:val="26"/>
        </w:rPr>
        <w:t xml:space="preserve">Usuario objetivo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Responsables de turno, jefes de almacén, directores de delegación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3060"/>
          <w:sz w:val="26"/>
          <w:szCs w:val="26"/>
        </w:rPr>
        <w:t xml:space="preserve">Problema que resuelve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El análisis de rendimiento de turno se hace manualmente o no se hace. Sin indicadores estructurados es difícil detectar problemas sistemáticos, justificar decisiones o comparar delegaciones.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3060"/>
          <w:sz w:val="26"/>
          <w:szCs w:val="26"/>
        </w:rPr>
        <w:t xml:space="preserve">Historial de versiones</w:t>
      </w:r>
    </w:p>
    <w:p>
      <w:pPr>
        <w:spacing w:before="14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626"/>
      </w:tblGrid>
      <w:tr>
        <w:tc>
          <w:tcPr>
            <w:tcW w:type="dxa" w:w="120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Marzo 2026</w:t>
            </w:r>
          </w:p>
        </w:tc>
        <w:tc>
          <w:tcPr>
            <w:tcW w:type="dxa" w:w="220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PUBLICADO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Cálculo automático de 6 KPIs: pedidos/hora, error picking, tiempo ciclo, ocupación, devoluciones, productividad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Semáforo visual (verde/naranja/rojo) comparado con benchmarks del sector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Selector de delegación y turno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Gráfico de barras: pedidos por día de la semana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Gráfico de línea: evolución del error de picking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Informe ejecutivo IA: resumen, puntos fuertes, mejoras, recomendación</w:t>
            </w:r>
          </w:p>
        </w:tc>
      </w:tr>
    </w:tbl>
    <w:p>
      <w:pPr>
        <w:spacing w:before="80" w:after="0"/>
      </w:pPr>
    </w:p>
    <w:p>
      <w:pPr>
        <w:spacing w:before="14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626"/>
      </w:tblGrid>
      <w:tr>
        <w:tc>
          <w:tcPr>
            <w:tcW w:type="dxa" w:w="12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v2.0</w:t>
            </w:r>
          </w:p>
        </w:tc>
        <w:tc>
          <w:tcPr>
            <w:tcW w:type="dxa" w:w="20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Pendiente</w:t>
            </w:r>
          </w:p>
        </w:tc>
        <w:tc>
          <w:tcPr>
            <w:tcW w:type="dxa" w:w="22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 DESARROLLO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Botón de carga de datos de ejemplo para entender los campos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060"/>
                <w:sz w:val="18"/>
                <w:szCs w:val="18"/>
              </w:rPr>
              <w:t xml:space="preserve">⬆ MEJORADO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Gráficos que reflejan los datos reales introducidos (no hardcodeados)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Guardado de informes de turno con histórico consultable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Comparativa entre dos turnos o dos delegaciones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060"/>
                <w:sz w:val="18"/>
                <w:szCs w:val="18"/>
              </w:rPr>
              <w:t xml:space="preserve">⬆ MEJORADO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Tooltips explicativos en cada campo del formulario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Exportación del informe a PDF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3060"/>
          <w:sz w:val="26"/>
          <w:szCs w:val="26"/>
        </w:rPr>
        <w:t xml:space="preserve">Mejoras a largo plazo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Benchmark por sector específico (distribución eléctrica B2B)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Integración con SGA para importar datos automáticamente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Vista multi-delegación para dirección regional</w:t>
      </w:r>
    </w:p>
    <w:p>
      <w:pPr>
        <w:pBdr>
          <w:bottom w:val="single" w:color="E8E0D0" w:sz="4" w:space="1"/>
        </w:pBdr>
        <w:spacing w:before="200" w:after="200"/>
      </w:pPr>
      <w:r>
        <w:t xml:space="preserve"/>
      </w:r>
    </w:p>
    <w:p>
      <w:pPr>
        <w:spacing w:before="320" w:after="80"/>
      </w:pPr>
      <w:r>
        <w:rPr>
          <w:rFonts w:ascii="Arial" w:cs="Arial" w:eastAsia="Arial" w:hAnsi="Arial"/>
          <w:b/>
          <w:bCs/>
          <w:color w:val="AAAAAA"/>
          <w:sz w:val="40"/>
          <w:szCs w:val="40"/>
        </w:rPr>
        <w:t xml:space="preserve">05  </w:t>
      </w:r>
      <w:r>
        <w:rPr>
          <w:rFonts w:ascii="Arial" w:cs="Arial" w:eastAsia="Arial" w:hAnsi="Arial"/>
          <w:b/>
          <w:bCs/>
          <w:color w:val="2D5016"/>
          <w:sz w:val="40"/>
          <w:szCs w:val="40"/>
        </w:rPr>
        <w:t xml:space="preserve">Generador de Presupuestos</w:t>
      </w:r>
    </w:p>
    <w:p>
      <w:pPr>
        <w:spacing w:before="0" w:after="8"/>
      </w:pPr>
      <w:r>
        <w:rPr>
          <w:rFonts w:ascii="Arial" w:cs="Arial" w:eastAsia="Arial" w:hAnsi="Arial"/>
          <w:i/>
          <w:iCs/>
          <w:color w:val="2D5016"/>
          <w:sz w:val="18"/>
          <w:szCs w:val="18"/>
        </w:rPr>
        <w:t xml:space="preserve">/presupuestos</w:t>
      </w:r>
    </w:p>
    <w:p>
      <w:pPr>
        <w:pBdr>
          <w:bottom w:val="single" w:color="2D5016" w:sz="4" w:space="4"/>
        </w:pBdr>
        <w:spacing w:before="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3060"/>
          <w:sz w:val="26"/>
          <w:szCs w:val="26"/>
        </w:rPr>
        <w:t xml:space="preserve">Idea y contexto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Una herramienta que permite a cualquier instalador o comercial de Sonepar generar en menos de 2 minutos un presupuesto estimado completo para los tipos de instalación más habituales, con partidas detalladas, precios orientativos y exportación PDF.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3060"/>
          <w:sz w:val="26"/>
          <w:szCs w:val="26"/>
        </w:rPr>
        <w:t xml:space="preserve">Usuario objetivo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Instaladores clientes de Sonepar, comerciales de delegación, técnicos de proyectos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3060"/>
          <w:sz w:val="26"/>
          <w:szCs w:val="26"/>
        </w:rPr>
        <w:t xml:space="preserve">Problema que resuelve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Calcular un presupuesto de material requiere experiencia, tiempo y acceso a catálogos. Muchos instaladores pequeños improvisan o pierden oportunidades de venta por no poder presupuestar rápido.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3060"/>
          <w:sz w:val="26"/>
          <w:szCs w:val="26"/>
        </w:rPr>
        <w:t xml:space="preserve">Historial de versiones</w:t>
      </w:r>
    </w:p>
    <w:p>
      <w:pPr>
        <w:spacing w:before="14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626"/>
      </w:tblGrid>
      <w:tr>
        <w:tc>
          <w:tcPr>
            <w:tcW w:type="dxa" w:w="1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AAAAA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AAAAA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Marzo 2026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AAAAA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SUPERADO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6 tipos de instalación: automatización, iluminación, VE, cuadro eléctrico, solar, climatización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Flujo de 3 pasos: categoría → parámetros → resultado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Partidas detalladas con referencias de fabricante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Desglose subtotal material + mano de obra + IVA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Productos recomendados y notas técnicas</w:t>
            </w:r>
          </w:p>
        </w:tc>
      </w:tr>
    </w:tbl>
    <w:p>
      <w:pPr>
        <w:spacing w:before="80" w:after="0"/>
      </w:pPr>
    </w:p>
    <w:p>
      <w:pPr>
        <w:spacing w:before="14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626"/>
      </w:tblGrid>
      <w:tr>
        <w:tc>
          <w:tcPr>
            <w:tcW w:type="dxa" w:w="1200"/>
            <w:tcBorders>
              <w:top w:val="single" w:color="2D5016" w:sz="6"/>
              <w:left w:val="single" w:color="2D5016" w:sz="6"/>
              <w:bottom w:val="single" w:color="2D5016" w:sz="6"/>
              <w:right w:val="single" w:color="2D5016" w:sz="6"/>
            </w:tcBorders>
            <w:shd w:fill="2D501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v2.0</w:t>
            </w:r>
          </w:p>
        </w:tc>
        <w:tc>
          <w:tcPr>
            <w:tcW w:type="dxa" w:w="2000"/>
            <w:tcBorders>
              <w:top w:val="single" w:color="2D5016" w:sz="6"/>
              <w:left w:val="single" w:color="2D5016" w:sz="6"/>
              <w:bottom w:val="single" w:color="2D5016" w:sz="6"/>
              <w:right w:val="single" w:color="2D5016" w:sz="6"/>
            </w:tcBorders>
            <w:shd w:fill="2D501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Marzo 2026</w:t>
            </w:r>
          </w:p>
        </w:tc>
        <w:tc>
          <w:tcPr>
            <w:tcW w:type="dxa" w:w="2200"/>
            <w:tcBorders>
              <w:top w:val="single" w:color="2D5016" w:sz="6"/>
              <w:left w:val="single" w:color="2D5016" w:sz="6"/>
              <w:bottom w:val="single" w:color="2D5016" w:sz="6"/>
              <w:right w:val="single" w:color="2D5016" w:sz="6"/>
            </w:tcBorders>
            <w:shd w:fill="2D501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PUBLICADO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Datos del instalador en paso 1 con persistencia automática (nombre, empresa, CIF, teléfono, email)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Número de presupuesto generado automáticamente (formato SNP-AAAAMM-XXX)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Fecha de emisión en el documento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Datos del cliente ampliados: teléfono y email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Botón de carga de datos de ejemplo por categoría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Validación de campos con mensaje de error específico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Exportación PDF con window.print() — documento limpio sin botones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Copiar resumen al portapapeles (texto listo para WhatsApp o email)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Historial persistente de presupuestos generados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Normativas aplicables como tercera columna en el resultado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Disclaimer visible de estimación orientativa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060"/>
                <w:sz w:val="18"/>
                <w:szCs w:val="18"/>
              </w:rPr>
              <w:t xml:space="preserve">⬆ MEJORADO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Total con IVA desglosado visualmente en tres líneas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060"/>
                <w:sz w:val="18"/>
                <w:szCs w:val="18"/>
              </w:rPr>
              <w:t xml:space="preserve">⬆ MEJORADO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Cabecera del documento con datos completos del instalador y cliente</w:t>
            </w:r>
          </w:p>
        </w:tc>
      </w:tr>
    </w:tbl>
    <w:p>
      <w:pPr>
        <w:spacing w:before="80" w:after="0"/>
      </w:pPr>
    </w:p>
    <w:p>
      <w:pPr>
        <w:spacing w:before="14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626"/>
      </w:tblGrid>
      <w:tr>
        <w:tc>
          <w:tcPr>
            <w:tcW w:type="dxa" w:w="12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v3.0</w:t>
            </w:r>
          </w:p>
        </w:tc>
        <w:tc>
          <w:tcPr>
            <w:tcW w:type="dxa" w:w="20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Pendiente</w:t>
            </w:r>
          </w:p>
        </w:tc>
        <w:tc>
          <w:tcPr>
            <w:tcW w:type="dxa" w:w="22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PLANIFICADO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Comparativa de dos presupuestos lado a lado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Campo de condiciones de pago (contado, 30, 60, 90 días)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Logo del instalador en el PDF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Opción de añadir partidas manuales adicionales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060"/>
                <w:sz w:val="18"/>
                <w:szCs w:val="18"/>
              </w:rPr>
              <w:t xml:space="preserve">⬆ MEJORADO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Coherencia de precios entre consultas similares mediante precios base fijos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3060"/>
          <w:sz w:val="26"/>
          <w:szCs w:val="26"/>
        </w:rPr>
        <w:t xml:space="preserve">Mejoras a largo plazo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Integración con catálogo de precios real de Sonepar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Envío por email directamente desde la herramienta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Firma digital del presupuesto</w:t>
      </w:r>
    </w:p>
    <w:p>
      <w:pPr>
        <w:pBdr>
          <w:bottom w:val="single" w:color="E8E0D0" w:sz="4" w:space="1"/>
        </w:pBdr>
        <w:spacing w:before="200" w:after="200"/>
      </w:pPr>
      <w:r>
        <w:t xml:space="preserve"/>
      </w:r>
    </w:p>
    <w:p>
      <w:pPr>
        <w:spacing w:before="320" w:after="80"/>
      </w:pPr>
      <w:r>
        <w:rPr>
          <w:rFonts w:ascii="Arial" w:cs="Arial" w:eastAsia="Arial" w:hAnsi="Arial"/>
          <w:b/>
          <w:bCs/>
          <w:color w:val="AAAAAA"/>
          <w:sz w:val="40"/>
          <w:szCs w:val="40"/>
        </w:rPr>
        <w:t xml:space="preserve">06  </w:t>
      </w:r>
      <w:r>
        <w:rPr>
          <w:rFonts w:ascii="Arial" w:cs="Arial" w:eastAsia="Arial" w:hAnsi="Arial"/>
          <w:b/>
          <w:bCs/>
          <w:color w:val="3949AB"/>
          <w:sz w:val="40"/>
          <w:szCs w:val="40"/>
        </w:rPr>
        <w:t xml:space="preserve">Sistema de Formación Interna</w:t>
      </w:r>
    </w:p>
    <w:p>
      <w:pPr>
        <w:spacing w:before="0" w:after="8"/>
      </w:pPr>
      <w:r>
        <w:rPr>
          <w:rFonts w:ascii="Arial" w:cs="Arial" w:eastAsia="Arial" w:hAnsi="Arial"/>
          <w:i/>
          <w:iCs/>
          <w:color w:val="3949AB"/>
          <w:sz w:val="18"/>
          <w:szCs w:val="18"/>
        </w:rPr>
        <w:t xml:space="preserve">/formacion-interna</w:t>
      </w:r>
    </w:p>
    <w:p>
      <w:pPr>
        <w:pBdr>
          <w:bottom w:val="single" w:color="3949AB" w:sz="4" w:space="4"/>
        </w:pBdr>
        <w:spacing w:before="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3060"/>
          <w:sz w:val="26"/>
          <w:szCs w:val="26"/>
        </w:rPr>
        <w:t xml:space="preserve">Idea y contexto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Un tracker de formación técnica por empleado que permite a los responsables de delegación visualizar el progreso formativo de todo el equipo, gestionar módulos y obtener planes de desarrollo personalizados con IA para cada persona.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3060"/>
          <w:sz w:val="26"/>
          <w:szCs w:val="26"/>
        </w:rPr>
        <w:t xml:space="preserve">Usuario objetivo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Responsables de RRHH, jefes de delegación, responsables de formación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3060"/>
          <w:sz w:val="26"/>
          <w:szCs w:val="26"/>
        </w:rPr>
        <w:t xml:space="preserve">Problema que resuelve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Sonepar tiene más de 2.200 empleados en constante rotación por adquisiciones. El seguimiento de formación se hace con Excel o no se hace. Sin visibilidad del estado formativo del equipo es difícil garantizar compliance en módulos obligatorios o identificar gaps de competencia.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3060"/>
          <w:sz w:val="26"/>
          <w:szCs w:val="26"/>
        </w:rPr>
        <w:t xml:space="preserve">Historial de versiones</w:t>
      </w:r>
    </w:p>
    <w:p>
      <w:pPr>
        <w:spacing w:before="14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626"/>
      </w:tblGrid>
      <w:tr>
        <w:tc>
          <w:tcPr>
            <w:tcW w:type="dxa" w:w="1200"/>
            <w:tcBorders>
              <w:top w:val="single" w:color="3949AB" w:sz="6"/>
              <w:left w:val="single" w:color="3949AB" w:sz="6"/>
              <w:bottom w:val="single" w:color="3949AB" w:sz="6"/>
              <w:right w:val="single" w:color="3949AB" w:sz="6"/>
            </w:tcBorders>
            <w:shd w:fill="3949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3949AB" w:sz="6"/>
              <w:left w:val="single" w:color="3949AB" w:sz="6"/>
              <w:bottom w:val="single" w:color="3949AB" w:sz="6"/>
              <w:right w:val="single" w:color="3949AB" w:sz="6"/>
            </w:tcBorders>
            <w:shd w:fill="3949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Marzo 2026</w:t>
            </w:r>
          </w:p>
        </w:tc>
        <w:tc>
          <w:tcPr>
            <w:tcW w:type="dxa" w:w="2200"/>
            <w:tcBorders>
              <w:top w:val="single" w:color="3949AB" w:sz="6"/>
              <w:left w:val="single" w:color="3949AB" w:sz="6"/>
              <w:bottom w:val="single" w:color="3949AB" w:sz="6"/>
              <w:right w:val="single" w:color="3949AB" w:sz="6"/>
            </w:tcBorders>
            <w:shd w:fill="3949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PUBLICADO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Dashboard de empleados con barra de progreso individual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9 módulos formativos organizados en 5 áreas: Seguridad, Sistemas, Operaciones, Técnico, Comercial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Distinción visual de módulos obligatorios vs opcionales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Estados por módulo: pendiente / en curso / completado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Ficha de empleado con gestión interactiva de módulos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Plan de desarrollo personalizado IA por empleado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Estadísticas de horas formadas por área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KPIs globales: total empleados, compliance obligatorio, progreso medio, horas totales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Filtros por rol en el dashboard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Registro de nuevos empleados</w:t>
            </w:r>
          </w:p>
        </w:tc>
      </w:tr>
    </w:tbl>
    <w:p>
      <w:pPr>
        <w:spacing w:before="80" w:after="0"/>
      </w:pPr>
    </w:p>
    <w:p>
      <w:pPr>
        <w:spacing w:before="14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626"/>
      </w:tblGrid>
      <w:tr>
        <w:tc>
          <w:tcPr>
            <w:tcW w:type="dxa" w:w="12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v2.0</w:t>
            </w:r>
          </w:p>
        </w:tc>
        <w:tc>
          <w:tcPr>
            <w:tcW w:type="dxa" w:w="20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Pendiente</w:t>
            </w:r>
          </w:p>
        </w:tc>
        <w:tc>
          <w:tcPr>
            <w:tcW w:type="dxa" w:w="22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 DESARROLLO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Vista de matriz: empleados en filas × módulos en columnas, celda coloreada por estado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Creación de módulos personalizados desde la interfaz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Persistencia completa de empleados y progreso entre sesiones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060"/>
                <w:sz w:val="18"/>
                <w:szCs w:val="18"/>
              </w:rPr>
              <w:t xml:space="preserve">⬆ MEJORADO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Navegación simplificada en la ficha de empleado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Fecha de completado por módulo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Exportación del estado formativo del equipo a PDF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Alerta automática para módulos obligatorios sin completar en empleados con más de 30 días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3060"/>
          <w:sz w:val="26"/>
          <w:szCs w:val="26"/>
        </w:rPr>
        <w:t xml:space="preserve">Mejoras a largo plazo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Integración con sistema HR de Sonepar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Certificados de formación descargables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Notificaciones automáticas de vencimiento de formaciones periódicas</w:t>
      </w:r>
    </w:p>
    <w:p>
      <w:pPr>
        <w:pBdr>
          <w:bottom w:val="single" w:color="E8E0D0" w:sz="4" w:space="1"/>
        </w:pBdr>
        <w:spacing w:before="200" w:after="200"/>
      </w:pPr>
      <w:r>
        <w:t xml:space="preserve"/>
      </w:r>
    </w:p>
    <w:p>
      <w:pPr>
        <w:spacing w:before="320" w:after="80"/>
      </w:pPr>
      <w:r>
        <w:rPr>
          <w:rFonts w:ascii="Arial" w:cs="Arial" w:eastAsia="Arial" w:hAnsi="Arial"/>
          <w:b/>
          <w:bCs/>
          <w:color w:val="AAAAAA"/>
          <w:sz w:val="40"/>
          <w:szCs w:val="40"/>
        </w:rPr>
        <w:t xml:space="preserve">07  </w:t>
      </w:r>
      <w:r>
        <w:rPr>
          <w:rFonts w:ascii="Arial" w:cs="Arial" w:eastAsia="Arial" w:hAnsi="Arial"/>
          <w:b/>
          <w:bCs/>
          <w:color w:val="FF6B00"/>
          <w:sz w:val="40"/>
          <w:szCs w:val="40"/>
        </w:rPr>
        <w:t xml:space="preserve">SONEX — Chatbot Técnico</w:t>
      </w:r>
    </w:p>
    <w:p>
      <w:pPr>
        <w:spacing w:before="0" w:after="8"/>
      </w:pPr>
      <w:r>
        <w:rPr>
          <w:rFonts w:ascii="Arial" w:cs="Arial" w:eastAsia="Arial" w:hAnsi="Arial"/>
          <w:i/>
          <w:iCs/>
          <w:color w:val="FF6B00"/>
          <w:sz w:val="18"/>
          <w:szCs w:val="18"/>
        </w:rPr>
        <w:t xml:space="preserve">/chatbot-tecnico</w:t>
      </w:r>
    </w:p>
    <w:p>
      <w:pPr>
        <w:pBdr>
          <w:bottom w:val="single" w:color="FF6B00" w:sz="4" w:space="4"/>
        </w:pBdr>
        <w:spacing w:before="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3060"/>
          <w:sz w:val="26"/>
          <w:szCs w:val="26"/>
        </w:rPr>
        <w:t xml:space="preserve">Idea y contexto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Un asistente conversacional especializado en material eléctrico e industrial que actúa como el técnico más experimentado del mostrador, siempre disponible, capaz de responder preguntas técnicas complejas, recomendar productos con referencias reales y citar normativas aplicables.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3060"/>
          <w:sz w:val="26"/>
          <w:szCs w:val="26"/>
        </w:rPr>
        <w:t xml:space="preserve">Usuario objetivo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Técnicos de mostrador, instaladores, personal de ventas, técnicos de mantenimiento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3060"/>
          <w:sz w:val="26"/>
          <w:szCs w:val="26"/>
        </w:rPr>
        <w:t xml:space="preserve">Problema que resuelve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El conocimiento técnico en el mostrador es irregular: algunos comerciales tienen mucha experiencia, otros poco. SONEX democratiza el acceso a conocimiento técnico especializado en toda la red de delegaciones.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3060"/>
          <w:sz w:val="26"/>
          <w:szCs w:val="26"/>
        </w:rPr>
        <w:t xml:space="preserve">Historial de versiones</w:t>
      </w:r>
    </w:p>
    <w:p>
      <w:pPr>
        <w:spacing w:before="14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626"/>
      </w:tblGrid>
      <w:tr>
        <w:tc>
          <w:tcPr>
            <w:tcW w:type="dxa" w:w="1200"/>
            <w:tcBorders>
              <w:top w:val="single" w:color="FF6B00" w:sz="6"/>
              <w:left w:val="single" w:color="FF6B00" w:sz="6"/>
              <w:bottom w:val="single" w:color="FF6B00" w:sz="6"/>
              <w:right w:val="single" w:color="FF6B00" w:sz="6"/>
            </w:tcBorders>
            <w:shd w:fill="FF6B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FF6B00" w:sz="6"/>
              <w:left w:val="single" w:color="FF6B00" w:sz="6"/>
              <w:bottom w:val="single" w:color="FF6B00" w:sz="6"/>
              <w:right w:val="single" w:color="FF6B00" w:sz="6"/>
            </w:tcBorders>
            <w:shd w:fill="FF6B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Marzo 2026</w:t>
            </w:r>
          </w:p>
        </w:tc>
        <w:tc>
          <w:tcPr>
            <w:tcW w:type="dxa" w:w="2200"/>
            <w:tcBorders>
              <w:top w:val="single" w:color="FF6B00" w:sz="6"/>
              <w:left w:val="single" w:color="FF6B00" w:sz="6"/>
              <w:bottom w:val="single" w:color="FF6B00" w:sz="6"/>
              <w:right w:val="single" w:color="FF6B00" w:sz="6"/>
            </w:tcBorders>
            <w:shd w:fill="FF6B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PUBLICADO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Conversación con memoria de contexto completa (multi-turno)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System prompt especializado en material eléctrico con 20 años de experiencia simulada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6 temas rápidos en sidebar: variadores, PLCs, protecciones, VE, solar, cableado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8 preguntas frecuentes de ejemplo para arrancar la conversación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Indicador de estado en línea y contador de turnos de conversación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Diseño terminal oscuro con estética diferenciada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Botón de nueva conversación con reset de contexto</w:t>
            </w:r>
          </w:p>
        </w:tc>
      </w:tr>
    </w:tbl>
    <w:p>
      <w:pPr>
        <w:spacing w:before="80" w:after="0"/>
      </w:pPr>
    </w:p>
    <w:p>
      <w:pPr>
        <w:spacing w:before="14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626"/>
      </w:tblGrid>
      <w:tr>
        <w:tc>
          <w:tcPr>
            <w:tcW w:type="dxa" w:w="12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v2.0</w:t>
            </w:r>
          </w:p>
        </w:tc>
        <w:tc>
          <w:tcPr>
            <w:tcW w:type="dxa" w:w="20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Pendiente</w:t>
            </w:r>
          </w:p>
        </w:tc>
        <w:tc>
          <w:tcPr>
            <w:tcW w:type="dxa" w:w="22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 DESARROLLO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Botón de copiar respuesta individual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060"/>
                <w:sz w:val="18"/>
                <w:szCs w:val="18"/>
              </w:rPr>
              <w:t xml:space="preserve">⬆ MEJORADO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Layout responsive para móvil (columna única en pantallas pequeñas)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Modo consulta rápida: categorías y subcategorías sin necesidad de escribir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Historial de conversaciones guardadas y recuperables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060"/>
                <w:sz w:val="18"/>
                <w:szCs w:val="18"/>
              </w:rPr>
              <w:t xml:space="preserve">⬆ MEJORADO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Disclaimer de verificación con fabricante más visible</w:t>
            </w:r>
          </w:p>
        </w:tc>
      </w:tr>
      <w:tr>
        <w:tc>
          <w:tcPr>
            <w:tcW w:type="dxa" w:w="1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✚ AÑADIDO</w:t>
            </w:r>
          </w:p>
        </w:tc>
        <w:tc>
          <w:tcPr>
            <w:tcW w:type="dxa" w:w="4200"/>
            <w:tcBorders>
              <w:top w:val="single" w:color="E8E0D0" w:sz="6"/>
              <w:left w:val="single" w:color="E8E0D0" w:sz="6"/>
              <w:bottom w:val="single" w:color="E8E0D0" w:sz="6"/>
              <w:right w:val="single" w:color="E8E0D0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Indicador de confianza en las respuestas (alta/media/baja certeza)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3060"/>
          <w:sz w:val="26"/>
          <w:szCs w:val="26"/>
        </w:rPr>
        <w:t xml:space="preserve">Mejoras a largo plazo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Integración con base de datos de productos de Sonepar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Modo voz para uso en almacén con manos ocupadas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Versión embebida para la web de Sonepar España</w:t>
      </w:r>
    </w:p>
    <w:p>
      <w:pPr>
        <w:pBdr>
          <w:bottom w:val="single" w:color="E8E0D0" w:sz="4" w:space="1"/>
        </w:pBdr>
        <w:spacing w:before="200" w:after="20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D501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A306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2026-03-07T03:42:02.587Z</dcterms:created>
  <dcterms:modified xsi:type="dcterms:W3CDTF">2026-03-07T03:42:02.587Z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