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color w:val="999999"/>
          <w:sz w:val="20"/>
          <w:szCs w:val="20"/>
        </w:rPr>
        <w:t xml:space="preserve">SONEPAR TOOLS  ·  PLAN DE ACTUALIZACIÓN</w:t>
      </w:r>
    </w:p>
    <w:p>
      <w:pPr>
        <w:spacing w:before="0" w:after="10"/>
      </w:pPr>
      <w:r>
        <w:rPr>
          <w:rFonts w:ascii="Arial" w:cs="Arial" w:eastAsia="Arial" w:hAnsi="Arial"/>
          <w:b/>
          <w:bCs/>
          <w:color w:val="1A1A2E"/>
          <w:sz w:val="40"/>
          <w:szCs w:val="40"/>
        </w:rPr>
        <w:t xml:space="preserve">Dashboard de Incidencias Técnicas</w:t>
      </w:r>
    </w:p>
    <w:p>
      <w:pPr>
        <w:pBdr>
          <w:bottom w:val="single" w:color="C62828" w:sz="12" w:space="6"/>
        </w:pBdr>
        <w:spacing w:before="0" w:after="30"/>
      </w:pPr>
      <w:r>
        <w:rPr>
          <w:rFonts w:ascii="Arial" w:cs="Arial" w:eastAsia="Arial" w:hAnsi="Arial"/>
          <w:b/>
          <w:bCs/>
          <w:color w:val="C62828"/>
          <w:sz w:val="26"/>
          <w:szCs w:val="26"/>
        </w:rPr>
        <w:t xml:space="preserve">v2.0  </w:t>
      </w:r>
      <w:r>
        <w:rPr>
          <w:rFonts w:ascii="Arial" w:cs="Arial" w:eastAsia="Arial" w:hAnsi="Arial"/>
          <w:color w:val="999999"/>
          <w:sz w:val="20"/>
          <w:szCs w:val="20"/>
        </w:rPr>
        <w:t xml:space="preserve">·  Plan previo al desarrollo  ·  Marzo 2026  ·  Iago Robo</w:t>
      </w:r>
    </w:p>
    <w:p>
      <w:pPr>
        <w:pBdr>
          <w:left w:val="single" w:color="C07010" w:sz="20" w:space="6"/>
        </w:pBdr>
        <w:shd w:fill="FFF8E1" w:val="clear"/>
        <w:spacing w:before="200" w:after="200"/>
        <w:ind w:left="200"/>
      </w:pPr>
      <w:r>
        <w:rPr>
          <w:rFonts w:ascii="Arial" w:cs="Arial" w:eastAsia="Arial" w:hAnsi="Arial"/>
          <w:b/>
          <w:bCs/>
          <w:color w:val="C07010"/>
          <w:sz w:val="19"/>
          <w:szCs w:val="19"/>
        </w:rPr>
        <w:t xml:space="preserve">Este documento recoge la intención de desarrollo antes de tocar el código. </w:t>
      </w:r>
      <w:r>
        <w:rPr>
          <w:rFonts w:ascii="Arial" w:cs="Arial" w:eastAsia="Arial" w:hAnsi="Arial"/>
          <w:color w:val="555555"/>
          <w:sz w:val="19"/>
          <w:szCs w:val="19"/>
        </w:rPr>
        <w:t xml:space="preserve">Los cambios aquí descritos son el objetivo — el CHANGELOG v2.0 documentará lo que finalmente se implementó y cómo quedó.</w:t>
      </w:r>
    </w:p>
    <w:p>
      <w:pPr>
        <w:spacing w:before="260" w:after="80"/>
      </w:pPr>
      <w:r>
        <w:rPr>
          <w:rFonts w:ascii="Arial" w:cs="Arial" w:eastAsia="Arial" w:hAnsi="Arial"/>
          <w:b/>
          <w:bCs/>
          <w:color w:val="1A1A2E"/>
          <w:sz w:val="22"/>
          <w:szCs w:val="22"/>
        </w:rPr>
        <w:t xml:space="preserve">1. Contexto — por qué se actualiza</w:t>
      </w:r>
    </w:p>
    <w:p>
      <w:pPr>
        <w:spacing w:before="60" w:after="80"/>
      </w:pPr>
      <w:r>
        <w:rPr>
          <w:rFonts w:ascii="Arial" w:cs="Arial" w:eastAsia="Arial" w:hAnsi="Arial"/>
          <w:color w:val="555555"/>
          <w:sz w:val="19"/>
          <w:szCs w:val="19"/>
        </w:rPr>
        <w:t xml:space="preserve">El Dashboard de Incidencias v1.0 es funcional como prototipo de demostración pero presenta tres problemas críticos para un uso real en delegación: los datos no persisten entre sesiones (cualquier incidencia registrada se pierde al recargar), no hay diferenciación visual entre incidencias con y sin diagnóstico IA generado, y no existe ningún mecanismo de alerta para situaciones críticas sin atender. Estos tres puntos son los que bloquean el paso de prototipo a herramienta usable en un turno real.</w:t>
      </w:r>
    </w:p>
    <w:p>
      <w:pPr>
        <w:spacing w:before="260" w:after="80"/>
      </w:pPr>
      <w:r>
        <w:rPr>
          <w:rFonts w:ascii="Arial" w:cs="Arial" w:eastAsia="Arial" w:hAnsi="Arial"/>
          <w:b/>
          <w:bCs/>
          <w:color w:val="1A1A2E"/>
          <w:sz w:val="22"/>
          <w:szCs w:val="22"/>
        </w:rPr>
        <w:t xml:space="preserve">2. Objetivo de la v2.0</w:t>
      </w:r>
    </w:p>
    <w:p>
      <w:pPr>
        <w:spacing w:before="60" w:after="80"/>
      </w:pPr>
      <w:r>
        <w:rPr>
          <w:rFonts w:ascii="Arial" w:cs="Arial" w:eastAsia="Arial" w:hAnsi="Arial"/>
          <w:color w:val="555555"/>
          <w:sz w:val="19"/>
          <w:szCs w:val="19"/>
        </w:rPr>
        <w:t xml:space="preserve">Convertir el dashboard en una herramienta operativa para un turno real de almacén. El usuario debe poder registrar incidencias, que estas sobrevivan a una recarga de página, ver de un vistazo cuáles tienen diagnóstico y cuáles no, y recibir una alerta si una incidencia crítica lleva demasiado tiempo sin atender.</w:t>
      </w:r>
    </w:p>
    <w:p>
      <w:pPr>
        <w:spacing w:before="260" w:after="80"/>
      </w:pPr>
      <w:r>
        <w:rPr>
          <w:rFonts w:ascii="Arial" w:cs="Arial" w:eastAsia="Arial" w:hAnsi="Arial"/>
          <w:b/>
          <w:bCs/>
          <w:color w:val="1A1A2E"/>
          <w:sz w:val="22"/>
          <w:szCs w:val="22"/>
        </w:rPr>
        <w:t xml:space="preserve">3. Alcance de los cambios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226"/>
      </w:tblGrid>
      <w:tr>
        <w:tc>
          <w:tcPr>
            <w:tcW w:type="dxa" w:w="12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Prioridad</w:t>
            </w:r>
          </w:p>
        </w:tc>
        <w:tc>
          <w:tcPr>
            <w:tcW w:type="dxa" w:w="26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Cambio</w:t>
            </w:r>
          </w:p>
        </w:tc>
        <w:tc>
          <w:tcPr>
            <w:tcW w:type="dxa" w:w="5226"/>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Descripción del objetivo</w:t>
            </w:r>
          </w:p>
        </w:tc>
      </w:tr>
      <w:tr>
        <w:tc>
          <w:tcPr>
            <w:tcW w:type="dxa" w:w="1200"/>
            <w:tcBorders>
              <w:top w:val="single" w:color="C62828" w:sz="6"/>
              <w:left w:val="single" w:color="C62828" w:sz="6"/>
              <w:bottom w:val="single" w:color="C62828" w:sz="6"/>
              <w:right w:val="single" w:color="C62828" w:sz="6"/>
            </w:tcBorders>
            <w:shd w:fill="C62828" w:val="clear"/>
            <w:tcMar>
              <w:top w:type="dxa" w:w="90"/>
              <w:left w:type="dxa" w:w="120"/>
              <w:bottom w:type="dxa" w:w="90"/>
              <w:right w:type="dxa" w:w="120"/>
            </w:tcMar>
          </w:tcPr>
          <w:p>
            <w:pPr>
              <w:jc w:val="center"/>
            </w:pPr>
            <w:r>
              <w:rPr>
                <w:rFonts w:ascii="Arial" w:cs="Arial" w:eastAsia="Arial" w:hAnsi="Arial"/>
                <w:b/>
                <w:bCs/>
                <w:color w:val="FFFFFF"/>
                <w:sz w:val="16"/>
                <w:szCs w:val="16"/>
              </w:rPr>
              <w:t xml:space="preserve">ALTA</w:t>
            </w:r>
          </w:p>
        </w:tc>
        <w:tc>
          <w:tcPr>
            <w:tcW w:type="dxa" w:w="26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9"/>
                <w:szCs w:val="19"/>
              </w:rPr>
              <w:t xml:space="preserve">Persistencia localStorage</w:t>
            </w:r>
          </w:p>
        </w:tc>
        <w:tc>
          <w:tcPr>
            <w:tcW w:type="dxa" w:w="52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9"/>
                <w:szCs w:val="19"/>
              </w:rPr>
              <w:t xml:space="preserve">Las incidencias deben sobrevivir a una recarga. El usuario que registra una incidencia en el turno de mañana debe verla cuando vuelve por la tarde.</w:t>
            </w:r>
          </w:p>
        </w:tc>
      </w:tr>
      <w:tr>
        <w:tc>
          <w:tcPr>
            <w:tcW w:type="dxa" w:w="1200"/>
            <w:tcBorders>
              <w:top w:val="single" w:color="C62828" w:sz="6"/>
              <w:left w:val="single" w:color="C62828" w:sz="6"/>
              <w:bottom w:val="single" w:color="C62828" w:sz="6"/>
              <w:right w:val="single" w:color="C62828" w:sz="6"/>
            </w:tcBorders>
            <w:shd w:fill="C62828" w:val="clear"/>
            <w:tcMar>
              <w:top w:type="dxa" w:w="90"/>
              <w:left w:type="dxa" w:w="120"/>
              <w:bottom w:type="dxa" w:w="90"/>
              <w:right w:type="dxa" w:w="120"/>
            </w:tcMar>
          </w:tcPr>
          <w:p>
            <w:pPr>
              <w:jc w:val="center"/>
            </w:pPr>
            <w:r>
              <w:rPr>
                <w:rFonts w:ascii="Arial" w:cs="Arial" w:eastAsia="Arial" w:hAnsi="Arial"/>
                <w:b/>
                <w:bCs/>
                <w:color w:val="FFFFFF"/>
                <w:sz w:val="16"/>
                <w:szCs w:val="16"/>
              </w:rPr>
              <w:t xml:space="preserve">ALTA</w:t>
            </w:r>
          </w:p>
        </w:tc>
        <w:tc>
          <w:tcPr>
            <w:tcW w:type="dxa" w:w="26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9"/>
                <w:szCs w:val="19"/>
              </w:rPr>
              <w:t xml:space="preserve">Indicador de diagnóstico IA</w:t>
            </w:r>
          </w:p>
        </w:tc>
        <w:tc>
          <w:tcPr>
            <w:tcW w:type="dxa" w:w="52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9"/>
                <w:szCs w:val="19"/>
              </w:rPr>
              <w:t xml:space="preserve">En el listado de incidencias debe ser visible de inmediato cuáles tienen diagnóstico generado y cuáles están pendientes de análisis, sin necesidad de abrir cada una.</w:t>
            </w:r>
          </w:p>
        </w:tc>
      </w:tr>
      <w:tr>
        <w:tc>
          <w:tcPr>
            <w:tcW w:type="dxa" w:w="1200"/>
            <w:tcBorders>
              <w:top w:val="single" w:color="C62828" w:sz="6"/>
              <w:left w:val="single" w:color="C62828" w:sz="6"/>
              <w:bottom w:val="single" w:color="C62828" w:sz="6"/>
              <w:right w:val="single" w:color="C62828" w:sz="6"/>
            </w:tcBorders>
            <w:shd w:fill="C62828" w:val="clear"/>
            <w:tcMar>
              <w:top w:type="dxa" w:w="90"/>
              <w:left w:type="dxa" w:w="120"/>
              <w:bottom w:type="dxa" w:w="90"/>
              <w:right w:type="dxa" w:w="120"/>
            </w:tcMar>
          </w:tcPr>
          <w:p>
            <w:pPr>
              <w:jc w:val="center"/>
            </w:pPr>
            <w:r>
              <w:rPr>
                <w:rFonts w:ascii="Arial" w:cs="Arial" w:eastAsia="Arial" w:hAnsi="Arial"/>
                <w:b/>
                <w:bCs/>
                <w:color w:val="FFFFFF"/>
                <w:sz w:val="16"/>
                <w:szCs w:val="16"/>
              </w:rPr>
              <w:t xml:space="preserve">ALTA</w:t>
            </w:r>
          </w:p>
        </w:tc>
        <w:tc>
          <w:tcPr>
            <w:tcW w:type="dxa" w:w="26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9"/>
                <w:szCs w:val="19"/>
              </w:rPr>
              <w:t xml:space="preserve">Alerta incidencias críticas</w:t>
            </w:r>
          </w:p>
        </w:tc>
        <w:tc>
          <w:tcPr>
            <w:tcW w:type="dxa" w:w="52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9"/>
                <w:szCs w:val="19"/>
              </w:rPr>
              <w:t xml:space="preserve">Si una incidencia de severidad Crítica lleva más de 2 horas en estado Abierta sin diagnóstico ni cambio de estado, debe aparecer un banner de alerta visible en el dashboard.</w:t>
            </w:r>
          </w:p>
        </w:tc>
      </w:tr>
      <w:tr>
        <w:tc>
          <w:tcPr>
            <w:tcW w:type="dxa" w:w="1200"/>
            <w:tcBorders>
              <w:top w:val="single" w:color="C07010" w:sz="6"/>
              <w:left w:val="single" w:color="C07010" w:sz="6"/>
              <w:bottom w:val="single" w:color="C07010" w:sz="6"/>
              <w:right w:val="single" w:color="C07010" w:sz="6"/>
            </w:tcBorders>
            <w:shd w:fill="C07010" w:val="clear"/>
            <w:tcMar>
              <w:top w:type="dxa" w:w="90"/>
              <w:left w:type="dxa" w:w="120"/>
              <w:bottom w:type="dxa" w:w="90"/>
              <w:right w:type="dxa" w:w="120"/>
            </w:tcMar>
          </w:tcPr>
          <w:p>
            <w:pPr>
              <w:jc w:val="center"/>
            </w:pPr>
            <w:r>
              <w:rPr>
                <w:rFonts w:ascii="Arial" w:cs="Arial" w:eastAsia="Arial" w:hAnsi="Arial"/>
                <w:b/>
                <w:bCs/>
                <w:color w:val="FFFFFF"/>
                <w:sz w:val="16"/>
                <w:szCs w:val="16"/>
              </w:rPr>
              <w:t xml:space="preserve">MEDIA</w:t>
            </w:r>
          </w:p>
        </w:tc>
        <w:tc>
          <w:tcPr>
            <w:tcW w:type="dxa" w:w="26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9"/>
                <w:szCs w:val="19"/>
              </w:rPr>
              <w:t xml:space="preserve">Toast de confirmación</w:t>
            </w:r>
          </w:p>
        </w:tc>
        <w:tc>
          <w:tcPr>
            <w:tcW w:type="dxa" w:w="52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9"/>
                <w:szCs w:val="19"/>
              </w:rPr>
              <w:t xml:space="preserve">Feedback visual al guardar una nueva incidencia. En v1 no hay confirmación de que el registro fue exitoso.</w:t>
            </w:r>
          </w:p>
        </w:tc>
      </w:tr>
      <w:tr>
        <w:tc>
          <w:tcPr>
            <w:tcW w:type="dxa" w:w="1200"/>
            <w:tcBorders>
              <w:top w:val="single" w:color="C07010" w:sz="6"/>
              <w:left w:val="single" w:color="C07010" w:sz="6"/>
              <w:bottom w:val="single" w:color="C07010" w:sz="6"/>
              <w:right w:val="single" w:color="C07010" w:sz="6"/>
            </w:tcBorders>
            <w:shd w:fill="C07010" w:val="clear"/>
            <w:tcMar>
              <w:top w:type="dxa" w:w="90"/>
              <w:left w:type="dxa" w:w="120"/>
              <w:bottom w:type="dxa" w:w="90"/>
              <w:right w:type="dxa" w:w="120"/>
            </w:tcMar>
          </w:tcPr>
          <w:p>
            <w:pPr>
              <w:jc w:val="center"/>
            </w:pPr>
            <w:r>
              <w:rPr>
                <w:rFonts w:ascii="Arial" w:cs="Arial" w:eastAsia="Arial" w:hAnsi="Arial"/>
                <w:b/>
                <w:bCs/>
                <w:color w:val="FFFFFF"/>
                <w:sz w:val="16"/>
                <w:szCs w:val="16"/>
              </w:rPr>
              <w:t xml:space="preserve">MEDIA</w:t>
            </w:r>
          </w:p>
        </w:tc>
        <w:tc>
          <w:tcPr>
            <w:tcW w:type="dxa" w:w="26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9"/>
                <w:szCs w:val="19"/>
              </w:rPr>
              <w:t xml:space="preserve">Campo de observaciones</w:t>
            </w:r>
          </w:p>
        </w:tc>
        <w:tc>
          <w:tcPr>
            <w:tcW w:type="dxa" w:w="52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9"/>
                <w:szCs w:val="19"/>
              </w:rPr>
              <w:t xml:space="preserve">Textarea adicional en la vista detalle para añadir notas de seguimiento tras la creación de la incidencia.</w:t>
            </w:r>
          </w:p>
        </w:tc>
      </w:tr>
      <w:tr>
        <w:tc>
          <w:tcPr>
            <w:tcW w:type="dxa" w:w="1200"/>
            <w:tcBorders>
              <w:top w:val="single" w:color="C07010" w:sz="6"/>
              <w:left w:val="single" w:color="C07010" w:sz="6"/>
              <w:bottom w:val="single" w:color="C07010" w:sz="6"/>
              <w:right w:val="single" w:color="C07010" w:sz="6"/>
            </w:tcBorders>
            <w:shd w:fill="C07010" w:val="clear"/>
            <w:tcMar>
              <w:top w:type="dxa" w:w="90"/>
              <w:left w:type="dxa" w:w="120"/>
              <w:bottom w:type="dxa" w:w="90"/>
              <w:right w:type="dxa" w:w="120"/>
            </w:tcMar>
          </w:tcPr>
          <w:p>
            <w:pPr>
              <w:jc w:val="center"/>
            </w:pPr>
            <w:r>
              <w:rPr>
                <w:rFonts w:ascii="Arial" w:cs="Arial" w:eastAsia="Arial" w:hAnsi="Arial"/>
                <w:b/>
                <w:bCs/>
                <w:color w:val="FFFFFF"/>
                <w:sz w:val="16"/>
                <w:szCs w:val="16"/>
              </w:rPr>
              <w:t xml:space="preserve">MEDIA</w:t>
            </w:r>
          </w:p>
        </w:tc>
        <w:tc>
          <w:tcPr>
            <w:tcW w:type="dxa" w:w="26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9"/>
                <w:szCs w:val="19"/>
              </w:rPr>
              <w:t xml:space="preserve">Estadísticas de resolución</w:t>
            </w:r>
          </w:p>
        </w:tc>
        <w:tc>
          <w:tcPr>
            <w:tcW w:type="dxa" w:w="52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9"/>
                <w:szCs w:val="19"/>
              </w:rPr>
              <w:t xml:space="preserve">Tiempo medio de resolución por tipo de equipo, calculado sobre las incidencias resueltas del historial.</w:t>
            </w:r>
          </w:p>
        </w:tc>
      </w:tr>
      <w:tr>
        <w:tc>
          <w:tcPr>
            <w:tcW w:type="dxa" w:w="1200"/>
            <w:tcBorders>
              <w:top w:val="single" w:color="1A6040" w:sz="6"/>
              <w:left w:val="single" w:color="1A6040" w:sz="6"/>
              <w:bottom w:val="single" w:color="1A6040" w:sz="6"/>
              <w:right w:val="single" w:color="1A6040" w:sz="6"/>
            </w:tcBorders>
            <w:shd w:fill="1A6040" w:val="clear"/>
            <w:tcMar>
              <w:top w:type="dxa" w:w="90"/>
              <w:left w:type="dxa" w:w="120"/>
              <w:bottom w:type="dxa" w:w="90"/>
              <w:right w:type="dxa" w:w="120"/>
            </w:tcMar>
          </w:tcPr>
          <w:p>
            <w:pPr>
              <w:jc w:val="center"/>
            </w:pPr>
            <w:r>
              <w:rPr>
                <w:rFonts w:ascii="Arial" w:cs="Arial" w:eastAsia="Arial" w:hAnsi="Arial"/>
                <w:b/>
                <w:bCs/>
                <w:color w:val="FFFFFF"/>
                <w:sz w:val="16"/>
                <w:szCs w:val="16"/>
              </w:rPr>
              <w:t xml:space="preserve">BAJA</w:t>
            </w:r>
          </w:p>
        </w:tc>
        <w:tc>
          <w:tcPr>
            <w:tcW w:type="dxa" w:w="26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9"/>
                <w:szCs w:val="19"/>
              </w:rPr>
              <w:t xml:space="preserve">Animación de entrada</w:t>
            </w:r>
          </w:p>
        </w:tc>
        <w:tc>
          <w:tcPr>
            <w:tcW w:type="dxa" w:w="52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9"/>
                <w:szCs w:val="19"/>
              </w:rPr>
              <w:t xml:space="preserve">Transición visual cuando se añade una nueva incidencia al listado. Mejora la percepción de respuesta del sistema.</w:t>
            </w:r>
          </w:p>
        </w:tc>
      </w:tr>
    </w:tbl>
    <w:p>
      <w:pPr>
        <w:spacing w:before="260" w:after="80"/>
      </w:pPr>
      <w:r>
        <w:rPr>
          <w:rFonts w:ascii="Arial" w:cs="Arial" w:eastAsia="Arial" w:hAnsi="Arial"/>
          <w:b/>
          <w:bCs/>
          <w:color w:val="1A1A2E"/>
          <w:sz w:val="22"/>
          <w:szCs w:val="22"/>
        </w:rPr>
        <w:t xml:space="preserve">4. Detalle técnico por cambio</w:t>
      </w:r>
    </w:p>
    <w:p>
      <w:pPr>
        <w:spacing w:before="260" w:after="80"/>
      </w:pPr>
      <w:r>
        <w:rPr>
          <w:rFonts w:ascii="Arial" w:cs="Arial" w:eastAsia="Arial" w:hAnsi="Arial"/>
          <w:b/>
          <w:bCs/>
          <w:color w:val="C62828"/>
          <w:sz w:val="22"/>
          <w:szCs w:val="22"/>
        </w:rPr>
        <w:t xml:space="preserve">4.1  Persistencia en localStorage</w:t>
      </w:r>
    </w:p>
    <w:p>
      <w:pPr>
        <w:spacing w:before="60" w:after="80"/>
      </w:pPr>
      <w:r>
        <w:rPr>
          <w:rFonts w:ascii="Arial" w:cs="Arial" w:eastAsia="Arial" w:hAnsi="Arial"/>
          <w:color w:val="555555"/>
          <w:sz w:val="19"/>
          <w:szCs w:val="19"/>
        </w:rPr>
        <w:t xml:space="preserve">Clave de almacenamiento: 'sonepar_incidencias'. El array de incidencias se serializa con JSON.stringify() en cada modificación (nueva incidencia, cambio de estado, añadir observación, guardar diagnóstico IA). Se deserializa con JSON.parse() en el useEffect de montaje del componente.</w:t>
      </w:r>
    </w:p>
    <w:p>
      <w:pPr>
        <w:spacing w:before="60" w:after="80"/>
      </w:pPr>
      <w:r>
        <w:rPr>
          <w:rFonts w:ascii="Arial" w:cs="Arial" w:eastAsia="Arial" w:hAnsi="Arial"/>
          <w:color w:val="555555"/>
          <w:sz w:val="19"/>
          <w:szCs w:val="19"/>
        </w:rPr>
        <w:t xml:space="preserve">Consideraciones: las incidencias de demo (las 4 precargadas en v1) solo deben cargarse si localStorage está vacío — no sobreescribir datos reales del usuario. Gestión de errores con try/catch en lectura y escritura.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Detalle</w:t>
            </w:r>
          </w:p>
        </w:tc>
        <w:tc>
          <w:tcPr>
            <w:tcW w:type="dxa" w:w="6026"/>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Valor</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Clave localStorage</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sonepar_incidencias</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Formato</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JSON.stringify(array de objetos incidencia)</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Cuándo se escribe</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Al crear, modificar estado, añadir observación, guardar diagnóstico</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Cuándo se lee</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useEffect vacío — montaje del componente</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Fallback si vacío</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Cargar las 4 incidencias de demo</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Límite</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Sin límite en v2 — se plantea para v3 si el volumen crece</w:t>
            </w:r>
          </w:p>
        </w:tc>
      </w:tr>
    </w:tbl>
    <w:p>
      <w:pPr>
        <w:spacing w:before="160" w:after="0"/>
      </w:pPr>
    </w:p>
    <w:p>
      <w:pPr>
        <w:spacing w:before="260" w:after="80"/>
      </w:pPr>
      <w:r>
        <w:rPr>
          <w:rFonts w:ascii="Arial" w:cs="Arial" w:eastAsia="Arial" w:hAnsi="Arial"/>
          <w:b/>
          <w:bCs/>
          <w:color w:val="C62828"/>
          <w:sz w:val="22"/>
          <w:szCs w:val="22"/>
        </w:rPr>
        <w:t xml:space="preserve">4.2  Indicador de diagnóstico IA</w:t>
      </w:r>
    </w:p>
    <w:p>
      <w:pPr>
        <w:spacing w:before="60" w:after="80"/>
      </w:pPr>
      <w:r>
        <w:rPr>
          <w:rFonts w:ascii="Arial" w:cs="Arial" w:eastAsia="Arial" w:hAnsi="Arial"/>
          <w:color w:val="555555"/>
          <w:sz w:val="19"/>
          <w:szCs w:val="19"/>
        </w:rPr>
        <w:t xml:space="preserve">En el listado de incidencias, cada fila debe mostrar un badge diferenciado según si el campo 'diagnostico' del objeto incidencia está definido o es null. Propuesta: badge verde 'CON DIAGNÓSTICO' vs badge gris 'SIN DIAGNÓSTICO'. El badge debe ser clickable para abrir directamente la vista detalle en el panel de diagnóstico.</w:t>
      </w:r>
    </w:p>
    <w:p>
      <w:pPr>
        <w:spacing w:before="60" w:after="80"/>
      </w:pPr>
      <w:r>
        <w:rPr>
          <w:rFonts w:ascii="Arial" w:cs="Arial" w:eastAsia="Arial" w:hAnsi="Arial"/>
          <w:color w:val="555555"/>
          <w:sz w:val="19"/>
          <w:szCs w:val="19"/>
        </w:rPr>
        <w:t xml:space="preserve">No requiere cambios en la estructura de datos — el campo 'diagnostico' ya existe en v1, simplemente no se visualiza en el listado.</w:t>
      </w:r>
    </w:p>
    <w:p>
      <w:pPr>
        <w:spacing w:before="160" w:after="0"/>
      </w:pPr>
    </w:p>
    <w:p>
      <w:pPr>
        <w:spacing w:before="260" w:after="80"/>
      </w:pPr>
      <w:r>
        <w:rPr>
          <w:rFonts w:ascii="Arial" w:cs="Arial" w:eastAsia="Arial" w:hAnsi="Arial"/>
          <w:b/>
          <w:bCs/>
          <w:color w:val="C62828"/>
          <w:sz w:val="22"/>
          <w:szCs w:val="22"/>
        </w:rPr>
        <w:t xml:space="preserve">4.3  Alerta de incidencias críticas sin atender</w:t>
      </w:r>
    </w:p>
    <w:p>
      <w:pPr>
        <w:spacing w:before="60" w:after="80"/>
      </w:pPr>
      <w:r>
        <w:rPr>
          <w:rFonts w:ascii="Arial" w:cs="Arial" w:eastAsia="Arial" w:hAnsi="Arial"/>
          <w:color w:val="555555"/>
          <w:sz w:val="19"/>
          <w:szCs w:val="19"/>
        </w:rPr>
        <w:t xml:space="preserve">Condición de activación: incidencia con severidad === 'Crítica' AND estado === 'Abierta' AND (Date.now() - fechaCreacion) &gt; 7200000 ms (2 horas).</w:t>
      </w:r>
    </w:p>
    <w:p>
      <w:pPr>
        <w:spacing w:before="60" w:after="80"/>
      </w:pPr>
      <w:r>
        <w:rPr>
          <w:rFonts w:ascii="Arial" w:cs="Arial" w:eastAsia="Arial" w:hAnsi="Arial"/>
          <w:color w:val="555555"/>
          <w:sz w:val="19"/>
          <w:szCs w:val="19"/>
        </w:rPr>
        <w:t xml:space="preserve">Para calcular el tiempo transcurrido, la fecha de creación debe almacenarse como timestamp numérico (Date.now()) en lugar de string formateado. Cambio breaking respecto a v1: las 4 incidencias de demo deben tener timestamps coherentes (no demasiado antiguos para no activar la alerta por defecto al cargar).</w:t>
      </w:r>
    </w:p>
    <w:p>
      <w:pPr>
        <w:spacing w:before="60" w:after="80"/>
      </w:pPr>
      <w:r>
        <w:rPr>
          <w:rFonts w:ascii="Arial" w:cs="Arial" w:eastAsia="Arial" w:hAnsi="Arial"/>
          <w:color w:val="555555"/>
          <w:sz w:val="19"/>
          <w:szCs w:val="19"/>
        </w:rPr>
        <w:t xml:space="preserve">Renderizado: banner rojo fijo en la parte superior del dashboard con la cuenta de incidencias críticas sin atender y sus referencias. Se oculta si la condición no se cumple para ninguna incidencia.</w:t>
      </w:r>
    </w:p>
    <w:p>
      <w:pPr>
        <w:spacing w:before="160" w:after="0"/>
      </w:pPr>
    </w:p>
    <w:p>
      <w:pPr>
        <w:spacing w:before="260" w:after="80"/>
      </w:pPr>
      <w:r>
        <w:rPr>
          <w:rFonts w:ascii="Arial" w:cs="Arial" w:eastAsia="Arial" w:hAnsi="Arial"/>
          <w:b/>
          <w:bCs/>
          <w:color w:val="C62828"/>
          <w:sz w:val="22"/>
          <w:szCs w:val="22"/>
        </w:rPr>
        <w:t xml:space="preserve">4.4  Toast de confirmación</w:t>
      </w:r>
    </w:p>
    <w:p>
      <w:pPr>
        <w:spacing w:before="60" w:after="80"/>
      </w:pPr>
      <w:r>
        <w:rPr>
          <w:rFonts w:ascii="Arial" w:cs="Arial" w:eastAsia="Arial" w:hAnsi="Arial"/>
          <w:color w:val="555555"/>
          <w:sz w:val="19"/>
          <w:szCs w:val="19"/>
        </w:rPr>
        <w:t xml:space="preserve">Estado 'toast' con mensaje y auto-limpieza a los 2500ms. Activado al: guardar nueva incidencia, cambiar estado de una incidencia, guardar observación. Posición fixed bottom-right para no interferir con el contenido del dashboard.</w:t>
      </w:r>
    </w:p>
    <w:p>
      <w:pPr>
        <w:spacing w:before="160" w:after="0"/>
      </w:pPr>
    </w:p>
    <w:p>
      <w:pPr>
        <w:spacing w:before="260" w:after="80"/>
      </w:pPr>
      <w:r>
        <w:rPr>
          <w:rFonts w:ascii="Arial" w:cs="Arial" w:eastAsia="Arial" w:hAnsi="Arial"/>
          <w:b/>
          <w:bCs/>
          <w:color w:val="C62828"/>
          <w:sz w:val="22"/>
          <w:szCs w:val="22"/>
        </w:rPr>
        <w:t xml:space="preserve">4.5  Campo de observaciones</w:t>
      </w:r>
    </w:p>
    <w:p>
      <w:pPr>
        <w:spacing w:before="60" w:after="80"/>
      </w:pPr>
      <w:r>
        <w:rPr>
          <w:rFonts w:ascii="Arial" w:cs="Arial" w:eastAsia="Arial" w:hAnsi="Arial"/>
          <w:color w:val="555555"/>
          <w:sz w:val="19"/>
          <w:szCs w:val="19"/>
        </w:rPr>
        <w:t xml:space="preserve">Nuevo campo 'observaciones' en el objeto incidencia, inicializado como string vacío. En la vista detalle, textarea editable con botón 'Guardar observación'. Al guardar se actualiza el array de incidencias y se persiste en localStorage. Se muestra debajo de los datos del registro, encima del diagnóstico IA.</w:t>
      </w:r>
    </w:p>
    <w:p>
      <w:pPr>
        <w:spacing w:before="160" w:after="0"/>
      </w:pPr>
    </w:p>
    <w:p>
      <w:pPr>
        <w:spacing w:before="260" w:after="80"/>
      </w:pPr>
      <w:r>
        <w:rPr>
          <w:rFonts w:ascii="Arial" w:cs="Arial" w:eastAsia="Arial" w:hAnsi="Arial"/>
          <w:b/>
          <w:bCs/>
          <w:color w:val="C62828"/>
          <w:sz w:val="22"/>
          <w:szCs w:val="22"/>
        </w:rPr>
        <w:t xml:space="preserve">4.6  Estadísticas de resolución</w:t>
      </w:r>
    </w:p>
    <w:p>
      <w:pPr>
        <w:spacing w:before="60" w:after="80"/>
      </w:pPr>
      <w:r>
        <w:rPr>
          <w:rFonts w:ascii="Arial" w:cs="Arial" w:eastAsia="Arial" w:hAnsi="Arial"/>
          <w:color w:val="555555"/>
          <w:sz w:val="19"/>
          <w:szCs w:val="19"/>
        </w:rPr>
        <w:t xml:space="preserve">Calculadas sobre las incidencias en estado 'Resuelta' que tengan ambos timestamps: fechaCreacion y fechaResolucion. La fechaResolucion se registra automáticamente al cambiar el estado a 'Resuelta'.</w:t>
      </w:r>
    </w:p>
    <w:p>
      <w:pPr>
        <w:spacing w:before="60" w:after="80"/>
      </w:pPr>
      <w:r>
        <w:rPr>
          <w:rFonts w:ascii="Arial" w:cs="Arial" w:eastAsia="Arial" w:hAnsi="Arial"/>
          <w:color w:val="555555"/>
          <w:sz w:val="19"/>
          <w:szCs w:val="19"/>
        </w:rPr>
        <w:t xml:space="preserve">Métrica a mostrar: tiempo medio de resolución en horas, agrupado por equipo. Renderizado en un panel colapsable en el footer del dashboard, visible solo si hay al menos 2 incidencias resueltas con timestamps completos.</w:t>
      </w:r>
    </w:p>
    <w:p>
      <w:pPr>
        <w:spacing w:before="260" w:after="80"/>
      </w:pPr>
      <w:r>
        <w:rPr>
          <w:rFonts w:ascii="Arial" w:cs="Arial" w:eastAsia="Arial" w:hAnsi="Arial"/>
          <w:b/>
          <w:bCs/>
          <w:color w:val="1A1A2E"/>
          <w:sz w:val="22"/>
          <w:szCs w:val="22"/>
        </w:rPr>
        <w:t xml:space="preserve">5. Estructura de datos — objeto incidencia v2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Campo</w:t>
            </w:r>
          </w:p>
        </w:tc>
        <w:tc>
          <w:tcPr>
            <w:tcW w:type="dxa" w:w="18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Tipo</w:t>
            </w:r>
          </w:p>
        </w:tc>
        <w:tc>
          <w:tcPr>
            <w:tcW w:type="dxa" w:w="5026"/>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Descripción</w:t>
            </w:r>
          </w:p>
        </w:tc>
      </w:tr>
      <w:tr>
        <w:tc>
          <w:tcPr>
            <w:tcW w:type="dxa" w:w="22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C62828"/>
                <w:sz w:val="18"/>
                <w:szCs w:val="18"/>
              </w:rPr>
              <w:t xml:space="preserve">id</w:t>
            </w:r>
          </w:p>
        </w:tc>
        <w:tc>
          <w:tcPr>
            <w:tcW w:type="dxa" w:w="1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iCs/>
                <w:color w:val="1A3A6A"/>
                <w:sz w:val="18"/>
                <w:szCs w:val="18"/>
              </w:rPr>
              <w:t xml:space="preserve">number</w:t>
            </w:r>
          </w:p>
        </w:tc>
        <w:tc>
          <w:tcPr>
            <w:tcW w:type="dxa" w:w="5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Date.now() — timestamp de creación como ID único</w:t>
            </w:r>
          </w:p>
        </w:tc>
      </w:tr>
      <w:tr>
        <w:tc>
          <w:tcPr>
            <w:tcW w:type="dxa" w:w="22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C62828"/>
                <w:sz w:val="18"/>
                <w:szCs w:val="18"/>
              </w:rPr>
              <w:t xml:space="preserve">equipo</w:t>
            </w:r>
          </w:p>
        </w:tc>
        <w:tc>
          <w:tcPr>
            <w:tcW w:type="dxa" w:w="1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iCs/>
                <w:color w:val="1A3A6A"/>
                <w:sz w:val="18"/>
                <w:szCs w:val="18"/>
              </w:rPr>
              <w:t xml:space="preserve">string</w:t>
            </w:r>
          </w:p>
        </w:tc>
        <w:tc>
          <w:tcPr>
            <w:tcW w:type="dxa" w:w="5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Nombre del equipo afectado</w:t>
            </w:r>
          </w:p>
        </w:tc>
      </w:tr>
      <w:tr>
        <w:tc>
          <w:tcPr>
            <w:tcW w:type="dxa" w:w="22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C62828"/>
                <w:sz w:val="18"/>
                <w:szCs w:val="18"/>
              </w:rPr>
              <w:t xml:space="preserve">zona</w:t>
            </w:r>
          </w:p>
        </w:tc>
        <w:tc>
          <w:tcPr>
            <w:tcW w:type="dxa" w:w="1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iCs/>
                <w:color w:val="1A3A6A"/>
                <w:sz w:val="18"/>
                <w:szCs w:val="18"/>
              </w:rPr>
              <w:t xml:space="preserve">string</w:t>
            </w:r>
          </w:p>
        </w:tc>
        <w:tc>
          <w:tcPr>
            <w:tcW w:type="dxa" w:w="5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Zona del almacén</w:t>
            </w:r>
          </w:p>
        </w:tc>
      </w:tr>
      <w:tr>
        <w:tc>
          <w:tcPr>
            <w:tcW w:type="dxa" w:w="22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C62828"/>
                <w:sz w:val="18"/>
                <w:szCs w:val="18"/>
              </w:rPr>
              <w:t xml:space="preserve">operario</w:t>
            </w:r>
          </w:p>
        </w:tc>
        <w:tc>
          <w:tcPr>
            <w:tcW w:type="dxa" w:w="1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iCs/>
                <w:color w:val="1A3A6A"/>
                <w:sz w:val="18"/>
                <w:szCs w:val="18"/>
              </w:rPr>
              <w:t xml:space="preserve">string</w:t>
            </w:r>
          </w:p>
        </w:tc>
        <w:tc>
          <w:tcPr>
            <w:tcW w:type="dxa" w:w="5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Operario que reporta</w:t>
            </w:r>
          </w:p>
        </w:tc>
      </w:tr>
      <w:tr>
        <w:tc>
          <w:tcPr>
            <w:tcW w:type="dxa" w:w="22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C62828"/>
                <w:sz w:val="18"/>
                <w:szCs w:val="18"/>
              </w:rPr>
              <w:t xml:space="preserve">sintoma</w:t>
            </w:r>
          </w:p>
        </w:tc>
        <w:tc>
          <w:tcPr>
            <w:tcW w:type="dxa" w:w="1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iCs/>
                <w:color w:val="1A3A6A"/>
                <w:sz w:val="18"/>
                <w:szCs w:val="18"/>
              </w:rPr>
              <w:t xml:space="preserve">string</w:t>
            </w:r>
          </w:p>
        </w:tc>
        <w:tc>
          <w:tcPr>
            <w:tcW w:type="dxa" w:w="5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Descripción del síntoma</w:t>
            </w:r>
          </w:p>
        </w:tc>
      </w:tr>
      <w:tr>
        <w:tc>
          <w:tcPr>
            <w:tcW w:type="dxa" w:w="22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C62828"/>
                <w:sz w:val="18"/>
                <w:szCs w:val="18"/>
              </w:rPr>
              <w:t xml:space="preserve">severidad</w:t>
            </w:r>
          </w:p>
        </w:tc>
        <w:tc>
          <w:tcPr>
            <w:tcW w:type="dxa" w:w="1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iCs/>
                <w:color w:val="1A3A6A"/>
                <w:sz w:val="18"/>
                <w:szCs w:val="18"/>
              </w:rPr>
              <w:t xml:space="preserve">string</w:t>
            </w:r>
          </w:p>
        </w:tc>
        <w:tc>
          <w:tcPr>
            <w:tcW w:type="dxa" w:w="5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Crítica / Alta / Media / Baja</w:t>
            </w:r>
          </w:p>
        </w:tc>
      </w:tr>
      <w:tr>
        <w:tc>
          <w:tcPr>
            <w:tcW w:type="dxa" w:w="22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C62828"/>
                <w:sz w:val="18"/>
                <w:szCs w:val="18"/>
              </w:rPr>
              <w:t xml:space="preserve">estado</w:t>
            </w:r>
          </w:p>
        </w:tc>
        <w:tc>
          <w:tcPr>
            <w:tcW w:type="dxa" w:w="1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iCs/>
                <w:color w:val="1A3A6A"/>
                <w:sz w:val="18"/>
                <w:szCs w:val="18"/>
              </w:rPr>
              <w:t xml:space="preserve">string</w:t>
            </w:r>
          </w:p>
        </w:tc>
        <w:tc>
          <w:tcPr>
            <w:tcW w:type="dxa" w:w="5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Abierta / En diagnóstico / Resuelta / Escalada</w:t>
            </w:r>
          </w:p>
        </w:tc>
      </w:tr>
      <w:tr>
        <w:tc>
          <w:tcPr>
            <w:tcW w:type="dxa" w:w="22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C62828"/>
                <w:sz w:val="18"/>
                <w:szCs w:val="18"/>
              </w:rPr>
              <w:t xml:space="preserve">fechaCreacion</w:t>
            </w:r>
          </w:p>
        </w:tc>
        <w:tc>
          <w:tcPr>
            <w:tcW w:type="dxa" w:w="1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iCs/>
                <w:color w:val="1A3A6A"/>
                <w:sz w:val="18"/>
                <w:szCs w:val="18"/>
              </w:rPr>
              <w:t xml:space="preserve">number</w:t>
            </w:r>
          </w:p>
        </w:tc>
        <w:tc>
          <w:tcPr>
            <w:tcW w:type="dxa" w:w="5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Date.now() — NUEVO en v2: timestamp numérico para cálculo de tiempo transcurrido</w:t>
            </w:r>
          </w:p>
        </w:tc>
      </w:tr>
      <w:tr>
        <w:tc>
          <w:tcPr>
            <w:tcW w:type="dxa" w:w="22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C62828"/>
                <w:sz w:val="18"/>
                <w:szCs w:val="18"/>
              </w:rPr>
              <w:t xml:space="preserve">fechaResolucion</w:t>
            </w:r>
          </w:p>
        </w:tc>
        <w:tc>
          <w:tcPr>
            <w:tcW w:type="dxa" w:w="1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iCs/>
                <w:color w:val="1A3A6A"/>
                <w:sz w:val="18"/>
                <w:szCs w:val="18"/>
              </w:rPr>
              <w:t xml:space="preserve">number|null</w:t>
            </w:r>
          </w:p>
        </w:tc>
        <w:tc>
          <w:tcPr>
            <w:tcW w:type="dxa" w:w="5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NUEVO en v2: Date.now() al cambiar estado a Resuelta, null en otros estados</w:t>
            </w:r>
          </w:p>
        </w:tc>
      </w:tr>
      <w:tr>
        <w:tc>
          <w:tcPr>
            <w:tcW w:type="dxa" w:w="22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C62828"/>
                <w:sz w:val="18"/>
                <w:szCs w:val="18"/>
              </w:rPr>
              <w:t xml:space="preserve">observaciones</w:t>
            </w:r>
          </w:p>
        </w:tc>
        <w:tc>
          <w:tcPr>
            <w:tcW w:type="dxa" w:w="1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iCs/>
                <w:color w:val="1A3A6A"/>
                <w:sz w:val="18"/>
                <w:szCs w:val="18"/>
              </w:rPr>
              <w:t xml:space="preserve">string</w:t>
            </w:r>
          </w:p>
        </w:tc>
        <w:tc>
          <w:tcPr>
            <w:tcW w:type="dxa" w:w="5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NUEVO en v2: notas de seguimiento, string vacío por defecto</w:t>
            </w:r>
          </w:p>
        </w:tc>
      </w:tr>
      <w:tr>
        <w:tc>
          <w:tcPr>
            <w:tcW w:type="dxa" w:w="22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C62828"/>
                <w:sz w:val="18"/>
                <w:szCs w:val="18"/>
              </w:rPr>
              <w:t xml:space="preserve">diagnostico</w:t>
            </w:r>
          </w:p>
        </w:tc>
        <w:tc>
          <w:tcPr>
            <w:tcW w:type="dxa" w:w="1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iCs/>
                <w:color w:val="1A3A6A"/>
                <w:sz w:val="18"/>
                <w:szCs w:val="18"/>
              </w:rPr>
              <w:t xml:space="preserve">object|null</w:t>
            </w:r>
          </w:p>
        </w:tc>
        <w:tc>
          <w:tcPr>
            <w:tcW w:type="dxa" w:w="5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JSON de la IA: causa_probable, pasos_verificacion[], solucion, medidas_preventivas[]</w:t>
            </w:r>
          </w:p>
        </w:tc>
      </w:tr>
    </w:tbl>
    <w:p>
      <w:pPr>
        <w:pBdr>
          <w:bottom w:val="single" w:color="E0DBD4" w:sz="2" w:space="1"/>
        </w:pBdr>
        <w:spacing w:before="220" w:after="220"/>
      </w:pPr>
      <w:r>
        <w:t xml:space="preserve"/>
      </w:r>
    </w:p>
    <w:p>
      <w:pPr>
        <w:spacing w:before="260" w:after="80"/>
      </w:pPr>
      <w:r>
        <w:rPr>
          <w:rFonts w:ascii="Arial" w:cs="Arial" w:eastAsia="Arial" w:hAnsi="Arial"/>
          <w:b/>
          <w:bCs/>
          <w:color w:val="1A1A2E"/>
          <w:sz w:val="22"/>
          <w:szCs w:val="22"/>
        </w:rPr>
        <w:t xml:space="preserve">6. Fuera del alcance de v2.0</w:t>
      </w:r>
    </w:p>
    <w:p>
      <w:pPr>
        <w:pStyle w:val="ListParagraph"/>
        <w:numPr>
          <w:ilvl w:val="0"/>
          <w:numId w:val="2"/>
        </w:numPr>
        <w:spacing w:before="50" w:after="50"/>
      </w:pPr>
      <w:r>
        <w:rPr>
          <w:rFonts w:ascii="Arial" w:cs="Arial" w:eastAsia="Arial" w:hAnsi="Arial"/>
          <w:b/>
          <w:bCs/>
          <w:color w:val="1A1A2E"/>
          <w:sz w:val="19"/>
          <w:szCs w:val="19"/>
        </w:rPr>
        <w:t xml:space="preserve">Exportación a Excel o PDF: </w:t>
      </w:r>
      <w:r>
        <w:rPr>
          <w:rFonts w:ascii="Arial" w:cs="Arial" w:eastAsia="Arial" w:hAnsi="Arial"/>
          <w:color w:val="555555"/>
          <w:sz w:val="19"/>
          <w:szCs w:val="19"/>
        </w:rPr>
        <w:t xml:space="preserve">Se evalúa para v3. Requiere definir el formato del informe de incidencias.</w:t>
      </w:r>
    </w:p>
    <w:p>
      <w:pPr>
        <w:pStyle w:val="ListParagraph"/>
        <w:numPr>
          <w:ilvl w:val="0"/>
          <w:numId w:val="2"/>
        </w:numPr>
        <w:spacing w:before="50" w:after="50"/>
      </w:pPr>
      <w:r>
        <w:rPr>
          <w:rFonts w:ascii="Arial" w:cs="Arial" w:eastAsia="Arial" w:hAnsi="Arial"/>
          <w:b/>
          <w:bCs/>
          <w:color w:val="1A1A2E"/>
          <w:sz w:val="19"/>
          <w:szCs w:val="19"/>
        </w:rPr>
        <w:t xml:space="preserve">Notificaciones externas: </w:t>
      </w:r>
      <w:r>
        <w:rPr>
          <w:rFonts w:ascii="Arial" w:cs="Arial" w:eastAsia="Arial" w:hAnsi="Arial"/>
          <w:color w:val="555555"/>
          <w:sz w:val="19"/>
          <w:szCs w:val="19"/>
        </w:rPr>
        <w:t xml:space="preserve">Email o Slack para incidencias críticas. Requiere infraestructura backend fuera del alcance del artefacto standalone.</w:t>
      </w:r>
    </w:p>
    <w:p>
      <w:pPr>
        <w:pStyle w:val="ListParagraph"/>
        <w:numPr>
          <w:ilvl w:val="0"/>
          <w:numId w:val="2"/>
        </w:numPr>
        <w:spacing w:before="50" w:after="50"/>
      </w:pPr>
      <w:r>
        <w:rPr>
          <w:rFonts w:ascii="Arial" w:cs="Arial" w:eastAsia="Arial" w:hAnsi="Arial"/>
          <w:b/>
          <w:bCs/>
          <w:color w:val="1A1A2E"/>
          <w:sz w:val="19"/>
          <w:szCs w:val="19"/>
        </w:rPr>
        <w:t xml:space="preserve">Multi-usuario: </w:t>
      </w:r>
      <w:r>
        <w:rPr>
          <w:rFonts w:ascii="Arial" w:cs="Arial" w:eastAsia="Arial" w:hAnsi="Arial"/>
          <w:color w:val="555555"/>
          <w:sz w:val="19"/>
          <w:szCs w:val="19"/>
        </w:rPr>
        <w:t xml:space="preserve">El sistema asume un único usuario por sesión. Control de acceso y roles se plantea si la herramienta se integra en un sistema real.</w:t>
      </w:r>
    </w:p>
    <w:p>
      <w:pPr>
        <w:pStyle w:val="ListParagraph"/>
        <w:numPr>
          <w:ilvl w:val="0"/>
          <w:numId w:val="2"/>
        </w:numPr>
        <w:spacing w:before="50" w:after="50"/>
      </w:pPr>
      <w:r>
        <w:rPr>
          <w:rFonts w:ascii="Arial" w:cs="Arial" w:eastAsia="Arial" w:hAnsi="Arial"/>
          <w:b/>
          <w:bCs/>
          <w:color w:val="1A1A2E"/>
          <w:sz w:val="19"/>
          <w:szCs w:val="19"/>
        </w:rPr>
        <w:t xml:space="preserve">Conexión con SGA: </w:t>
      </w:r>
      <w:r>
        <w:rPr>
          <w:rFonts w:ascii="Arial" w:cs="Arial" w:eastAsia="Arial" w:hAnsi="Arial"/>
          <w:color w:val="555555"/>
          <w:sz w:val="19"/>
          <w:szCs w:val="19"/>
        </w:rPr>
        <w:t xml:space="preserve">Los equipos se introducen manualmente. Integración con el sistema de gestión de almacén es trabajo de fase 5.</w:t>
      </w:r>
    </w:p>
    <w:p>
      <w:pPr>
        <w:pBdr>
          <w:bottom w:val="single" w:color="E0DBD4" w:sz="2" w:space="1"/>
        </w:pBdr>
        <w:spacing w:before="220" w:after="220"/>
      </w:pPr>
      <w:r>
        <w:t xml:space="preserve"/>
      </w:r>
    </w:p>
    <w:p>
      <w:pPr>
        <w:spacing w:before="260" w:after="80"/>
      </w:pPr>
      <w:r>
        <w:rPr>
          <w:rFonts w:ascii="Arial" w:cs="Arial" w:eastAsia="Arial" w:hAnsi="Arial"/>
          <w:b/>
          <w:bCs/>
          <w:color w:val="1A1A2E"/>
          <w:sz w:val="22"/>
          <w:szCs w:val="22"/>
        </w:rPr>
        <w:t xml:space="preserve">7. Riesgos identificados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Riesgo</w:t>
            </w:r>
          </w:p>
        </w:tc>
        <w:tc>
          <w:tcPr>
            <w:tcW w:type="dxa" w:w="20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Probabilidad</w:t>
            </w:r>
          </w:p>
        </w:tc>
        <w:tc>
          <w:tcPr>
            <w:tcW w:type="dxa" w:w="4026"/>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Mitigación</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Incidencias de demo con timestamps fijos activan la alerta al cargar</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C62828"/>
                <w:sz w:val="18"/>
                <w:szCs w:val="18"/>
              </w:rPr>
              <w:t xml:space="preserve">Alta</w:t>
            </w:r>
          </w:p>
        </w:tc>
        <w:tc>
          <w:tcPr>
            <w:tcW w:type="dxa" w:w="4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555555"/>
                <w:sz w:val="18"/>
                <w:szCs w:val="18"/>
              </w:rPr>
              <w:t xml:space="preserve">Asignar timestamps de hace 30 minutos en los datos de demo. No usar fechas hardcodeadas.</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localStorage lleno o bloqueado en el entorno de Claude</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C62828"/>
                <w:sz w:val="18"/>
                <w:szCs w:val="18"/>
              </w:rPr>
              <w:t xml:space="preserve">Alta</w:t>
            </w:r>
          </w:p>
        </w:tc>
        <w:tc>
          <w:tcPr>
            <w:tcW w:type="dxa" w:w="4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555555"/>
                <w:sz w:val="18"/>
                <w:szCs w:val="18"/>
              </w:rPr>
              <w:t xml:space="preserve">localStorage no funciona en el sandbox de Claude. Diseñar con try/catch — fallo silencioso, sin romper la UI.</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Cambio de estructura del objeto incidencia rompe datos guardados en v1</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C07010"/>
                <w:sz w:val="18"/>
                <w:szCs w:val="18"/>
              </w:rPr>
              <w:t xml:space="preserve">Media</w:t>
            </w:r>
          </w:p>
        </w:tc>
        <w:tc>
          <w:tcPr>
            <w:tcW w:type="dxa" w:w="4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555555"/>
                <w:sz w:val="18"/>
                <w:szCs w:val="18"/>
              </w:rPr>
              <w:t xml:space="preserve">Migración automática en el useEffect: si el objeto cargado no tiene 'fechaCreacion', añadirlo con Date.now().</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El campo observaciones con textarea larga desborda el layout del panel detalle</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6040"/>
                <w:sz w:val="18"/>
                <w:szCs w:val="18"/>
              </w:rPr>
              <w:t xml:space="preserve">Baja</w:t>
            </w:r>
          </w:p>
        </w:tc>
        <w:tc>
          <w:tcPr>
            <w:tcW w:type="dxa" w:w="4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555555"/>
                <w:sz w:val="18"/>
                <w:szCs w:val="18"/>
              </w:rPr>
              <w:t xml:space="preserve">Limitar a maxLength=500 y añadir overflow-y: auto al contenedor.</w:t>
            </w:r>
          </w:p>
        </w:tc>
      </w:tr>
    </w:tbl>
    <w:p>
      <w:pPr>
        <w:pBdr>
          <w:bottom w:val="single" w:color="E0DBD4" w:sz="2" w:space="1"/>
        </w:pBdr>
        <w:spacing w:before="220" w:after="220"/>
      </w:pPr>
      <w:r>
        <w:t xml:space="preserve"/>
      </w:r>
    </w:p>
    <w:p>
      <w:pPr>
        <w:spacing w:before="260" w:after="80"/>
      </w:pPr>
      <w:r>
        <w:rPr>
          <w:rFonts w:ascii="Arial" w:cs="Arial" w:eastAsia="Arial" w:hAnsi="Arial"/>
          <w:b/>
          <w:bCs/>
          <w:color w:val="1A1A2E"/>
          <w:sz w:val="22"/>
          <w:szCs w:val="22"/>
        </w:rPr>
        <w:t xml:space="preserve">8. Criterios de aceptación</w:t>
      </w:r>
    </w:p>
    <w:p>
      <w:pPr>
        <w:spacing w:before="60" w:after="80"/>
      </w:pPr>
      <w:r>
        <w:rPr>
          <w:rFonts w:ascii="Arial" w:cs="Arial" w:eastAsia="Arial" w:hAnsi="Arial"/>
          <w:color w:val="555555"/>
          <w:sz w:val="19"/>
          <w:szCs w:val="19"/>
        </w:rPr>
        <w:t xml:space="preserve">La v2.0 se considera completa cuando se cumplen todos los siguientes puntos:</w:t>
      </w:r>
    </w:p>
    <w:p>
      <w:pPr>
        <w:pStyle w:val="ListParagraph"/>
        <w:numPr>
          <w:ilvl w:val="0"/>
          <w:numId w:val="2"/>
        </w:numPr>
        <w:spacing w:before="50" w:after="50"/>
      </w:pPr>
      <w:r>
        <w:rPr>
          <w:rFonts w:ascii="Arial" w:cs="Arial" w:eastAsia="Arial" w:hAnsi="Arial"/>
          <w:b/>
          <w:bCs/>
          <w:color w:val="1A1A2E"/>
          <w:sz w:val="19"/>
          <w:szCs w:val="19"/>
        </w:rPr>
        <w:t xml:space="preserve">Persistencia: </w:t>
      </w:r>
      <w:r>
        <w:rPr>
          <w:rFonts w:ascii="Arial" w:cs="Arial" w:eastAsia="Arial" w:hAnsi="Arial"/>
          <w:color w:val="555555"/>
          <w:sz w:val="19"/>
          <w:szCs w:val="19"/>
        </w:rPr>
        <w:t xml:space="preserve">Al crear una incidencia, recargar la página y volver al dashboard, la incidencia sigue presente con todos sus campos.</w:t>
      </w:r>
    </w:p>
    <w:p>
      <w:pPr>
        <w:pStyle w:val="ListParagraph"/>
        <w:numPr>
          <w:ilvl w:val="0"/>
          <w:numId w:val="2"/>
        </w:numPr>
        <w:spacing w:before="50" w:after="50"/>
      </w:pPr>
      <w:r>
        <w:rPr>
          <w:rFonts w:ascii="Arial" w:cs="Arial" w:eastAsia="Arial" w:hAnsi="Arial"/>
          <w:b/>
          <w:bCs/>
          <w:color w:val="1A1A2E"/>
          <w:sz w:val="19"/>
          <w:szCs w:val="19"/>
        </w:rPr>
        <w:t xml:space="preserve">Indicador de diagnóstico: </w:t>
      </w:r>
      <w:r>
        <w:rPr>
          <w:rFonts w:ascii="Arial" w:cs="Arial" w:eastAsia="Arial" w:hAnsi="Arial"/>
          <w:color w:val="555555"/>
          <w:sz w:val="19"/>
          <w:szCs w:val="19"/>
        </w:rPr>
        <w:t xml:space="preserve">En el listado es visualmente distinguible, sin abrir ninguna incidencia, cuáles tienen diagnóstico IA y cuáles no.</w:t>
      </w:r>
    </w:p>
    <w:p>
      <w:pPr>
        <w:pStyle w:val="ListParagraph"/>
        <w:numPr>
          <w:ilvl w:val="0"/>
          <w:numId w:val="2"/>
        </w:numPr>
        <w:spacing w:before="50" w:after="50"/>
      </w:pPr>
      <w:r>
        <w:rPr>
          <w:rFonts w:ascii="Arial" w:cs="Arial" w:eastAsia="Arial" w:hAnsi="Arial"/>
          <w:b/>
          <w:bCs/>
          <w:color w:val="1A1A2E"/>
          <w:sz w:val="19"/>
          <w:szCs w:val="19"/>
        </w:rPr>
        <w:t xml:space="preserve">Alerta crítica: </w:t>
      </w:r>
      <w:r>
        <w:rPr>
          <w:rFonts w:ascii="Arial" w:cs="Arial" w:eastAsia="Arial" w:hAnsi="Arial"/>
          <w:color w:val="555555"/>
          <w:sz w:val="19"/>
          <w:szCs w:val="19"/>
        </w:rPr>
        <w:t xml:space="preserve">Si existe una incidencia de severidad Crítica en estado Abierta con más de 2 horas de antigüedad, aparece el banner de alerta. Si se cambia su estado, el banner desaparece.</w:t>
      </w:r>
    </w:p>
    <w:p>
      <w:pPr>
        <w:pStyle w:val="ListParagraph"/>
        <w:numPr>
          <w:ilvl w:val="0"/>
          <w:numId w:val="2"/>
        </w:numPr>
        <w:spacing w:before="50" w:after="50"/>
      </w:pPr>
      <w:r>
        <w:rPr>
          <w:rFonts w:ascii="Arial" w:cs="Arial" w:eastAsia="Arial" w:hAnsi="Arial"/>
          <w:b/>
          <w:bCs/>
          <w:color w:val="1A1A2E"/>
          <w:sz w:val="19"/>
          <w:szCs w:val="19"/>
        </w:rPr>
        <w:t xml:space="preserve">Toast: </w:t>
      </w:r>
      <w:r>
        <w:rPr>
          <w:rFonts w:ascii="Arial" w:cs="Arial" w:eastAsia="Arial" w:hAnsi="Arial"/>
          <w:color w:val="555555"/>
          <w:sz w:val="19"/>
          <w:szCs w:val="19"/>
        </w:rPr>
        <w:t xml:space="preserve">Al guardar una nueva incidencia aparece una confirmación visual que desaparece sola en menos de 3 segundos.</w:t>
      </w:r>
    </w:p>
    <w:p>
      <w:pPr>
        <w:pStyle w:val="ListParagraph"/>
        <w:numPr>
          <w:ilvl w:val="0"/>
          <w:numId w:val="2"/>
        </w:numPr>
        <w:spacing w:before="50" w:after="50"/>
      </w:pPr>
      <w:r>
        <w:rPr>
          <w:rFonts w:ascii="Arial" w:cs="Arial" w:eastAsia="Arial" w:hAnsi="Arial"/>
          <w:b/>
          <w:bCs/>
          <w:color w:val="1A1A2E"/>
          <w:sz w:val="19"/>
          <w:szCs w:val="19"/>
        </w:rPr>
        <w:t xml:space="preserve">Observaciones: </w:t>
      </w:r>
      <w:r>
        <w:rPr>
          <w:rFonts w:ascii="Arial" w:cs="Arial" w:eastAsia="Arial" w:hAnsi="Arial"/>
          <w:color w:val="555555"/>
          <w:sz w:val="19"/>
          <w:szCs w:val="19"/>
        </w:rPr>
        <w:t xml:space="preserve">Es posible añadir texto en el campo de observaciones de una incidencia existente y que ese texto persista tras recargar.</w:t>
      </w:r>
    </w:p>
    <w:p>
      <w:pPr>
        <w:pStyle w:val="ListParagraph"/>
        <w:numPr>
          <w:ilvl w:val="0"/>
          <w:numId w:val="2"/>
        </w:numPr>
        <w:spacing w:before="50" w:after="50"/>
      </w:pPr>
      <w:r>
        <w:rPr>
          <w:rFonts w:ascii="Arial" w:cs="Arial" w:eastAsia="Arial" w:hAnsi="Arial"/>
          <w:b/>
          <w:bCs/>
          <w:color w:val="1A1A2E"/>
          <w:sz w:val="19"/>
          <w:szCs w:val="19"/>
        </w:rPr>
        <w:t xml:space="preserve">Sin regresiones: </w:t>
      </w:r>
      <w:r>
        <w:rPr>
          <w:rFonts w:ascii="Arial" w:cs="Arial" w:eastAsia="Arial" w:hAnsi="Arial"/>
          <w:color w:val="555555"/>
          <w:sz w:val="19"/>
          <w:szCs w:val="19"/>
        </w:rPr>
        <w:t xml:space="preserve">Las funcionalidades de v1 (filtros, cambio de estado, diagnóstico IA, KPIs) siguen funcionando exactamente igual.</w:t>
      </w:r>
    </w:p>
    <w:p>
      <w:pPr>
        <w:pBdr>
          <w:bottom w:val="single" w:color="E0DBD4" w:sz="2" w:space="1"/>
        </w:pBdr>
        <w:spacing w:before="220" w:after="220"/>
      </w:pPr>
      <w:r>
        <w:t xml:space="preserve"/>
      </w:r>
    </w:p>
    <w:p>
      <w:pPr>
        <w:spacing w:before="0" w:after="0"/>
      </w:pPr>
      <w:r>
        <w:rPr>
          <w:rFonts w:ascii="Arial" w:cs="Arial" w:eastAsia="Arial" w:hAnsi="Arial"/>
          <w:i/>
          <w:iCs/>
          <w:color w:val="999999"/>
          <w:sz w:val="17"/>
          <w:szCs w:val="17"/>
        </w:rPr>
        <w:t xml:space="preserve">Sonepar Tools · Iago Robo · Prácticas Sonepar A Coruña 2026 · dashboard-incidencias/</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2026-03-07T05:23:57.490Z</dcterms:created>
  <dcterms:modified xsi:type="dcterms:W3CDTF">2026-03-07T05:23:57.491Z</dcterms:modified>
</cp:coreProperties>
</file>

<file path=docProps/custom.xml><?xml version="1.0" encoding="utf-8"?>
<Properties xmlns="http://schemas.openxmlformats.org/officeDocument/2006/custom-properties" xmlns:vt="http://schemas.openxmlformats.org/officeDocument/2006/docPropsVTypes"/>
</file>