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rFonts w:ascii="Arial" w:cs="Arial" w:eastAsia="Arial" w:hAnsi="Arial"/>
          <w:b/>
          <w:bCs/>
          <w:color w:val="999999"/>
          <w:sz w:val="20"/>
          <w:szCs w:val="20"/>
        </w:rPr>
        <w:t xml:space="preserve">SONEPAR TOOLS  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·  Release Notes</w:t>
      </w:r>
    </w:p>
    <w:p>
      <w:pPr>
        <w:spacing w:before="0" w:after="1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Asistente de Fichas Técnicas</w:t>
      </w:r>
    </w:p>
    <w:p>
      <w:pPr>
        <w:pBdr>
          <w:bottom w:val="single" w:color="C07010" w:sz="12" w:space="6"/>
        </w:pBdr>
        <w:spacing w:before="0" w:after="30"/>
      </w:pPr>
      <w:r>
        <w:rPr>
          <w:rFonts w:ascii="Arial" w:cs="Arial" w:eastAsia="Arial" w:hAnsi="Arial"/>
          <w:b/>
          <w:bCs/>
          <w:color w:val="C07010"/>
          <w:sz w:val="26"/>
          <w:szCs w:val="26"/>
        </w:rPr>
        <w:t xml:space="preserve">v2.0  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·  Marzo 2026  ·  Iago Robo  ·  fichas-tecnicas/sonepar-fichas-tecnicas-v2.jsx</w:t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Resumen de la actualización</w:t>
      </w:r>
    </w:p>
    <w:p>
      <w:pPr>
        <w:spacing w:before="60" w:after="8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La v2.0 añade tres capacidades que faltaban en el prototipo inicial: modo comparativa entre dos productos con análisis IA, validación inteligente de consultas vagas con sugerencias accionables, y exportación de la ficha en PDF y texto plano. Además se implementa persistencia real del historial entre sesiones mediante localStorage. El núcleo de IA (llamada a la API, renderizado de resultados) no cambia en su estructura — los cambios son exclusivamente de interfaz, estado y prompt.</w:t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Versiones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600"/>
        <w:gridCol w:w="3226"/>
      </w:tblGrid>
      <w:tr>
        <w:tc>
          <w:tcPr>
            <w:tcW w:type="dxa" w:w="14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Versión</w:t>
            </w:r>
          </w:p>
        </w:tc>
        <w:tc>
          <w:tcPr>
            <w:tcW w:type="dxa" w:w="18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Fecha</w:t>
            </w:r>
          </w:p>
        </w:tc>
        <w:tc>
          <w:tcPr>
            <w:tcW w:type="dxa" w:w="26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3226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14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v1.0</w:t>
            </w:r>
          </w:p>
        </w:tc>
        <w:tc>
          <w:tcPr>
            <w:tcW w:type="dxa" w:w="1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18"/>
                <w:szCs w:val="18"/>
              </w:rPr>
              <w:t xml:space="preserve">Marzo 2026</w:t>
            </w:r>
          </w:p>
        </w:tc>
        <w:tc>
          <w:tcPr>
            <w:tcW w:type="dxa" w:w="26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8"/>
                <w:szCs w:val="18"/>
              </w:rPr>
              <w:t xml:space="preserve">Superado</w:t>
            </w:r>
          </w:p>
        </w:tc>
        <w:tc>
          <w:tcPr>
            <w:tcW w:type="dxa" w:w="32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18"/>
                <w:szCs w:val="18"/>
              </w:rPr>
              <w:t xml:space="preserve">Prototipo inicial. Búsqueda, ficha, historial de sesión, accesos rápidos.</w:t>
            </w:r>
          </w:p>
        </w:tc>
      </w:tr>
      <w:tr>
        <w:tc>
          <w:tcPr>
            <w:tcW w:type="dxa" w:w="14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7010"/>
                <w:sz w:val="18"/>
                <w:szCs w:val="18"/>
              </w:rPr>
              <w:t xml:space="preserve">v2.0</w:t>
            </w:r>
          </w:p>
        </w:tc>
        <w:tc>
          <w:tcPr>
            <w:tcW w:type="dxa" w:w="1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Marzo 2026</w:t>
            </w:r>
          </w:p>
        </w:tc>
        <w:tc>
          <w:tcPr>
            <w:tcW w:type="dxa" w:w="26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6040"/>
                <w:sz w:val="18"/>
                <w:szCs w:val="18"/>
              </w:rPr>
              <w:t xml:space="preserve">Publicado</w:t>
            </w:r>
          </w:p>
        </w:tc>
        <w:tc>
          <w:tcPr>
            <w:tcW w:type="dxa" w:w="32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Comparativa IA, validación de consultas, PDF, copiar, persistencia historial, precio orientativo.</w:t>
            </w:r>
          </w:p>
        </w:tc>
      </w:tr>
      <w:tr>
        <w:tc>
          <w:tcPr>
            <w:tcW w:type="dxa" w:w="14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v3.0</w:t>
            </w:r>
          </w:p>
        </w:tc>
        <w:tc>
          <w:tcPr>
            <w:tcW w:type="dxa" w:w="1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8"/>
                <w:szCs w:val="18"/>
              </w:rPr>
              <w:t xml:space="preserve">Pendiente</w:t>
            </w:r>
          </w:p>
        </w:tc>
        <w:tc>
          <w:tcPr>
            <w:tcW w:type="dxa" w:w="26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8"/>
                <w:szCs w:val="18"/>
              </w:rPr>
              <w:t xml:space="preserve">Planificado</w:t>
            </w:r>
          </w:p>
        </w:tc>
        <w:tc>
          <w:tcPr>
            <w:tcW w:type="dxa" w:w="32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18"/>
                <w:szCs w:val="18"/>
              </w:rPr>
              <w:t xml:space="preserve">Búsqueda por síntoma de avería, comparativa exportable, conexión con catálogo real.</w:t>
            </w:r>
          </w:p>
        </w:tc>
      </w:tr>
    </w:tbl>
    <w:p>
      <w:pPr>
        <w:spacing w:before="30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Cambios detallados — v1.0 → v2.0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26"/>
      </w:tblGrid>
      <w:tr>
        <w:tc>
          <w:tcPr>
            <w:tcW w:type="dxa" w:w="14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5626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Descripción y detalle técnico</w:t>
            </w:r>
          </w:p>
        </w:tc>
      </w:tr>
      <w:tr>
        <w:tc>
          <w:tcPr>
            <w:tcW w:type="dxa" w:w="1400"/>
            <w:tcBorders>
              <w:top w:val="single" w:color="1A6040" w:sz="6"/>
              <w:left w:val="single" w:color="1A6040" w:sz="6"/>
              <w:bottom w:val="single" w:color="1A6040" w:sz="6"/>
              <w:right w:val="single" w:color="1A6040" w:sz="6"/>
            </w:tcBorders>
            <w:shd w:fill="1A60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NUEVO</w:t>
            </w:r>
          </w:p>
        </w:tc>
        <w:tc>
          <w:tcPr>
            <w:tcW w:type="dxa" w:w="2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Modo comparativa</w:t>
            </w:r>
          </w:p>
        </w:tc>
        <w:tc>
          <w:tcPr>
            <w:tcW w:type="dxa" w:w="56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Vista dedicada para comparar dos productos en paralelo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Nuevo estado de navegación 'comparativa' activado desde el header. El usuario busca productos en modo normal, los añade a slot A o B con el botón '+ COMPARAR', y ejecuta el análisis. La IA genera una tabla de 5-7 criterios técnicos con indicador de ventaja por fila, más recomendación general y casos de uso de cada producto. El buscador permanece activo dentro del modo comparativa para añadir productos sin cambiar de vista.</w:t>
            </w:r>
          </w:p>
        </w:tc>
      </w:tr>
      <w:tr>
        <w:tc>
          <w:tcPr>
            <w:tcW w:type="dxa" w:w="1400"/>
            <w:tcBorders>
              <w:top w:val="single" w:color="1A6040" w:sz="6"/>
              <w:left w:val="single" w:color="1A6040" w:sz="6"/>
              <w:bottom w:val="single" w:color="1A6040" w:sz="6"/>
              <w:right w:val="single" w:color="1A6040" w:sz="6"/>
            </w:tcBorders>
            <w:shd w:fill="1A60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NUEVO</w:t>
            </w:r>
          </w:p>
        </w:tc>
        <w:tc>
          <w:tcPr>
            <w:tcW w:type="dxa" w:w="2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Validación de consultas vagas</w:t>
            </w:r>
          </w:p>
        </w:tc>
        <w:tc>
          <w:tcPr>
            <w:tcW w:type="dxa" w:w="56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Detección de búsquedas insuficientes con sugerencias accionables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El prompt de IA incluye ahora una rama de error estructurada. Si la consulta no permite identificar un producto concreto (ej: 'contactor', 'cable', 'relé'), la API devuelve {error: true, mensaje, sugerencias[]}. La UI renderiza el mensaje de error y 3 botones de sugerencia clicables que rellenan el campo y lanzan la búsqueda automáticamente.</w:t>
            </w:r>
          </w:p>
        </w:tc>
      </w:tr>
      <w:tr>
        <w:tc>
          <w:tcPr>
            <w:tcW w:type="dxa" w:w="1400"/>
            <w:tcBorders>
              <w:top w:val="single" w:color="1A6040" w:sz="6"/>
              <w:left w:val="single" w:color="1A6040" w:sz="6"/>
              <w:bottom w:val="single" w:color="1A6040" w:sz="6"/>
              <w:right w:val="single" w:color="1A6040" w:sz="6"/>
            </w:tcBorders>
            <w:shd w:fill="1A60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NUEVO</w:t>
            </w:r>
          </w:p>
        </w:tc>
        <w:tc>
          <w:tcPr>
            <w:tcW w:type="dxa" w:w="2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Exportación PDF</w:t>
            </w:r>
          </w:p>
        </w:tc>
        <w:tc>
          <w:tcPr>
            <w:tcW w:type="dxa" w:w="56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Impresión limpia de la ficha técnica activa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Implementado con window.print() y reglas @media print en el bloque &lt;style&gt;. Todos los elementos de navegación, sidebar, botones y disclaimer tienen clase 'no-print' con display:none en impresión. El resultado impreso muestra exclusivamente los datos de la ficha sin chrome de interfaz.</w:t>
            </w:r>
          </w:p>
        </w:tc>
      </w:tr>
      <w:tr>
        <w:tc>
          <w:tcPr>
            <w:tcW w:type="dxa" w:w="1400"/>
            <w:tcBorders>
              <w:top w:val="single" w:color="1A6040" w:sz="6"/>
              <w:left w:val="single" w:color="1A6040" w:sz="6"/>
              <w:bottom w:val="single" w:color="1A6040" w:sz="6"/>
              <w:right w:val="single" w:color="1A6040" w:sz="6"/>
            </w:tcBorders>
            <w:shd w:fill="1A60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NUEVO</w:t>
            </w:r>
          </w:p>
        </w:tc>
        <w:tc>
          <w:tcPr>
            <w:tcW w:type="dxa" w:w="2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Copiar ficha al portapapeles</w:t>
            </w:r>
          </w:p>
        </w:tc>
        <w:tc>
          <w:tcPr>
            <w:tcW w:type="dxa" w:w="56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Exportación de texto plano formateado para WhatsApp o email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Botón 'COPIAR' genera un string con nombre, referencia, fabricante, descripción, características, aplicaciones, normativas, consejo técnico, precio orientativo y disclaimer. Usa navigator.clipboard.writeText(). Confirmación visual mediante toast de 2,5 segundos.</w:t>
            </w:r>
          </w:p>
        </w:tc>
      </w:tr>
      <w:tr>
        <w:tc>
          <w:tcPr>
            <w:tcW w:type="dxa" w:w="1400"/>
            <w:tcBorders>
              <w:top w:val="single" w:color="1A6040" w:sz="6"/>
              <w:left w:val="single" w:color="1A6040" w:sz="6"/>
              <w:bottom w:val="single" w:color="1A6040" w:sz="6"/>
              <w:right w:val="single" w:color="1A6040" w:sz="6"/>
            </w:tcBorders>
            <w:shd w:fill="1A60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NUEVO</w:t>
            </w:r>
          </w:p>
        </w:tc>
        <w:tc>
          <w:tcPr>
            <w:tcW w:type="dxa" w:w="2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Persistencia de historial</w:t>
            </w:r>
          </w:p>
        </w:tc>
        <w:tc>
          <w:tcPr>
            <w:tcW w:type="dxa" w:w="56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El historial de consultas se conserva entre sesiones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El historial se serializa en localStorage bajo la clave 'sonepar_fichas_historial'. Se carga en useEffect al montar el componente y se actualiza en cada consulta exitosa. Límite de 10 entradas. Deduplicación por campo 'referencia' para evitar repeticiones del mismo producto.</w:t>
            </w:r>
          </w:p>
        </w:tc>
      </w:tr>
      <w:tr>
        <w:tc>
          <w:tcPr>
            <w:tcW w:type="dxa" w:w="1400"/>
            <w:tcBorders>
              <w:top w:val="single" w:color="1A6040" w:sz="6"/>
              <w:left w:val="single" w:color="1A6040" w:sz="6"/>
              <w:bottom w:val="single" w:color="1A6040" w:sz="6"/>
              <w:right w:val="single" w:color="1A6040" w:sz="6"/>
            </w:tcBorders>
            <w:shd w:fill="1A60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NUEVO</w:t>
            </w:r>
          </w:p>
        </w:tc>
        <w:tc>
          <w:tcPr>
            <w:tcW w:type="dxa" w:w="2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Precio orientativo</w:t>
            </w:r>
          </w:p>
        </w:tc>
        <w:tc>
          <w:tcPr>
            <w:tcW w:type="dxa" w:w="56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Campo de rango de precio estimado sin IVA visible en la cabecera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Añadido campo 'precio_orientativo' al schema JSON del prompt. Se renderiza en la cabecera de la ficha junto a nivel de stock y tiempo de entrega. No se incluye en versiones anteriores del historial cacheado — compatible hacia atrás por optional chaining.</w:t>
            </w:r>
          </w:p>
        </w:tc>
      </w:tr>
      <w:tr>
        <w:tc>
          <w:tcPr>
            <w:tcW w:type="dxa" w:w="1400"/>
            <w:tcBorders>
              <w:top w:val="single" w:color="1A3A6A" w:sz="6"/>
              <w:left w:val="single" w:color="1A3A6A" w:sz="6"/>
              <w:bottom w:val="single" w:color="1A3A6A" w:sz="6"/>
              <w:right w:val="single" w:color="1A3A6A" w:sz="6"/>
            </w:tcBorders>
            <w:shd w:fill="1A3A6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MEJORA</w:t>
            </w:r>
          </w:p>
        </w:tc>
        <w:tc>
          <w:tcPr>
            <w:tcW w:type="dxa" w:w="2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Prompt de IA</w:t>
            </w:r>
          </w:p>
        </w:tc>
        <w:tc>
          <w:tcPr>
            <w:tcW w:type="dxa" w:w="56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Schema JSON extendido y rama de error estructurada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El prompt v1 devolvía un único schema de producto. El prompt v2 define dos ramas de respuesta: schema de error {error, mensaje, sugerencias[]} y schema de producto extendido con el campo precio_orientativo añadido. Instrucción explícita de no usar backticks ni markdown en la respuesta para facilitar el parseo.</w:t>
            </w:r>
          </w:p>
        </w:tc>
      </w:tr>
      <w:tr>
        <w:tc>
          <w:tcPr>
            <w:tcW w:type="dxa" w:w="1400"/>
            <w:tcBorders>
              <w:top w:val="single" w:color="1A3A6A" w:sz="6"/>
              <w:left w:val="single" w:color="1A3A6A" w:sz="6"/>
              <w:bottom w:val="single" w:color="1A3A6A" w:sz="6"/>
              <w:right w:val="single" w:color="1A3A6A" w:sz="6"/>
            </w:tcBorders>
            <w:shd w:fill="1A3A6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MEJORA</w:t>
            </w:r>
          </w:p>
        </w:tc>
        <w:tc>
          <w:tcPr>
            <w:tcW w:type="dxa" w:w="2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Toast de confirmación</w:t>
            </w:r>
          </w:p>
        </w:tc>
        <w:tc>
          <w:tcPr>
            <w:tcW w:type="dxa" w:w="56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Feedback visual unificado para acciones del usuario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Estado 'toast' centralizado con auto-limpieza a los 2500ms. Usado en: copiar ficha, añadir producto A a comparativa, añadir producto B a comparativa. Posición fixed top-right, fuera del flujo del documento.</w:t>
            </w:r>
          </w:p>
        </w:tc>
      </w:tr>
      <w:tr>
        <w:tc>
          <w:tcPr>
            <w:tcW w:type="dxa" w:w="1400"/>
            <w:tcBorders>
              <w:top w:val="single" w:color="1A3A6A" w:sz="6"/>
              <w:left w:val="single" w:color="1A3A6A" w:sz="6"/>
              <w:bottom w:val="single" w:color="1A3A6A" w:sz="6"/>
              <w:right w:val="single" w:color="1A3A6A" w:sz="6"/>
            </w:tcBorders>
            <w:shd w:fill="1A3A6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MEJORA</w:t>
            </w:r>
          </w:p>
        </w:tc>
        <w:tc>
          <w:tcPr>
            <w:tcW w:type="dxa" w:w="2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Limpiar historial</w:t>
            </w:r>
          </w:p>
        </w:tc>
        <w:tc>
          <w:tcPr>
            <w:tcW w:type="dxa" w:w="56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Botón de reset del historial en sidebar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Botón visible solo cuando historial.length &gt; 0. Limpia el estado React y el valor en localStorage. En v1 el historial era solo de sesión y no tenía opción de borrado.</w:t>
            </w:r>
          </w:p>
        </w:tc>
      </w:tr>
    </w:tbl>
    <w:p>
      <w:pPr>
        <w:pBdr>
          <w:bottom w:val="single" w:color="E0DBD4" w:sz="2" w:space="1"/>
        </w:pBdr>
        <w:spacing w:before="240" w:after="240"/>
      </w:pPr>
      <w:r>
        <w:t xml:space="preserve"/>
      </w:r>
    </w:p>
    <w:p>
      <w:pPr>
        <w:spacing w:before="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Compatibilidad y dependencias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6026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API Anthropic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Sin cambios. Mismo endpoint, mismo modelo (claude-sonnet-4-20250514), max_tokens: 1000.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React / hooks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Se añade useRef para el foco automático del input. Sin nuevas dependencias externas.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localStorage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Nueva clave: 'sonepar_fichas_historial'. El historial v1 (solo sesión) no migra — se genera desde cero.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window.print()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Sin dependencias de librería. Requiere que el artefacto se ejecute en un entorno con acceso al DOM de impresión.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navigator.clipboard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Requiere contexto seguro (HTTPS o localhost). En entornos sin clipboard API el botón falla silenciosamente.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Compatibilidad v1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El JSX v2 reemplaza completamente al v1. No son compatibles en paralelo — archivo independiente.</w:t>
            </w:r>
          </w:p>
        </w:tc>
      </w:tr>
    </w:tbl>
    <w:p>
      <w:pPr>
        <w:pBdr>
          <w:bottom w:val="single" w:color="E0DBD4" w:sz="2" w:space="1"/>
        </w:pBdr>
        <w:spacing w:before="240" w:after="240"/>
      </w:pPr>
      <w:r>
        <w:t xml:space="preserve"/>
      </w:r>
    </w:p>
    <w:p>
      <w:pPr>
        <w:spacing w:before="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Pendiente para v3.0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Búsqueda por síntoma: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El usuario describe un problema ('motor arranca pero se para a los 5 minutos') y la IA identifica qué componente revisar o sustituir.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Exportación comparativa a PDF: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El modo comparativa no tiene exportación en v2. Añadir estilos @media print específicos para la tabla de criterios.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Conexión con catálogo Sonepar: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Sustituir precios y stock orientativos por datos reales vía API interna de Sonepar cuando esté disponible.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Modo offline: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Caché local de las últimas 20 fichas consultadas para uso sin conexión en almacén.</w:t>
      </w:r>
    </w:p>
    <w:p>
      <w:pPr>
        <w:pBdr>
          <w:bottom w:val="single" w:color="E0DBD4" w:sz="2" w:space="1"/>
        </w:pBdr>
        <w:spacing w:before="240" w:after="240"/>
      </w:pPr>
      <w:r>
        <w:t xml:space="preserve"/>
      </w:r>
    </w:p>
    <w:p>
      <w:pPr>
        <w:spacing w:before="0" w:after="0"/>
      </w:pPr>
      <w:r>
        <w:rPr>
          <w:rFonts w:ascii="Arial" w:cs="Arial" w:eastAsia="Arial" w:hAnsi="Arial"/>
          <w:i/>
          <w:iCs/>
          <w:color w:val="999999"/>
          <w:sz w:val="17"/>
          <w:szCs w:val="17"/>
        </w:rPr>
        <w:t xml:space="preserve">Sonepar Tools · Iago Robo · Prácticas Sonepar A Coruña 2026 · fichas-tecnicas/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2026-03-07T04:30:49.437Z</dcterms:created>
  <dcterms:modified xsi:type="dcterms:W3CDTF">2026-03-07T04:30:49.438Z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