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999999"/>
          <w:sz w:val="20"/>
          <w:szCs w:val="20"/>
        </w:rPr>
        <w:t xml:space="preserve">SONEPAR TOOLS  ·  CHANGELOG</w:t>
      </w:r>
    </w:p>
    <w:p>
      <w:pPr>
        <w:spacing w:before="0" w:after="10"/>
      </w:pPr>
      <w:r>
        <w:rPr>
          <w:rFonts w:ascii="Arial" w:cs="Arial" w:eastAsia="Arial" w:hAnsi="Arial"/>
          <w:b/>
          <w:bCs/>
          <w:color w:val="1A1A2E"/>
          <w:sz w:val="40"/>
          <w:szCs w:val="40"/>
        </w:rPr>
        <w:t xml:space="preserve">Calculadora de KPIs Logísticos</w:t>
      </w:r>
    </w:p>
    <w:p>
      <w:pPr>
        <w:pBdr>
          <w:bottom w:val="single" w:color="1565C0" w:sz="12" w:space="6"/>
        </w:pBdr>
        <w:spacing w:before="0" w:after="30"/>
      </w:pPr>
      <w:r>
        <w:rPr>
          <w:rFonts w:ascii="Arial" w:cs="Arial" w:eastAsia="Arial" w:hAnsi="Arial"/>
          <w:b/>
          <w:bCs/>
          <w:color w:val="1565C0"/>
          <w:sz w:val="26"/>
          <w:szCs w:val="26"/>
        </w:rPr>
        <w:t xml:space="preserve">v1.0  </w:t>
      </w:r>
      <w:r>
        <w:rPr>
          <w:rFonts w:ascii="Arial" w:cs="Arial" w:eastAsia="Arial" w:hAnsi="Arial"/>
          <w:color w:val="999999"/>
          <w:sz w:val="20"/>
          <w:szCs w:val="20"/>
        </w:rPr>
        <w:t xml:space="preserve">·  Marzo 2026  ·  Iago Robo  ·  kpi-logistico/sonepar-kpi-logistico.jsx</w:t>
      </w:r>
    </w:p>
    <w:p>
      <w:pPr>
        <w:spacing w:before="240" w:after="80"/>
      </w:pPr>
      <w:r>
        <w:rPr>
          <w:rFonts w:ascii="Arial" w:cs="Arial" w:eastAsia="Arial" w:hAnsi="Arial"/>
          <w:b/>
          <w:bCs/>
          <w:color w:val="1A1A2E"/>
          <w:sz w:val="22"/>
          <w:szCs w:val="22"/>
        </w:rPr>
        <w:t xml:space="preserve">Resumen</w:t>
      </w:r>
    </w:p>
    <w:p>
      <w:pPr>
        <w:spacing w:before="60" w:after="80"/>
      </w:pPr>
      <w:r>
        <w:rPr>
          <w:rFonts w:ascii="Arial" w:cs="Arial" w:eastAsia="Arial" w:hAnsi="Arial"/>
          <w:color w:val="555555"/>
          <w:sz w:val="19"/>
          <w:szCs w:val="19"/>
        </w:rPr>
        <w:t xml:space="preserve">Primera versión de la calculadora de KPIs logísticos. Transforma los datos brutos de un turno en 6 indicadores clave con semáforo visual comparado con benchmarks del sector. Genera un informe ejecutivo IA. Incluye gráficos de histórico semanal hardcodeados.</w:t>
      </w:r>
    </w:p>
    <w:p>
      <w:pPr>
        <w:spacing w:before="200" w:after="80"/>
      </w:pPr>
      <w:r>
        <w:rPr>
          <w:rFonts w:ascii="Arial" w:cs="Arial" w:eastAsia="Arial" w:hAnsi="Arial"/>
          <w:b/>
          <w:bCs/>
          <w:color w:val="1A1A2E"/>
          <w:sz w:val="22"/>
          <w:szCs w:val="22"/>
        </w:rPr>
        <w:t xml:space="preserve">Contexto técnico</w:t>
      </w:r>
    </w:p>
    <w:p>
      <w:pPr>
        <w:spacing w:before="60" w:after="80"/>
      </w:pPr>
      <w:r>
        <w:rPr>
          <w:rFonts w:ascii="Arial" w:cs="Arial" w:eastAsia="Arial" w:hAnsi="Arial"/>
          <w:color w:val="555555"/>
          <w:sz w:val="19"/>
          <w:szCs w:val="19"/>
        </w:rPr>
        <w:t xml:space="preserve">El componente toma 8 inputs numéricos del usuario y calcula los KPIs al pulsar el botón. Los benchmarks son valores fijos definidos en el código basados en estándares del sector de distribución. Los gráficos de Recharts muestran datos de ejemplo hardcodeados — no reflejan los datos introducidos por el usuario. El informe IA se genera una vez por sesión.</w:t>
      </w:r>
    </w:p>
    <w:p>
      <w:pPr>
        <w:spacing w:before="200" w:after="80"/>
      </w:pPr>
      <w:r>
        <w:rPr>
          <w:rFonts w:ascii="Arial" w:cs="Arial" w:eastAsia="Arial" w:hAnsi="Arial"/>
          <w:b/>
          <w:bCs/>
          <w:color w:val="1A1A2E"/>
          <w:sz w:val="22"/>
          <w:szCs w:val="22"/>
        </w:rPr>
        <w:t xml:space="preserve">Estado de la versión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Campo</w:t>
            </w:r>
          </w:p>
        </w:tc>
        <w:tc>
          <w:tcPr>
            <w:tcW w:type="dxa" w:w="25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Valor</w:t>
            </w:r>
          </w:p>
        </w:tc>
        <w:tc>
          <w:tcPr>
            <w:tcW w:type="dxa" w:w="45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Notas</w:t>
            </w:r>
          </w:p>
        </w:tc>
      </w:tr>
      <w:tr>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Versión</w:t>
            </w:r>
          </w:p>
        </w:tc>
        <w:tc>
          <w:tcPr>
            <w:tcW w:type="dxa" w:w="25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565C0"/>
                <w:sz w:val="18"/>
                <w:szCs w:val="18"/>
              </w:rPr>
              <w:t xml:space="preserve">1.0</w:t>
            </w:r>
          </w:p>
        </w:tc>
        <w:tc>
          <w:tcPr>
            <w:tcW w:type="dxa" w:w="45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iCs/>
                <w:color w:val="999999"/>
                <w:sz w:val="18"/>
                <w:szCs w:val="18"/>
              </w:rPr>
              <w:t xml:space="preserve">Primera versión pública del prototipo</w:t>
            </w:r>
          </w:p>
        </w:tc>
      </w:tr>
      <w:tr>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Fecha</w:t>
            </w:r>
          </w:p>
        </w:tc>
        <w:tc>
          <w:tcPr>
            <w:tcW w:type="dxa" w:w="25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565C0"/>
                <w:sz w:val="18"/>
                <w:szCs w:val="18"/>
              </w:rPr>
              <w:t xml:space="preserve">Marzo 2026</w:t>
            </w:r>
          </w:p>
        </w:tc>
        <w:tc>
          <w:tcPr>
            <w:tcW w:type="dxa" w:w="45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iCs/>
                <w:color w:val="999999"/>
                <w:sz w:val="18"/>
                <w:szCs w:val="18"/>
              </w:rPr>
              <w:t xml:space="preserve"/>
            </w:r>
          </w:p>
        </w:tc>
      </w:tr>
      <w:tr>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Estado</w:t>
            </w:r>
          </w:p>
        </w:tc>
        <w:tc>
          <w:tcPr>
            <w:tcW w:type="dxa" w:w="25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565C0"/>
                <w:sz w:val="18"/>
                <w:szCs w:val="18"/>
              </w:rPr>
              <w:t xml:space="preserve">Prototipo funcional</w:t>
            </w:r>
          </w:p>
        </w:tc>
        <w:tc>
          <w:tcPr>
            <w:tcW w:type="dxa" w:w="45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iCs/>
                <w:color w:val="999999"/>
                <w:sz w:val="18"/>
                <w:szCs w:val="18"/>
              </w:rPr>
              <w:t xml:space="preserve">Pendiente de revisión en fase 2</w:t>
            </w:r>
          </w:p>
        </w:tc>
      </w:tr>
      <w:tr>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Archivo</w:t>
            </w:r>
          </w:p>
        </w:tc>
        <w:tc>
          <w:tcPr>
            <w:tcW w:type="dxa" w:w="25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565C0"/>
                <w:sz w:val="18"/>
                <w:szCs w:val="18"/>
              </w:rPr>
              <w:t xml:space="preserve">kpi-logistico/sonepar-kpi-logistico.jsx</w:t>
            </w:r>
          </w:p>
        </w:tc>
        <w:tc>
          <w:tcPr>
            <w:tcW w:type="dxa" w:w="45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iCs/>
                <w:color w:val="999999"/>
                <w:sz w:val="18"/>
                <w:szCs w:val="18"/>
              </w:rPr>
              <w:t xml:space="preserve"/>
            </w:r>
          </w:p>
        </w:tc>
      </w:tr>
      <w:tr>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Carpeta repo</w:t>
            </w:r>
          </w:p>
        </w:tc>
        <w:tc>
          <w:tcPr>
            <w:tcW w:type="dxa" w:w="25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565C0"/>
                <w:sz w:val="18"/>
                <w:szCs w:val="18"/>
              </w:rPr>
              <w:t xml:space="preserve">kpi-logistico/</w:t>
            </w:r>
          </w:p>
        </w:tc>
        <w:tc>
          <w:tcPr>
            <w:tcW w:type="dxa" w:w="45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iCs/>
                <w:color w:val="999999"/>
                <w:sz w:val="18"/>
                <w:szCs w:val="18"/>
              </w:rPr>
              <w:t xml:space="preserve"/>
            </w:r>
          </w:p>
        </w:tc>
      </w:tr>
      <w:tr>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Modelo IA</w:t>
            </w:r>
          </w:p>
        </w:tc>
        <w:tc>
          <w:tcPr>
            <w:tcW w:type="dxa" w:w="25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565C0"/>
                <w:sz w:val="18"/>
                <w:szCs w:val="18"/>
              </w:rPr>
              <w:t xml:space="preserve">claude-sonnet-4-20250514</w:t>
            </w:r>
          </w:p>
        </w:tc>
        <w:tc>
          <w:tcPr>
            <w:tcW w:type="dxa" w:w="45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iCs/>
                <w:color w:val="999999"/>
                <w:sz w:val="18"/>
                <w:szCs w:val="18"/>
              </w:rPr>
              <w:t xml:space="preserve">Anthropic API — endpoint /v1/messages</w:t>
            </w:r>
          </w:p>
        </w:tc>
      </w:tr>
      <w:tr>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Dependencias UI</w:t>
            </w:r>
          </w:p>
        </w:tc>
        <w:tc>
          <w:tcPr>
            <w:tcW w:type="dxa" w:w="25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565C0"/>
                <w:sz w:val="18"/>
                <w:szCs w:val="18"/>
              </w:rPr>
              <w:t xml:space="preserve">React 18, Anthropic API, Recharts</w:t>
            </w:r>
          </w:p>
        </w:tc>
        <w:tc>
          <w:tcPr>
            <w:tcW w:type="dxa" w:w="45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val="false"/>
                <w:bCs w:val="false"/>
                <w:i/>
                <w:iCs/>
                <w:color w:val="999999"/>
                <w:sz w:val="18"/>
                <w:szCs w:val="18"/>
              </w:rPr>
              <w:t xml:space="preserve"/>
            </w:r>
          </w:p>
        </w:tc>
      </w:tr>
    </w:tbl>
    <w:p>
      <w:pPr>
        <w:spacing w:before="280" w:after="80"/>
      </w:pPr>
      <w:r>
        <w:rPr>
          <w:rFonts w:ascii="Arial" w:cs="Arial" w:eastAsia="Arial" w:hAnsi="Arial"/>
          <w:b/>
          <w:bCs/>
          <w:color w:val="1A1A2E"/>
          <w:sz w:val="22"/>
          <w:szCs w:val="22"/>
        </w:rPr>
        <w:t xml:space="preserve">Funcionalidades implementadas en v1.0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626"/>
      </w:tblGrid>
      <w:tr>
        <w:tc>
          <w:tcPr>
            <w:tcW w:type="dxa" w:w="14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Tipo</w:t>
            </w:r>
          </w:p>
        </w:tc>
        <w:tc>
          <w:tcPr>
            <w:tcW w:type="dxa" w:w="20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Componente</w:t>
            </w:r>
          </w:p>
        </w:tc>
        <w:tc>
          <w:tcPr>
            <w:tcW w:type="dxa" w:w="56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Descripción y detalle técnico</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Formulario de turno</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8 campos numéricos: pedidos procesados, horas trabajadas, errores picking, tiempo ciclo, ubicaciones ocupadas, total ubicaciones, devoluciones, operarios</w:t>
            </w:r>
          </w:p>
          <w:p>
            <w:pPr>
              <w:spacing w:before="40"/>
            </w:pPr>
            <w:r>
              <w:rPr>
                <w:rFonts w:ascii="Arial" w:cs="Arial" w:eastAsia="Arial" w:hAnsi="Arial"/>
                <w:i/>
                <w:iCs/>
                <w:color w:val="555555"/>
                <w:sz w:val="17"/>
                <w:szCs w:val="17"/>
              </w:rPr>
              <w:t xml:space="preserve">Inputs tipo number con valor mínimo 0. Selector de delegación (7 ciudades: A Coruña, Madrid, Barcelona, Valencia, Sevilla, Bilbao, Zaragoza) y turno (Mañana/Tarde/Noche). Sin validación de coherencia entre campos.</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Cálculo de 6 KPIs</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Pedidos/hora, tasa de error picking, tiempo medio de ciclo, ocupación de almacén, tasa de devoluciones, productividad por operario</w:t>
            </w:r>
          </w:p>
          <w:p>
            <w:pPr>
              <w:spacing w:before="40"/>
            </w:pPr>
            <w:r>
              <w:rPr>
                <w:rFonts w:ascii="Arial" w:cs="Arial" w:eastAsia="Arial" w:hAnsi="Arial"/>
                <w:i/>
                <w:iCs/>
                <w:color w:val="555555"/>
                <w:sz w:val="17"/>
                <w:szCs w:val="17"/>
              </w:rPr>
              <w:t xml:space="preserve">Fórmulas: pedidos_hora = pedidos/horas, error_picking = (errores/pedidos)*100, ocupacion = (ocupadas/total)*100, devolucion = (devoluciones/pedidos)*100, productividad = pedidos/operarios. Tiempo ciclo directo del input.</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Semáforo visual</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Indicador verde/naranja/rojo por KPI comparado con benchmarks del sector</w:t>
            </w:r>
          </w:p>
          <w:p>
            <w:pPr>
              <w:spacing w:before="40"/>
            </w:pPr>
            <w:r>
              <w:rPr>
                <w:rFonts w:ascii="Arial" w:cs="Arial" w:eastAsia="Arial" w:hAnsi="Arial"/>
                <w:i/>
                <w:iCs/>
                <w:color w:val="555555"/>
                <w:sz w:val="17"/>
                <w:szCs w:val="17"/>
              </w:rPr>
              <w:t xml:space="preserve">Benchmarks hardcodeados: pedidos/hora &gt; 15 verde, &gt; 10 naranja; error picking &lt; 0.5% verde, &lt; 1% naranja; ocupación 70-85% verde; devoluciones &lt; 2% verde; productividad &gt; 20 verde. Renderizado como badge de color junto al valor.</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Informe IA</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Análisis ejecutivo del turno con puntos fuertes, áreas de mejora y recomendación</w:t>
            </w:r>
          </w:p>
          <w:p>
            <w:pPr>
              <w:spacing w:before="40"/>
            </w:pPr>
            <w:r>
              <w:rPr>
                <w:rFonts w:ascii="Arial" w:cs="Arial" w:eastAsia="Arial" w:hAnsi="Arial"/>
                <w:i/>
                <w:iCs/>
                <w:color w:val="555555"/>
                <w:sz w:val="17"/>
                <w:szCs w:val="17"/>
              </w:rPr>
              <w:t xml:space="preserve">Prompt incluye todos los KPIs calculados y sus estados semáforo. Output texto libre: resumen general, 2-3 puntos fuertes, 2-3 áreas de mejora, recomendación concreta para el siguiente turno.</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Gráficos Recharts</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Gráfico de barras (pedidos semana) y línea (evolución error picking)</w:t>
            </w:r>
          </w:p>
          <w:p>
            <w:pPr>
              <w:spacing w:before="40"/>
            </w:pPr>
            <w:r>
              <w:rPr>
                <w:rFonts w:ascii="Arial" w:cs="Arial" w:eastAsia="Arial" w:hAnsi="Arial"/>
                <w:i/>
                <w:iCs/>
                <w:color w:val="555555"/>
                <w:sz w:val="17"/>
                <w:szCs w:val="17"/>
              </w:rPr>
              <w:t xml:space="preserve">Datos hardcodeados de 7 días de ejemplo. No conectados a los datos introducidos por el usuario. Recharts BarChart y LineChart con ResponsiveContainer.</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pPr>
              <w:jc w:val="left"/>
            </w:pPr>
            <w:r>
              <w:rPr>
                <w:rFonts w:ascii="Arial" w:cs="Arial" w:eastAsia="Arial" w:hAnsi="Arial"/>
                <w:b/>
                <w:bCs/>
                <w:i w:val="false"/>
                <w:iCs w:val="false"/>
                <w:color w:val="1A1A2E"/>
                <w:sz w:val="18"/>
                <w:szCs w:val="18"/>
              </w:rPr>
              <w:t xml:space="preserve">Selector delegación y turno</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Contexto organizativo para el informe IA</w:t>
            </w:r>
          </w:p>
          <w:p>
            <w:pPr>
              <w:spacing w:before="40"/>
            </w:pPr>
            <w:r>
              <w:rPr>
                <w:rFonts w:ascii="Arial" w:cs="Arial" w:eastAsia="Arial" w:hAnsi="Arial"/>
                <w:i/>
                <w:iCs/>
                <w:color w:val="555555"/>
                <w:sz w:val="17"/>
                <w:szCs w:val="17"/>
              </w:rPr>
              <w:t xml:space="preserve">Los valores de delegación y turno se incluyen en el prompt pero no afectan a los benchmarks — son uniformes para todas las delegaciones en v1.</w:t>
            </w:r>
          </w:p>
        </w:tc>
      </w:tr>
    </w:tbl>
    <w:p>
      <w:pPr>
        <w:pBdr>
          <w:bottom w:val="single" w:color="E0DBD4" w:sz="2" w:space="1"/>
        </w:pBdr>
        <w:spacing w:before="220" w:after="220"/>
      </w:pPr>
      <w:r>
        <w:t xml:space="preserve"/>
      </w:r>
    </w:p>
    <w:p>
      <w:pPr>
        <w:spacing w:before="0" w:after="80"/>
      </w:pPr>
      <w:r>
        <w:rPr>
          <w:rFonts w:ascii="Arial" w:cs="Arial" w:eastAsia="Arial" w:hAnsi="Arial"/>
          <w:b/>
          <w:bCs/>
          <w:color w:val="1A1A2E"/>
          <w:sz w:val="22"/>
          <w:szCs w:val="22"/>
        </w:rPr>
        <w:t xml:space="preserve">Limitaciones conocidas en v1.0</w:t>
      </w:r>
    </w:p>
    <w:p>
      <w:pPr>
        <w:pStyle w:val="ListParagraph"/>
        <w:numPr>
          <w:ilvl w:val="0"/>
          <w:numId w:val="2"/>
        </w:numPr>
        <w:spacing w:before="50" w:after="50"/>
      </w:pPr>
      <w:r>
        <w:rPr>
          <w:rFonts w:ascii="Arial" w:cs="Arial" w:eastAsia="Arial" w:hAnsi="Arial"/>
          <w:b/>
          <w:bCs/>
          <w:color w:val="1A1A2E"/>
          <w:sz w:val="19"/>
          <w:szCs w:val="19"/>
        </w:rPr>
        <w:t xml:space="preserve">Gráficos hardcodeados: </w:t>
      </w:r>
      <w:r>
        <w:rPr>
          <w:rFonts w:ascii="Arial" w:cs="Arial" w:eastAsia="Arial" w:hAnsi="Arial"/>
          <w:color w:val="555555"/>
          <w:sz w:val="19"/>
          <w:szCs w:val="19"/>
        </w:rPr>
        <w:t xml:space="preserve">Los gráficos de histórico muestran datos de ejemplo fijos, no los datos reales introducidos por el usuario.</w:t>
      </w:r>
    </w:p>
    <w:p>
      <w:pPr>
        <w:pStyle w:val="ListParagraph"/>
        <w:numPr>
          <w:ilvl w:val="0"/>
          <w:numId w:val="2"/>
        </w:numPr>
        <w:spacing w:before="50" w:after="50"/>
      </w:pPr>
      <w:r>
        <w:rPr>
          <w:rFonts w:ascii="Arial" w:cs="Arial" w:eastAsia="Arial" w:hAnsi="Arial"/>
          <w:b/>
          <w:bCs/>
          <w:color w:val="1A1A2E"/>
          <w:sz w:val="19"/>
          <w:szCs w:val="19"/>
        </w:rPr>
        <w:t xml:space="preserve">Sin datos de ejemplo cargables: </w:t>
      </w:r>
      <w:r>
        <w:rPr>
          <w:rFonts w:ascii="Arial" w:cs="Arial" w:eastAsia="Arial" w:hAnsi="Arial"/>
          <w:color w:val="555555"/>
          <w:sz w:val="19"/>
          <w:szCs w:val="19"/>
        </w:rPr>
        <w:t xml:space="preserve">El usuario debe rellenar los 8 campos desde cero. No hay botón de carga de datos de ejemplo para entender qué introducir.</w:t>
      </w:r>
    </w:p>
    <w:p>
      <w:pPr>
        <w:pStyle w:val="ListParagraph"/>
        <w:numPr>
          <w:ilvl w:val="0"/>
          <w:numId w:val="2"/>
        </w:numPr>
        <w:spacing w:before="50" w:after="50"/>
      </w:pPr>
      <w:r>
        <w:rPr>
          <w:rFonts w:ascii="Arial" w:cs="Arial" w:eastAsia="Arial" w:hAnsi="Arial"/>
          <w:b/>
          <w:bCs/>
          <w:color w:val="1A1A2E"/>
          <w:sz w:val="19"/>
          <w:szCs w:val="19"/>
        </w:rPr>
        <w:t xml:space="preserve">Sin persistencia de informes: </w:t>
      </w:r>
      <w:r>
        <w:rPr>
          <w:rFonts w:ascii="Arial" w:cs="Arial" w:eastAsia="Arial" w:hAnsi="Arial"/>
          <w:color w:val="555555"/>
          <w:sz w:val="19"/>
          <w:szCs w:val="19"/>
        </w:rPr>
        <w:t xml:space="preserve">Los KPIs calculados y el informe IA se pierden al recargar. No hay histórico de turnos.</w:t>
      </w:r>
    </w:p>
    <w:p>
      <w:pPr>
        <w:pStyle w:val="ListParagraph"/>
        <w:numPr>
          <w:ilvl w:val="0"/>
          <w:numId w:val="2"/>
        </w:numPr>
        <w:spacing w:before="50" w:after="50"/>
      </w:pPr>
      <w:r>
        <w:rPr>
          <w:rFonts w:ascii="Arial" w:cs="Arial" w:eastAsia="Arial" w:hAnsi="Arial"/>
          <w:b/>
          <w:bCs/>
          <w:color w:val="1A1A2E"/>
          <w:sz w:val="19"/>
          <w:szCs w:val="19"/>
        </w:rPr>
        <w:t xml:space="preserve">Benchmarks uniformes: </w:t>
      </w:r>
      <w:r>
        <w:rPr>
          <w:rFonts w:ascii="Arial" w:cs="Arial" w:eastAsia="Arial" w:hAnsi="Arial"/>
          <w:color w:val="555555"/>
          <w:sz w:val="19"/>
          <w:szCs w:val="19"/>
        </w:rPr>
        <w:t xml:space="preserve">Los benchmarks son los mismos para todas las delegaciones y turnos, sin contextualización.</w:t>
      </w:r>
    </w:p>
    <w:p>
      <w:pPr>
        <w:pStyle w:val="ListParagraph"/>
        <w:numPr>
          <w:ilvl w:val="0"/>
          <w:numId w:val="2"/>
        </w:numPr>
        <w:spacing w:before="50" w:after="50"/>
      </w:pPr>
      <w:r>
        <w:rPr>
          <w:rFonts w:ascii="Arial" w:cs="Arial" w:eastAsia="Arial" w:hAnsi="Arial"/>
          <w:b/>
          <w:bCs/>
          <w:color w:val="1A1A2E"/>
          <w:sz w:val="19"/>
          <w:szCs w:val="19"/>
        </w:rPr>
        <w:t xml:space="preserve">Sin exportación: </w:t>
      </w:r>
      <w:r>
        <w:rPr>
          <w:rFonts w:ascii="Arial" w:cs="Arial" w:eastAsia="Arial" w:hAnsi="Arial"/>
          <w:color w:val="555555"/>
          <w:sz w:val="19"/>
          <w:szCs w:val="19"/>
        </w:rPr>
        <w:t xml:space="preserve">No hay forma de guardar o imprimir el informe del turno.</w:t>
      </w:r>
    </w:p>
    <w:p>
      <w:pPr>
        <w:pBdr>
          <w:bottom w:val="single" w:color="E0DBD4" w:sz="2" w:space="1"/>
        </w:pBdr>
        <w:spacing w:before="220" w:after="220"/>
      </w:pPr>
      <w:r>
        <w:t xml:space="preserve"/>
      </w:r>
    </w:p>
    <w:p>
      <w:pPr>
        <w:spacing w:before="0" w:after="80"/>
      </w:pPr>
      <w:r>
        <w:rPr>
          <w:rFonts w:ascii="Arial" w:cs="Arial" w:eastAsia="Arial" w:hAnsi="Arial"/>
          <w:b/>
          <w:bCs/>
          <w:color w:val="1A1A2E"/>
          <w:sz w:val="22"/>
          <w:szCs w:val="22"/>
        </w:rPr>
        <w:t xml:space="preserve">Previsto para v2.0</w:t>
      </w:r>
    </w:p>
    <w:p>
      <w:pPr>
        <w:pStyle w:val="ListParagraph"/>
        <w:numPr>
          <w:ilvl w:val="0"/>
          <w:numId w:val="2"/>
        </w:numPr>
        <w:spacing w:before="50" w:after="50"/>
      </w:pPr>
      <w:r>
        <w:rPr>
          <w:rFonts w:ascii="Arial" w:cs="Arial" w:eastAsia="Arial" w:hAnsi="Arial"/>
          <w:b/>
          <w:bCs/>
          <w:color w:val="1A1A2E"/>
          <w:sz w:val="19"/>
          <w:szCs w:val="19"/>
        </w:rPr>
        <w:t xml:space="preserve">Datos de ejemplo cargables: </w:t>
      </w:r>
      <w:r>
        <w:rPr>
          <w:rFonts w:ascii="Arial" w:cs="Arial" w:eastAsia="Arial" w:hAnsi="Arial"/>
          <w:color w:val="555555"/>
          <w:sz w:val="19"/>
          <w:szCs w:val="19"/>
        </w:rPr>
        <w:t xml:space="preserve">Botón que rellena los 8 campos con valores representativos de un turno estándar.</w:t>
      </w:r>
    </w:p>
    <w:p>
      <w:pPr>
        <w:pStyle w:val="ListParagraph"/>
        <w:numPr>
          <w:ilvl w:val="0"/>
          <w:numId w:val="2"/>
        </w:numPr>
        <w:spacing w:before="50" w:after="50"/>
      </w:pPr>
      <w:r>
        <w:rPr>
          <w:rFonts w:ascii="Arial" w:cs="Arial" w:eastAsia="Arial" w:hAnsi="Arial"/>
          <w:b/>
          <w:bCs/>
          <w:color w:val="1A1A2E"/>
          <w:sz w:val="19"/>
          <w:szCs w:val="19"/>
        </w:rPr>
        <w:t xml:space="preserve">Gráficos dinámicos: </w:t>
      </w:r>
      <w:r>
        <w:rPr>
          <w:rFonts w:ascii="Arial" w:cs="Arial" w:eastAsia="Arial" w:hAnsi="Arial"/>
          <w:color w:val="555555"/>
          <w:sz w:val="19"/>
          <w:szCs w:val="19"/>
        </w:rPr>
        <w:t xml:space="preserve">Los gráficos reflejan el histórico real de los últimos turnos guardados por el usuario.</w:t>
      </w:r>
    </w:p>
    <w:p>
      <w:pPr>
        <w:pStyle w:val="ListParagraph"/>
        <w:numPr>
          <w:ilvl w:val="0"/>
          <w:numId w:val="2"/>
        </w:numPr>
        <w:spacing w:before="50" w:after="50"/>
      </w:pPr>
      <w:r>
        <w:rPr>
          <w:rFonts w:ascii="Arial" w:cs="Arial" w:eastAsia="Arial" w:hAnsi="Arial"/>
          <w:b/>
          <w:bCs/>
          <w:color w:val="1A1A2E"/>
          <w:sz w:val="19"/>
          <w:szCs w:val="19"/>
        </w:rPr>
        <w:t xml:space="preserve">Historial de turnos: </w:t>
      </w:r>
      <w:r>
        <w:rPr>
          <w:rFonts w:ascii="Arial" w:cs="Arial" w:eastAsia="Arial" w:hAnsi="Arial"/>
          <w:color w:val="555555"/>
          <w:sz w:val="19"/>
          <w:szCs w:val="19"/>
        </w:rPr>
        <w:t xml:space="preserve">Guardado de cada cálculo en localStorage con fecha, delegación, turno y todos los KPIs.</w:t>
      </w:r>
    </w:p>
    <w:p>
      <w:pPr>
        <w:pStyle w:val="ListParagraph"/>
        <w:numPr>
          <w:ilvl w:val="0"/>
          <w:numId w:val="2"/>
        </w:numPr>
        <w:spacing w:before="50" w:after="50"/>
      </w:pPr>
      <w:r>
        <w:rPr>
          <w:rFonts w:ascii="Arial" w:cs="Arial" w:eastAsia="Arial" w:hAnsi="Arial"/>
          <w:b/>
          <w:bCs/>
          <w:color w:val="1A1A2E"/>
          <w:sz w:val="19"/>
          <w:szCs w:val="19"/>
        </w:rPr>
        <w:t xml:space="preserve">Comparativa entre turnos: </w:t>
      </w:r>
      <w:r>
        <w:rPr>
          <w:rFonts w:ascii="Arial" w:cs="Arial" w:eastAsia="Arial" w:hAnsi="Arial"/>
          <w:color w:val="555555"/>
          <w:sz w:val="19"/>
          <w:szCs w:val="19"/>
        </w:rPr>
        <w:t xml:space="preserve">Selección de dos registros del historial para comparar KPIs lado a lado.</w:t>
      </w:r>
    </w:p>
    <w:p>
      <w:pPr>
        <w:pStyle w:val="ListParagraph"/>
        <w:numPr>
          <w:ilvl w:val="0"/>
          <w:numId w:val="2"/>
        </w:numPr>
        <w:spacing w:before="50" w:after="50"/>
      </w:pPr>
      <w:r>
        <w:rPr>
          <w:rFonts w:ascii="Arial" w:cs="Arial" w:eastAsia="Arial" w:hAnsi="Arial"/>
          <w:b/>
          <w:bCs/>
          <w:color w:val="1A1A2E"/>
          <w:sz w:val="19"/>
          <w:szCs w:val="19"/>
        </w:rPr>
        <w:t xml:space="preserve">Exportación PDF: </w:t>
      </w:r>
      <w:r>
        <w:rPr>
          <w:rFonts w:ascii="Arial" w:cs="Arial" w:eastAsia="Arial" w:hAnsi="Arial"/>
          <w:color w:val="555555"/>
          <w:sz w:val="19"/>
          <w:szCs w:val="19"/>
        </w:rPr>
        <w:t xml:space="preserve">window.print() con estilos de impresión para el informe del turno activo.</w:t>
      </w:r>
    </w:p>
    <w:p>
      <w:pPr>
        <w:pBdr>
          <w:bottom w:val="single" w:color="E0DBD4" w:sz="2" w:space="1"/>
        </w:pBdr>
        <w:spacing w:before="220" w:after="220"/>
      </w:pPr>
      <w:r>
        <w:t xml:space="preserve"/>
      </w:r>
    </w:p>
    <w:p>
      <w:pPr>
        <w:spacing w:before="0" w:after="0"/>
      </w:pPr>
      <w:r>
        <w:rPr>
          <w:rFonts w:ascii="Arial" w:cs="Arial" w:eastAsia="Arial" w:hAnsi="Arial"/>
          <w:i/>
          <w:iCs/>
          <w:color w:val="999999"/>
          <w:sz w:val="17"/>
          <w:szCs w:val="17"/>
        </w:rPr>
        <w:t xml:space="preserve">Sonepar Tools · Iago Robo · Prácticas Sonepar A Coruña 2026 · kpi-logistico/</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2026-03-07T05:06:52.541Z</dcterms:created>
  <dcterms:modified xsi:type="dcterms:W3CDTF">2026-03-07T05:06:52.541Z</dcterms:modified>
</cp:coreProperties>
</file>

<file path=docProps/custom.xml><?xml version="1.0" encoding="utf-8"?>
<Properties xmlns="http://schemas.openxmlformats.org/officeDocument/2006/custom-properties" xmlns:vt="http://schemas.openxmlformats.org/officeDocument/2006/docPropsVTypes"/>
</file>