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3087"/>
          <w:sz w:val="36"/>
          <w:szCs w:val="36"/>
        </w:rPr>
        <w:t xml:space="preserve">SONEPAR TOOLS — SONEX</w:t>
      </w:r>
    </w:p>
    <w:p>
      <w:pPr>
        <w:pBdr>
          <w:bottom w:val="single" w:color="003087" w:sz="6" w:space="1"/>
        </w:pBdr>
        <w:spacing w:after="60"/>
      </w:pPr>
      <w:r>
        <w:rPr>
          <w:rFonts w:ascii="Arial" w:cs="Arial" w:eastAsia="Arial" w:hAnsi="Arial"/>
          <w:color w:val="4A90D9"/>
          <w:sz w:val="26"/>
          <w:szCs w:val="26"/>
        </w:rPr>
        <w:t xml:space="preserve">CHANGELOG · v7.0</w:t>
      </w:r>
    </w:p>
    <w:p>
      <w:pPr>
        <w:spacing w:before="120" w:after="320"/>
      </w:pPr>
      <w:r>
        <w:rPr>
          <w:rFonts w:ascii="Arial" w:cs="Arial" w:eastAsia="Arial" w:hAnsi="Arial"/>
          <w:color w:val="8A94A6"/>
          <w:sz w:val="20"/>
          <w:szCs w:val="20"/>
        </w:rPr>
        <w:t xml:space="preserve">Marzo 2026 · Iago Robo · chatbot-tecnico/sonepar-chatbot-tecnico-v7.jsx</w:t>
      </w:r>
    </w:p>
    <w:p>
      <w:pPr>
        <w:pStyle w:val="Heading1"/>
        <w:pBdr>
          <w:bottom w:val="single" w:color="4A90D9" w:sz="4" w:space="1"/>
        </w:pBdr>
        <w:spacing w:before="320" w:after="160"/>
      </w:pPr>
      <w:r>
        <w:rPr>
          <w:rFonts w:ascii="Arial" w:cs="Arial" w:eastAsia="Arial" w:hAnsi="Arial"/>
          <w:b/>
          <w:bCs/>
          <w:color w:val="003087"/>
          <w:sz w:val="28"/>
          <w:szCs w:val="28"/>
        </w:rPr>
        <w:t xml:space="preserve">Resumen de la versión</w:t>
      </w:r>
    </w:p>
    <w:p>
      <w:pPr>
        <w:spacing w:before="60" w:after="60"/>
      </w:pPr>
      <w:r>
        <w:rPr>
          <w:rFonts w:ascii="Arial" w:cs="Arial" w:eastAsia="Arial" w:hAnsi="Arial"/>
          <w:color w:val="1A1A2E"/>
          <w:sz w:val="22"/>
          <w:szCs w:val="22"/>
        </w:rPr>
        <w:t xml:space="preserve">SONEX v7 es la versión de madurez del chatbot técnico. Incorpora detección automática de modo de consulta mediante análisis semántico de la pregunta, streaming visual de respuestas con cursor animado, un verificador de referencias del catálogo que identifica y valida automáticamente los productos mencionados en las conversaciones, un configurador de contexto de turno que permite al técnico definir el tipo de instalación y parámetros clave antes de consultar, exportación a PDF con formato imprimible, y mejoras de diseño responsive para uso en tablet y móvil.</w:t>
      </w:r>
    </w:p>
    <w:p>
      <w:pPr>
        <w:spacing w:before="60" w:after="60"/>
      </w:pPr>
      <w:r>
        <w:rPr>
          <w:rFonts w:ascii="Arial" w:cs="Arial" w:eastAsia="Arial" w:hAnsi="Arial"/>
          <w:color w:val="1A1A2E"/>
          <w:sz w:val="22"/>
          <w:szCs w:val="22"/>
        </w:rPr>
        <w:t xml:space="preserve">La versión iguala el número con el resto del portfolio (v3→v7) y sirve como versión de presentación del proyecto de prácticas.</w:t>
      </w:r>
    </w:p>
    <w:p>
      <w:pPr>
        <w:spacing w:before="160" w:after="40"/>
      </w:pPr>
    </w:p>
    <w:p>
      <w:pPr>
        <w:pStyle w:val="Heading1"/>
        <w:pBdr>
          <w:bottom w:val="single" w:color="4A90D9" w:sz="4" w:space="1"/>
        </w:pBdr>
        <w:spacing w:before="320" w:after="160"/>
      </w:pPr>
      <w:r>
        <w:rPr>
          <w:rFonts w:ascii="Arial" w:cs="Arial" w:eastAsia="Arial" w:hAnsi="Arial"/>
          <w:b/>
          <w:bCs/>
          <w:color w:val="003087"/>
          <w:sz w:val="28"/>
          <w:szCs w:val="28"/>
        </w:rPr>
        <w:t xml:space="preserve">Cambios implementados</w:t>
      </w:r>
    </w:p>
    <w:p>
      <w:pPr>
        <w:pStyle w:val="Heading2"/>
        <w:spacing w:before="240" w:after="100"/>
      </w:pPr>
      <w:r>
        <w:rPr>
          <w:rFonts w:ascii="Arial" w:cs="Arial" w:eastAsia="Arial" w:hAnsi="Arial"/>
          <w:b/>
          <w:bCs/>
          <w:color w:val="1A4A8A"/>
          <w:sz w:val="24"/>
          <w:szCs w:val="24"/>
        </w:rPr>
        <w:t xml:space="preserve">Detección automática de modo</w:t>
      </w:r>
    </w:p>
    <w:p>
      <w:pPr>
        <w:pStyle w:val="ListParagraph"/>
        <w:numPr>
          <w:ilvl w:val="0"/>
          <w:numId w:val="2"/>
        </w:numPr>
        <w:spacing w:before="40" w:after="40"/>
      </w:pPr>
      <w:r>
        <w:rPr>
          <w:rFonts w:ascii="Arial" w:cs="Arial" w:eastAsia="Arial" w:hAnsi="Arial"/>
          <w:color w:val="1A1A2E"/>
          <w:sz w:val="22"/>
          <w:szCs w:val="22"/>
        </w:rPr>
        <w:t xml:space="preserve">Análisis semántico de la pregunta antes de enviar</w:t>
      </w:r>
    </w:p>
    <w:p>
      <w:pPr>
        <w:pStyle w:val="ListParagraph"/>
        <w:numPr>
          <w:ilvl w:val="0"/>
          <w:numId w:val="2"/>
        </w:numPr>
        <w:spacing w:before="40" w:after="40"/>
      </w:pPr>
      <w:r>
        <w:rPr>
          <w:rFonts w:ascii="Arial" w:cs="Arial" w:eastAsia="Arial" w:hAnsi="Arial"/>
          <w:color w:val="1A1A2E"/>
          <w:sz w:val="22"/>
          <w:szCs w:val="22"/>
        </w:rPr>
        <w:t xml:space="preserve">Detección de 5 modos: avería, selección, normativa, residencial, comparativa</w:t>
      </w:r>
    </w:p>
    <w:p>
      <w:pPr>
        <w:pStyle w:val="ListParagraph"/>
        <w:numPr>
          <w:ilvl w:val="0"/>
          <w:numId w:val="2"/>
        </w:numPr>
        <w:spacing w:before="40" w:after="40"/>
      </w:pPr>
      <w:r>
        <w:rPr>
          <w:rFonts w:ascii="Arial" w:cs="Arial" w:eastAsia="Arial" w:hAnsi="Arial"/>
          <w:color w:val="1A1A2E"/>
          <w:sz w:val="22"/>
          <w:szCs w:val="22"/>
        </w:rPr>
        <w:t xml:space="preserve">Keywords extendidos por modo (p.ej. 'no arranca', 'fallo', 'salta' → avería)</w:t>
      </w:r>
    </w:p>
    <w:p>
      <w:pPr>
        <w:pStyle w:val="ListParagraph"/>
        <w:numPr>
          <w:ilvl w:val="0"/>
          <w:numId w:val="2"/>
        </w:numPr>
        <w:spacing w:before="40" w:after="40"/>
      </w:pPr>
      <w:r>
        <w:rPr>
          <w:rFonts w:ascii="Arial" w:cs="Arial" w:eastAsia="Arial" w:hAnsi="Arial"/>
          <w:color w:val="1A1A2E"/>
          <w:sz w:val="22"/>
          <w:szCs w:val="22"/>
        </w:rPr>
        <w:t xml:space="preserve">Banner amarillo con propuesta de cambio de modo — el técnico acepta o ignora</w:t>
      </w:r>
    </w:p>
    <w:p>
      <w:pPr>
        <w:pStyle w:val="ListParagraph"/>
        <w:numPr>
          <w:ilvl w:val="0"/>
          <w:numId w:val="2"/>
        </w:numPr>
        <w:spacing w:before="40" w:after="40"/>
      </w:pPr>
      <w:r>
        <w:rPr>
          <w:rFonts w:ascii="Arial" w:cs="Arial" w:eastAsia="Arial" w:hAnsi="Arial"/>
          <w:color w:val="1A1A2E"/>
          <w:sz w:val="22"/>
          <w:szCs w:val="22"/>
        </w:rPr>
        <w:t xml:space="preserve">Indicador en el header: 'Auto: Avería' visible durante la detección</w:t>
      </w:r>
    </w:p>
    <w:p>
      <w:pPr>
        <w:pStyle w:val="ListParagraph"/>
        <w:numPr>
          <w:ilvl w:val="0"/>
          <w:numId w:val="2"/>
        </w:numPr>
        <w:spacing w:before="40" w:after="40"/>
      </w:pPr>
      <w:r>
        <w:rPr>
          <w:rFonts w:ascii="Arial" w:cs="Arial" w:eastAsia="Arial" w:hAnsi="Arial"/>
          <w:color w:val="1A1A2E"/>
          <w:sz w:val="22"/>
          <w:szCs w:val="22"/>
        </w:rPr>
        <w:t xml:space="preserve">El modo detectado se aplica al system prompt de esa consulta sin cambiar el modo permanente</w:t>
      </w:r>
    </w:p>
    <w:p>
      <w:pPr>
        <w:pStyle w:val="Heading2"/>
        <w:spacing w:before="240" w:after="100"/>
      </w:pPr>
      <w:r>
        <w:rPr>
          <w:rFonts w:ascii="Arial" w:cs="Arial" w:eastAsia="Arial" w:hAnsi="Arial"/>
          <w:b/>
          <w:bCs/>
          <w:color w:val="1A4A8A"/>
          <w:sz w:val="24"/>
          <w:szCs w:val="24"/>
        </w:rPr>
        <w:t xml:space="preserve">Streaming visual de respuestas</w:t>
      </w:r>
    </w:p>
    <w:p>
      <w:pPr>
        <w:pStyle w:val="ListParagraph"/>
        <w:numPr>
          <w:ilvl w:val="0"/>
          <w:numId w:val="2"/>
        </w:numPr>
        <w:spacing w:before="40" w:after="40"/>
      </w:pPr>
      <w:r>
        <w:rPr>
          <w:rFonts w:ascii="Arial" w:cs="Arial" w:eastAsia="Arial" w:hAnsi="Arial"/>
          <w:color w:val="1A1A2E"/>
          <w:sz w:val="22"/>
          <w:szCs w:val="22"/>
        </w:rPr>
        <w:t xml:space="preserve">Las respuestas se muestran carácter a carácter con velocidad variable (4-11 chars/tick cada 18ms)</w:t>
      </w:r>
    </w:p>
    <w:p>
      <w:pPr>
        <w:pStyle w:val="ListParagraph"/>
        <w:numPr>
          <w:ilvl w:val="0"/>
          <w:numId w:val="2"/>
        </w:numPr>
        <w:spacing w:before="40" w:after="40"/>
      </w:pPr>
      <w:r>
        <w:rPr>
          <w:rFonts w:ascii="Arial" w:cs="Arial" w:eastAsia="Arial" w:hAnsi="Arial"/>
          <w:color w:val="1A1A2E"/>
          <w:sz w:val="22"/>
          <w:szCs w:val="22"/>
        </w:rPr>
        <w:t xml:space="preserve">Cursor animado tipo terminal (▌ parpadeante) mientras la respuesta se está escribiendo</w:t>
      </w:r>
    </w:p>
    <w:p>
      <w:pPr>
        <w:pStyle w:val="ListParagraph"/>
        <w:numPr>
          <w:ilvl w:val="0"/>
          <w:numId w:val="2"/>
        </w:numPr>
        <w:spacing w:before="40" w:after="40"/>
      </w:pPr>
      <w:r>
        <w:rPr>
          <w:rFonts w:ascii="Arial" w:cs="Arial" w:eastAsia="Arial" w:hAnsi="Arial"/>
          <w:color w:val="1A1A2E"/>
          <w:sz w:val="22"/>
          <w:szCs w:val="22"/>
        </w:rPr>
        <w:t xml:space="preserve">Transición suave de los puntos de espera al texto en streaming</w:t>
      </w:r>
    </w:p>
    <w:p>
      <w:pPr>
        <w:pStyle w:val="ListParagraph"/>
        <w:numPr>
          <w:ilvl w:val="0"/>
          <w:numId w:val="2"/>
        </w:numPr>
        <w:spacing w:before="40" w:after="40"/>
      </w:pPr>
      <w:r>
        <w:rPr>
          <w:rFonts w:ascii="Arial" w:cs="Arial" w:eastAsia="Arial" w:hAnsi="Arial"/>
          <w:color w:val="1A1A2E"/>
          <w:sz w:val="22"/>
          <w:szCs w:val="22"/>
        </w:rPr>
        <w:t xml:space="preserve">Sin bloqueo del input durante el streaming — se puede leer la respuesta mientras se genera</w:t>
      </w:r>
    </w:p>
    <w:p>
      <w:pPr>
        <w:pStyle w:val="Heading2"/>
        <w:spacing w:before="240" w:after="100"/>
      </w:pPr>
      <w:r>
        <w:rPr>
          <w:rFonts w:ascii="Arial" w:cs="Arial" w:eastAsia="Arial" w:hAnsi="Arial"/>
          <w:b/>
          <w:bCs/>
          <w:color w:val="1A4A8A"/>
          <w:sz w:val="24"/>
          <w:szCs w:val="24"/>
        </w:rPr>
        <w:t xml:space="preserve">Verificador de referencias del catálogo</w:t>
      </w:r>
    </w:p>
    <w:p>
      <w:pPr>
        <w:pStyle w:val="ListParagraph"/>
        <w:numPr>
          <w:ilvl w:val="0"/>
          <w:numId w:val="2"/>
        </w:numPr>
        <w:spacing w:before="40" w:after="40"/>
      </w:pPr>
      <w:r>
        <w:rPr>
          <w:rFonts w:ascii="Arial" w:cs="Arial" w:eastAsia="Arial" w:hAnsi="Arial"/>
          <w:color w:val="1A1A2E"/>
          <w:sz w:val="22"/>
          <w:szCs w:val="22"/>
        </w:rPr>
        <w:t xml:space="preserve">Detecta referencias del catálogo en preguntas y respuestas</w:t>
      </w:r>
    </w:p>
    <w:p>
      <w:pPr>
        <w:pStyle w:val="ListParagraph"/>
        <w:numPr>
          <w:ilvl w:val="0"/>
          <w:numId w:val="2"/>
        </w:numPr>
        <w:spacing w:before="40" w:after="40"/>
      </w:pPr>
      <w:r>
        <w:rPr>
          <w:rFonts w:ascii="Arial" w:cs="Arial" w:eastAsia="Arial" w:hAnsi="Arial"/>
          <w:color w:val="1A1A2E"/>
          <w:sz w:val="22"/>
          <w:szCs w:val="22"/>
        </w:rPr>
        <w:t xml:space="preserve">Muestra tarjetas verdes 'RefCard' bajo las respuestas que contienen referencias verificadas</w:t>
      </w:r>
    </w:p>
    <w:p>
      <w:pPr>
        <w:pStyle w:val="ListParagraph"/>
        <w:numPr>
          <w:ilvl w:val="0"/>
          <w:numId w:val="2"/>
        </w:numPr>
        <w:spacing w:before="40" w:after="40"/>
      </w:pPr>
      <w:r>
        <w:rPr>
          <w:rFonts w:ascii="Arial" w:cs="Arial" w:eastAsia="Arial" w:hAnsi="Arial"/>
          <w:color w:val="1A1A2E"/>
          <w:sz w:val="22"/>
          <w:szCs w:val="22"/>
        </w:rPr>
        <w:t xml:space="preserve">Panel lateral 'Refs. del turno' acumula todas las referencias mencionadas en la sesión</w:t>
      </w:r>
    </w:p>
    <w:p>
      <w:pPr>
        <w:pStyle w:val="ListParagraph"/>
        <w:numPr>
          <w:ilvl w:val="0"/>
          <w:numId w:val="2"/>
        </w:numPr>
        <w:spacing w:before="40" w:after="40"/>
      </w:pPr>
      <w:r>
        <w:rPr>
          <w:rFonts w:ascii="Arial" w:cs="Arial" w:eastAsia="Arial" w:hAnsi="Arial"/>
          <w:color w:val="1A1A2E"/>
          <w:sz w:val="22"/>
          <w:szCs w:val="22"/>
        </w:rPr>
        <w:t xml:space="preserve">Cada ref muestra referencia, descripción corta y precio orientativo</w:t>
      </w:r>
    </w:p>
    <w:p>
      <w:pPr>
        <w:pStyle w:val="ListParagraph"/>
        <w:numPr>
          <w:ilvl w:val="0"/>
          <w:numId w:val="2"/>
        </w:numPr>
        <w:spacing w:before="40" w:after="40"/>
      </w:pPr>
      <w:r>
        <w:rPr>
          <w:rFonts w:ascii="Arial" w:cs="Arial" w:eastAsia="Arial" w:hAnsi="Arial"/>
          <w:color w:val="1A1A2E"/>
          <w:sz w:val="22"/>
          <w:szCs w:val="22"/>
        </w:rPr>
        <w:t xml:space="preserve">Botón 'Limpiar' para resetear las refs del turno</w:t>
      </w:r>
    </w:p>
    <w:p>
      <w:pPr>
        <w:pStyle w:val="Heading2"/>
        <w:spacing w:before="240" w:after="100"/>
      </w:pPr>
      <w:r>
        <w:rPr>
          <w:rFonts w:ascii="Arial" w:cs="Arial" w:eastAsia="Arial" w:hAnsi="Arial"/>
          <w:b/>
          <w:bCs/>
          <w:color w:val="1A4A8A"/>
          <w:sz w:val="24"/>
          <w:szCs w:val="24"/>
        </w:rPr>
        <w:t xml:space="preserve">Configurador de contexto de turno</w:t>
      </w:r>
    </w:p>
    <w:p>
      <w:pPr>
        <w:pStyle w:val="ListParagraph"/>
        <w:numPr>
          <w:ilvl w:val="0"/>
          <w:numId w:val="2"/>
        </w:numPr>
        <w:spacing w:before="40" w:after="40"/>
      </w:pPr>
      <w:r>
        <w:rPr>
          <w:rFonts w:ascii="Arial" w:cs="Arial" w:eastAsia="Arial" w:hAnsi="Arial"/>
          <w:color w:val="1A1A2E"/>
          <w:sz w:val="22"/>
          <w:szCs w:val="22"/>
        </w:rPr>
        <w:t xml:space="preserve">Panel colapsable en el sidebar: tipo de instalación, potencia, tensión y notas</w:t>
      </w:r>
    </w:p>
    <w:p>
      <w:pPr>
        <w:pStyle w:val="ListParagraph"/>
        <w:numPr>
          <w:ilvl w:val="0"/>
          <w:numId w:val="2"/>
        </w:numPr>
        <w:spacing w:before="40" w:after="40"/>
      </w:pPr>
      <w:r>
        <w:rPr>
          <w:rFonts w:ascii="Arial" w:cs="Arial" w:eastAsia="Arial" w:hAnsi="Arial"/>
          <w:color w:val="1A1A2E"/>
          <w:sz w:val="22"/>
          <w:szCs w:val="22"/>
        </w:rPr>
        <w:t xml:space="preserve">El contexto se inyecta en el system prompt de todas las consultas de la conversación</w:t>
      </w:r>
    </w:p>
    <w:p>
      <w:pPr>
        <w:pStyle w:val="ListParagraph"/>
        <w:numPr>
          <w:ilvl w:val="0"/>
          <w:numId w:val="2"/>
        </w:numPr>
        <w:spacing w:before="40" w:after="40"/>
      </w:pPr>
      <w:r>
        <w:rPr>
          <w:rFonts w:ascii="Arial" w:cs="Arial" w:eastAsia="Arial" w:hAnsi="Arial"/>
          <w:color w:val="1A1A2E"/>
          <w:sz w:val="22"/>
          <w:szCs w:val="22"/>
        </w:rPr>
        <w:t xml:space="preserve">Indicador verde 'Contexto activo: industrial · 15kW · 400V tri' visible en sidebar y en pantalla de bienvenida</w:t>
      </w:r>
    </w:p>
    <w:p>
      <w:pPr>
        <w:pStyle w:val="ListParagraph"/>
        <w:numPr>
          <w:ilvl w:val="0"/>
          <w:numId w:val="2"/>
        </w:numPr>
        <w:spacing w:before="40" w:after="40"/>
      </w:pPr>
      <w:r>
        <w:rPr>
          <w:rFonts w:ascii="Arial" w:cs="Arial" w:eastAsia="Arial" w:hAnsi="Arial"/>
          <w:color w:val="1A1A2E"/>
          <w:sz w:val="22"/>
          <w:szCs w:val="22"/>
        </w:rPr>
        <w:t xml:space="preserve">Permite al técnico pre-configurar una instalación y obtener respuestas coherentes a lo largo de toda la consulta</w:t>
      </w:r>
    </w:p>
    <w:p>
      <w:pPr>
        <w:pStyle w:val="Heading2"/>
        <w:spacing w:before="240" w:after="100"/>
      </w:pPr>
      <w:r>
        <w:rPr>
          <w:rFonts w:ascii="Arial" w:cs="Arial" w:eastAsia="Arial" w:hAnsi="Arial"/>
          <w:b/>
          <w:bCs/>
          <w:color w:val="1A4A8A"/>
          <w:sz w:val="24"/>
          <w:szCs w:val="24"/>
        </w:rPr>
        <w:t xml:space="preserve">Exportación a PDF</w:t>
      </w:r>
    </w:p>
    <w:p>
      <w:pPr>
        <w:pStyle w:val="ListParagraph"/>
        <w:numPr>
          <w:ilvl w:val="0"/>
          <w:numId w:val="2"/>
        </w:numPr>
        <w:spacing w:before="40" w:after="40"/>
      </w:pPr>
      <w:r>
        <w:rPr>
          <w:rFonts w:ascii="Arial" w:cs="Arial" w:eastAsia="Arial" w:hAnsi="Arial"/>
          <w:color w:val="1A1A2E"/>
          <w:sz w:val="22"/>
          <w:szCs w:val="22"/>
        </w:rPr>
        <w:t xml:space="preserve">Botón '↓ PDF' en el header genera un documento HTML imprimible optimizado</w:t>
      </w:r>
    </w:p>
    <w:p>
      <w:pPr>
        <w:pStyle w:val="ListParagraph"/>
        <w:numPr>
          <w:ilvl w:val="0"/>
          <w:numId w:val="2"/>
        </w:numPr>
        <w:spacing w:before="40" w:after="40"/>
      </w:pPr>
      <w:r>
        <w:rPr>
          <w:rFonts w:ascii="Arial" w:cs="Arial" w:eastAsia="Arial" w:hAnsi="Arial"/>
          <w:color w:val="1A1A2E"/>
          <w:sz w:val="22"/>
          <w:szCs w:val="22"/>
        </w:rPr>
        <w:t xml:space="preserve">Abre ventana nueva con layout de dos columnas: Técnico (azul) y SONEX (gris)</w:t>
      </w:r>
    </w:p>
    <w:p>
      <w:pPr>
        <w:pStyle w:val="ListParagraph"/>
        <w:numPr>
          <w:ilvl w:val="0"/>
          <w:numId w:val="2"/>
        </w:numPr>
        <w:spacing w:before="40" w:after="40"/>
      </w:pPr>
      <w:r>
        <w:rPr>
          <w:rFonts w:ascii="Arial" w:cs="Arial" w:eastAsia="Arial" w:hAnsi="Arial"/>
          <w:color w:val="1A1A2E"/>
          <w:sz w:val="22"/>
          <w:szCs w:val="22"/>
        </w:rPr>
        <w:t xml:space="preserve">Incluye cabecera Sonepar, modo, fecha y número de consultas</w:t>
      </w:r>
    </w:p>
    <w:p>
      <w:pPr>
        <w:pStyle w:val="ListParagraph"/>
        <w:numPr>
          <w:ilvl w:val="0"/>
          <w:numId w:val="2"/>
        </w:numPr>
        <w:spacing w:before="40" w:after="40"/>
      </w:pPr>
      <w:r>
        <w:rPr>
          <w:rFonts w:ascii="Arial" w:cs="Arial" w:eastAsia="Arial" w:hAnsi="Arial"/>
          <w:color w:val="1A1A2E"/>
          <w:sz w:val="22"/>
          <w:szCs w:val="22"/>
        </w:rPr>
        <w:t xml:space="preserve">Footer de aviso legal ('verificar con catálogo Sonepar y documentación del fabricante')</w:t>
      </w:r>
    </w:p>
    <w:p>
      <w:pPr>
        <w:pStyle w:val="ListParagraph"/>
        <w:numPr>
          <w:ilvl w:val="0"/>
          <w:numId w:val="2"/>
        </w:numPr>
        <w:spacing w:before="40" w:after="40"/>
      </w:pPr>
      <w:r>
        <w:rPr>
          <w:rFonts w:ascii="Arial" w:cs="Arial" w:eastAsia="Arial" w:hAnsi="Arial"/>
          <w:color w:val="1A1A2E"/>
          <w:sz w:val="22"/>
          <w:szCs w:val="22"/>
        </w:rPr>
        <w:t xml:space="preserve">Dispara automáticamente el diálogo de impresión del navegador</w:t>
      </w:r>
    </w:p>
    <w:p>
      <w:pPr>
        <w:pStyle w:val="ListParagraph"/>
        <w:numPr>
          <w:ilvl w:val="0"/>
          <w:numId w:val="2"/>
        </w:numPr>
        <w:spacing w:before="40" w:after="40"/>
      </w:pPr>
      <w:r>
        <w:rPr>
          <w:rFonts w:ascii="Arial" w:cs="Arial" w:eastAsia="Arial" w:hAnsi="Arial"/>
          <w:color w:val="1A1A2E"/>
          <w:sz w:val="22"/>
          <w:szCs w:val="22"/>
        </w:rPr>
        <w:t xml:space="preserve">El botón '↓ .txt' descarga la conversación en texto plano (heredado de v6)</w:t>
      </w:r>
    </w:p>
    <w:p>
      <w:pPr>
        <w:pStyle w:val="Heading2"/>
        <w:spacing w:before="240" w:after="100"/>
      </w:pPr>
      <w:r>
        <w:rPr>
          <w:rFonts w:ascii="Arial" w:cs="Arial" w:eastAsia="Arial" w:hAnsi="Arial"/>
          <w:b/>
          <w:bCs/>
          <w:color w:val="1A4A8A"/>
          <w:sz w:val="24"/>
          <w:szCs w:val="24"/>
        </w:rPr>
        <w:t xml:space="preserve">Mejoras de diseño responsive</w:t>
      </w:r>
    </w:p>
    <w:p>
      <w:pPr>
        <w:pStyle w:val="ListParagraph"/>
        <w:numPr>
          <w:ilvl w:val="0"/>
          <w:numId w:val="2"/>
        </w:numPr>
        <w:spacing w:before="40" w:after="40"/>
      </w:pPr>
      <w:r>
        <w:rPr>
          <w:rFonts w:ascii="Arial" w:cs="Arial" w:eastAsia="Arial" w:hAnsi="Arial"/>
          <w:color w:val="1A1A2E"/>
          <w:sz w:val="22"/>
          <w:szCs w:val="22"/>
        </w:rPr>
        <w:t xml:space="preserve">Media query @media (max-width: 768px): sidebar se oculta en móvil y tablet</w:t>
      </w:r>
    </w:p>
    <w:p>
      <w:pPr>
        <w:pStyle w:val="ListParagraph"/>
        <w:numPr>
          <w:ilvl w:val="0"/>
          <w:numId w:val="2"/>
        </w:numPr>
        <w:spacing w:before="40" w:after="40"/>
      </w:pPr>
      <w:r>
        <w:rPr>
          <w:rFonts w:ascii="Arial" w:cs="Arial" w:eastAsia="Arial" w:hAnsi="Arial"/>
          <w:color w:val="1A1A2E"/>
          <w:sz w:val="22"/>
          <w:szCs w:val="22"/>
        </w:rPr>
        <w:t xml:space="preserve">El sidebar tiene clase 'sidebar-panel open' que en móvil se posiciona como overlay fijo</w:t>
      </w:r>
    </w:p>
    <w:p>
      <w:pPr>
        <w:pStyle w:val="ListParagraph"/>
        <w:numPr>
          <w:ilvl w:val="0"/>
          <w:numId w:val="2"/>
        </w:numPr>
        <w:spacing w:before="40" w:after="40"/>
      </w:pPr>
      <w:r>
        <w:rPr>
          <w:rFonts w:ascii="Arial" w:cs="Arial" w:eastAsia="Arial" w:hAnsi="Arial"/>
          <w:color w:val="1A1A2E"/>
          <w:sz w:val="22"/>
          <w:szCs w:val="22"/>
        </w:rPr>
        <w:t xml:space="preserve">El área de chat ocupa el 100% del ancho en pantallas pequeñas</w:t>
      </w:r>
    </w:p>
    <w:p>
      <w:pPr>
        <w:pStyle w:val="ListParagraph"/>
        <w:numPr>
          <w:ilvl w:val="0"/>
          <w:numId w:val="2"/>
        </w:numPr>
        <w:spacing w:before="40" w:after="40"/>
      </w:pPr>
      <w:r>
        <w:rPr>
          <w:rFonts w:ascii="Arial" w:cs="Arial" w:eastAsia="Arial" w:hAnsi="Arial"/>
          <w:color w:val="1A1A2E"/>
          <w:sz w:val="22"/>
          <w:szCs w:val="22"/>
        </w:rPr>
        <w:t xml:space="preserve">Botones del header compactos en mobile: '↓ PDF', '↓ .txt', '⚡ Rápido'</w:t>
      </w:r>
    </w:p>
    <w:p>
      <w:pPr>
        <w:pStyle w:val="Heading2"/>
        <w:spacing w:before="240" w:after="100"/>
      </w:pPr>
      <w:r>
        <w:rPr>
          <w:rFonts w:ascii="Arial" w:cs="Arial" w:eastAsia="Arial" w:hAnsi="Arial"/>
          <w:b/>
          <w:bCs/>
          <w:color w:val="1A4A8A"/>
          <w:sz w:val="24"/>
          <w:szCs w:val="24"/>
        </w:rPr>
        <w:t xml:space="preserve">Otros cambios de v7</w:t>
      </w:r>
    </w:p>
    <w:p>
      <w:pPr>
        <w:pStyle w:val="ListParagraph"/>
        <w:numPr>
          <w:ilvl w:val="0"/>
          <w:numId w:val="2"/>
        </w:numPr>
        <w:spacing w:before="40" w:after="40"/>
      </w:pPr>
      <w:r>
        <w:rPr>
          <w:rFonts w:ascii="Arial" w:cs="Arial" w:eastAsia="Arial" w:hAnsi="Arial"/>
          <w:color w:val="1A1A2E"/>
          <w:sz w:val="22"/>
          <w:szCs w:val="22"/>
        </w:rPr>
        <w:t xml:space="preserve">Botón 'Escalar' movido al pie de cada mensaje bot (solo visible en el último mensaje)</w:t>
      </w:r>
    </w:p>
    <w:p>
      <w:pPr>
        <w:pStyle w:val="ListParagraph"/>
        <w:numPr>
          <w:ilvl w:val="0"/>
          <w:numId w:val="2"/>
        </w:numPr>
        <w:spacing w:before="40" w:after="40"/>
      </w:pPr>
      <w:r>
        <w:rPr>
          <w:rFonts w:ascii="Arial" w:cs="Arial" w:eastAsia="Arial" w:hAnsi="Arial"/>
          <w:color w:val="1A1A2E"/>
          <w:sz w:val="22"/>
          <w:szCs w:val="22"/>
        </w:rPr>
        <w:t xml:space="preserve">useCallback en función 'enviar' para evitar recreaciones en cada render</w:t>
      </w:r>
    </w:p>
    <w:p>
      <w:pPr>
        <w:pStyle w:val="ListParagraph"/>
        <w:numPr>
          <w:ilvl w:val="0"/>
          <w:numId w:val="2"/>
        </w:numPr>
        <w:spacing w:before="40" w:after="40"/>
      </w:pPr>
      <w:r>
        <w:rPr>
          <w:rFonts w:ascii="Arial" w:cs="Arial" w:eastAsia="Arial" w:hAnsi="Arial"/>
          <w:color w:val="1A1A2E"/>
          <w:sz w:val="22"/>
          <w:szCs w:val="22"/>
        </w:rPr>
        <w:t xml:space="preserve">Ref 'textareaRef' añadida para posible autoenfoque futuro</w:t>
      </w:r>
    </w:p>
    <w:p>
      <w:pPr>
        <w:pStyle w:val="ListParagraph"/>
        <w:numPr>
          <w:ilvl w:val="0"/>
          <w:numId w:val="2"/>
        </w:numPr>
        <w:spacing w:before="40" w:after="40"/>
      </w:pPr>
      <w:r>
        <w:rPr>
          <w:rFonts w:ascii="Arial" w:cs="Arial" w:eastAsia="Arial" w:hAnsi="Arial"/>
          <w:color w:val="1A1A2E"/>
          <w:sz w:val="22"/>
          <w:szCs w:val="22"/>
        </w:rPr>
        <w:t xml:space="preserve">Versión visible en header: 'SONEX v7'</w:t>
      </w:r>
    </w:p>
    <w:p>
      <w:pPr>
        <w:pStyle w:val="ListParagraph"/>
        <w:numPr>
          <w:ilvl w:val="0"/>
          <w:numId w:val="2"/>
        </w:numPr>
        <w:spacing w:before="40" w:after="40"/>
      </w:pPr>
      <w:r>
        <w:rPr>
          <w:rFonts w:ascii="Arial" w:cs="Arial" w:eastAsia="Arial" w:hAnsi="Arial"/>
          <w:color w:val="1A1A2E"/>
          <w:sz w:val="22"/>
          <w:szCs w:val="22"/>
        </w:rPr>
        <w:t xml:space="preserve">Pie de footer actualizado: 'SONEX v7 — prototipo de apoyo al mostrador'</w:t>
      </w:r>
    </w:p>
    <w:p>
      <w:pPr>
        <w:spacing w:before="160" w:after="40"/>
      </w:pPr>
    </w:p>
    <w:p>
      <w:pPr>
        <w:pStyle w:val="Heading1"/>
        <w:pBdr>
          <w:bottom w:val="single" w:color="4A90D9" w:sz="4" w:space="1"/>
        </w:pBdr>
        <w:spacing w:before="320" w:after="160"/>
      </w:pPr>
      <w:r>
        <w:rPr>
          <w:rFonts w:ascii="Arial" w:cs="Arial" w:eastAsia="Arial" w:hAnsi="Arial"/>
          <w:b/>
          <w:bCs/>
          <w:color w:val="003087"/>
          <w:sz w:val="28"/>
          <w:szCs w:val="28"/>
        </w:rPr>
        <w:t xml:space="preserve">Tabla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9E6" w:sz="1"/>
              <w:left w:val="single" w:color="D1D9E6" w:sz="1"/>
              <w:bottom w:val="single" w:color="D1D9E6" w:sz="1"/>
              <w:right w:val="single" w:color="D1D9E6"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1800"/>
            <w:tcBorders>
              <w:top w:val="single" w:color="D1D9E6" w:sz="1"/>
              <w:left w:val="single" w:color="D1D9E6" w:sz="1"/>
              <w:bottom w:val="single" w:color="D1D9E6" w:sz="1"/>
              <w:right w:val="single" w:color="D1D9E6"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5360"/>
            <w:tcBorders>
              <w:top w:val="single" w:color="D1D9E6" w:sz="1"/>
              <w:left w:val="single" w:color="D1D9E6" w:sz="1"/>
              <w:bottom w:val="single" w:color="D1D9E6" w:sz="1"/>
              <w:right w:val="single" w:color="D1D9E6" w:sz="1"/>
            </w:tcBorders>
            <w:shd w:fill="003087" w:val="clear"/>
            <w:tcMar>
              <w:top w:type="dxa" w:w="80"/>
              <w:left w:type="dxa" w:w="120"/>
              <w:bottom w:type="dxa" w:w="80"/>
              <w:right w:type="dxa" w:w="120"/>
            </w:tcMar>
          </w:tcPr>
          <w:p>
            <w:r>
              <w:rPr>
                <w:rFonts w:ascii="Arial" w:cs="Arial" w:eastAsia="Arial" w:hAnsi="Arial"/>
                <w:color w:val="FFFFFF"/>
                <w:sz w:val="20"/>
                <w:szCs w:val="20"/>
              </w:rPr>
              <w:t xml:space="preserve">DESCRIPCIÓN</w:t>
            </w:r>
          </w:p>
        </w:tc>
      </w:tr>
      <w:tr>
        <w:tc>
          <w:tcPr>
            <w:tcW w:type="dxa" w:w="2200"/>
            <w:tcBorders>
              <w:top w:val="single" w:color="D1D9E6" w:sz="1"/>
              <w:left w:val="single" w:color="D1D9E6" w:sz="1"/>
              <w:bottom w:val="single" w:color="D1D9E6" w:sz="1"/>
              <w:right w:val="single" w:color="D1D9E6" w:sz="1"/>
            </w:tcBorders>
            <w:shd w:fill="EBF1FA" w:val="clear"/>
            <w:tcMar>
              <w:top w:type="dxa" w:w="80"/>
              <w:left w:type="dxa" w:w="120"/>
              <w:bottom w:type="dxa" w:w="80"/>
              <w:right w:type="dxa" w:w="120"/>
            </w:tcMar>
          </w:tcPr>
          <w:p>
            <w:r>
              <w:rPr>
                <w:rFonts w:ascii="Arial" w:cs="Arial" w:eastAsia="Arial" w:hAnsi="Arial"/>
                <w:b w:val="false"/>
                <w:bCs w:val="false"/>
                <w:color w:val="003087"/>
                <w:sz w:val="20"/>
                <w:szCs w:val="20"/>
              </w:rPr>
              <w:t xml:space="preserve">Detección de modo</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Alta</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Análisis semántico — 5 modos, banner de confirmación</w:t>
            </w:r>
          </w:p>
        </w:tc>
      </w:tr>
      <w:tr>
        <w:tc>
          <w:tcPr>
            <w:tcW w:type="dxa" w:w="2200"/>
            <w:tcBorders>
              <w:top w:val="single" w:color="D1D9E6" w:sz="1"/>
              <w:left w:val="single" w:color="D1D9E6" w:sz="1"/>
              <w:bottom w:val="single" w:color="D1D9E6" w:sz="1"/>
              <w:right w:val="single" w:color="D1D9E6" w:sz="1"/>
            </w:tcBorders>
            <w:shd w:fill="EBF1FA" w:val="clear"/>
            <w:tcMar>
              <w:top w:type="dxa" w:w="80"/>
              <w:left w:type="dxa" w:w="120"/>
              <w:bottom w:type="dxa" w:w="80"/>
              <w:right w:type="dxa" w:w="120"/>
            </w:tcMar>
          </w:tcPr>
          <w:p>
            <w:r>
              <w:rPr>
                <w:rFonts w:ascii="Arial" w:cs="Arial" w:eastAsia="Arial" w:hAnsi="Arial"/>
                <w:b w:val="false"/>
                <w:bCs w:val="false"/>
                <w:color w:val="003087"/>
                <w:sz w:val="20"/>
                <w:szCs w:val="20"/>
              </w:rPr>
              <w:t xml:space="preserve">Streaming visual</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Alta</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Respuesta carácter a carácter, cursor animado</w:t>
            </w:r>
          </w:p>
        </w:tc>
      </w:tr>
      <w:tr>
        <w:tc>
          <w:tcPr>
            <w:tcW w:type="dxa" w:w="2200"/>
            <w:tcBorders>
              <w:top w:val="single" w:color="D1D9E6" w:sz="1"/>
              <w:left w:val="single" w:color="D1D9E6" w:sz="1"/>
              <w:bottom w:val="single" w:color="D1D9E6" w:sz="1"/>
              <w:right w:val="single" w:color="D1D9E6" w:sz="1"/>
            </w:tcBorders>
            <w:shd w:fill="EBF1FA" w:val="clear"/>
            <w:tcMar>
              <w:top w:type="dxa" w:w="80"/>
              <w:left w:type="dxa" w:w="120"/>
              <w:bottom w:type="dxa" w:w="80"/>
              <w:right w:type="dxa" w:w="120"/>
            </w:tcMar>
          </w:tcPr>
          <w:p>
            <w:r>
              <w:rPr>
                <w:rFonts w:ascii="Arial" w:cs="Arial" w:eastAsia="Arial" w:hAnsi="Arial"/>
                <w:b w:val="false"/>
                <w:bCs w:val="false"/>
                <w:color w:val="003087"/>
                <w:sz w:val="20"/>
                <w:szCs w:val="20"/>
              </w:rPr>
              <w:t xml:space="preserve">Verificador refs.</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Alta</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RefCard bajo mensajes, panel 'Refs. del turno' en sidebar</w:t>
            </w:r>
          </w:p>
        </w:tc>
      </w:tr>
      <w:tr>
        <w:tc>
          <w:tcPr>
            <w:tcW w:type="dxa" w:w="2200"/>
            <w:tcBorders>
              <w:top w:val="single" w:color="D1D9E6" w:sz="1"/>
              <w:left w:val="single" w:color="D1D9E6" w:sz="1"/>
              <w:bottom w:val="single" w:color="D1D9E6" w:sz="1"/>
              <w:right w:val="single" w:color="D1D9E6" w:sz="1"/>
            </w:tcBorders>
            <w:shd w:fill="EBF1FA" w:val="clear"/>
            <w:tcMar>
              <w:top w:type="dxa" w:w="80"/>
              <w:left w:type="dxa" w:w="120"/>
              <w:bottom w:type="dxa" w:w="80"/>
              <w:right w:type="dxa" w:w="120"/>
            </w:tcMar>
          </w:tcPr>
          <w:p>
            <w:r>
              <w:rPr>
                <w:rFonts w:ascii="Arial" w:cs="Arial" w:eastAsia="Arial" w:hAnsi="Arial"/>
                <w:b w:val="false"/>
                <w:bCs w:val="false"/>
                <w:color w:val="003087"/>
                <w:sz w:val="20"/>
                <w:szCs w:val="20"/>
              </w:rPr>
              <w:t xml:space="preserve">Contexto de turno</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Alta</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Configurador en sidebar, inyección en system prompt</w:t>
            </w:r>
          </w:p>
        </w:tc>
      </w:tr>
      <w:tr>
        <w:tc>
          <w:tcPr>
            <w:tcW w:type="dxa" w:w="2200"/>
            <w:tcBorders>
              <w:top w:val="single" w:color="D1D9E6" w:sz="1"/>
              <w:left w:val="single" w:color="D1D9E6" w:sz="1"/>
              <w:bottom w:val="single" w:color="D1D9E6" w:sz="1"/>
              <w:right w:val="single" w:color="D1D9E6" w:sz="1"/>
            </w:tcBorders>
            <w:shd w:fill="EBF1FA" w:val="clear"/>
            <w:tcMar>
              <w:top w:type="dxa" w:w="80"/>
              <w:left w:type="dxa" w:w="120"/>
              <w:bottom w:type="dxa" w:w="80"/>
              <w:right w:type="dxa" w:w="120"/>
            </w:tcMar>
          </w:tcPr>
          <w:p>
            <w:r>
              <w:rPr>
                <w:rFonts w:ascii="Arial" w:cs="Arial" w:eastAsia="Arial" w:hAnsi="Arial"/>
                <w:b w:val="false"/>
                <w:bCs w:val="false"/>
                <w:color w:val="003087"/>
                <w:sz w:val="20"/>
                <w:szCs w:val="20"/>
              </w:rPr>
              <w:t xml:space="preserve">Exportar PDF</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Media</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Ventana imprimible con formato corporativo</w:t>
            </w:r>
          </w:p>
        </w:tc>
      </w:tr>
      <w:tr>
        <w:tc>
          <w:tcPr>
            <w:tcW w:type="dxa" w:w="2200"/>
            <w:tcBorders>
              <w:top w:val="single" w:color="D1D9E6" w:sz="1"/>
              <w:left w:val="single" w:color="D1D9E6" w:sz="1"/>
              <w:bottom w:val="single" w:color="D1D9E6" w:sz="1"/>
              <w:right w:val="single" w:color="D1D9E6" w:sz="1"/>
            </w:tcBorders>
            <w:shd w:fill="EBF1FA" w:val="clear"/>
            <w:tcMar>
              <w:top w:type="dxa" w:w="80"/>
              <w:left w:type="dxa" w:w="120"/>
              <w:bottom w:type="dxa" w:w="80"/>
              <w:right w:type="dxa" w:w="120"/>
            </w:tcMar>
          </w:tcPr>
          <w:p>
            <w:r>
              <w:rPr>
                <w:rFonts w:ascii="Arial" w:cs="Arial" w:eastAsia="Arial" w:hAnsi="Arial"/>
                <w:b w:val="false"/>
                <w:bCs w:val="false"/>
                <w:color w:val="003087"/>
                <w:sz w:val="20"/>
                <w:szCs w:val="20"/>
              </w:rPr>
              <w:t xml:space="preserve">Responsive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Media</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Sidebar overlay en móvil, chat full-width</w:t>
            </w:r>
          </w:p>
        </w:tc>
      </w:tr>
      <w:tr>
        <w:tc>
          <w:tcPr>
            <w:tcW w:type="dxa" w:w="2200"/>
            <w:tcBorders>
              <w:top w:val="single" w:color="D1D9E6" w:sz="1"/>
              <w:left w:val="single" w:color="D1D9E6" w:sz="1"/>
              <w:bottom w:val="single" w:color="D1D9E6" w:sz="1"/>
              <w:right w:val="single" w:color="D1D9E6" w:sz="1"/>
            </w:tcBorders>
            <w:shd w:fill="EBF1FA" w:val="clear"/>
            <w:tcMar>
              <w:top w:type="dxa" w:w="80"/>
              <w:left w:type="dxa" w:w="120"/>
              <w:bottom w:type="dxa" w:w="80"/>
              <w:right w:type="dxa" w:w="120"/>
            </w:tcMar>
          </w:tcPr>
          <w:p>
            <w:r>
              <w:rPr>
                <w:rFonts w:ascii="Arial" w:cs="Arial" w:eastAsia="Arial" w:hAnsi="Arial"/>
                <w:b w:val="false"/>
                <w:bCs w:val="false"/>
                <w:color w:val="003087"/>
                <w:sz w:val="20"/>
                <w:szCs w:val="20"/>
              </w:rPr>
              <w:t xml:space="preserve">Escalar</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Baja</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Movido al pie del último mensaje bot</w:t>
            </w:r>
          </w:p>
        </w:tc>
      </w:tr>
      <w:tr>
        <w:tc>
          <w:tcPr>
            <w:tcW w:type="dxa" w:w="2200"/>
            <w:tcBorders>
              <w:top w:val="single" w:color="D1D9E6" w:sz="1"/>
              <w:left w:val="single" w:color="D1D9E6" w:sz="1"/>
              <w:bottom w:val="single" w:color="D1D9E6" w:sz="1"/>
              <w:right w:val="single" w:color="D1D9E6" w:sz="1"/>
            </w:tcBorders>
            <w:shd w:fill="EBF1FA" w:val="clear"/>
            <w:tcMar>
              <w:top w:type="dxa" w:w="80"/>
              <w:left w:type="dxa" w:w="120"/>
              <w:bottom w:type="dxa" w:w="80"/>
              <w:right w:type="dxa" w:w="120"/>
            </w:tcMar>
          </w:tcPr>
          <w:p>
            <w:r>
              <w:rPr>
                <w:rFonts w:ascii="Arial" w:cs="Arial" w:eastAsia="Arial" w:hAnsi="Arial"/>
                <w:b w:val="false"/>
                <w:bCs w:val="false"/>
                <w:color w:val="003087"/>
                <w:sz w:val="20"/>
                <w:szCs w:val="20"/>
              </w:rPr>
              <w:t xml:space="preserve">useCallback</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Baja</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Optimización de renders en función enviar</w:t>
            </w:r>
          </w:p>
        </w:tc>
      </w:tr>
    </w:tbl>
    <w:p>
      <w:pPr>
        <w:spacing w:before="160" w:after="40"/>
      </w:pPr>
    </w:p>
    <w:p>
      <w:pPr>
        <w:pStyle w:val="Heading1"/>
        <w:pBdr>
          <w:bottom w:val="single" w:color="4A90D9" w:sz="4" w:space="1"/>
        </w:pBdr>
        <w:spacing w:before="320" w:after="160"/>
      </w:pPr>
      <w:r>
        <w:rPr>
          <w:rFonts w:ascii="Arial" w:cs="Arial" w:eastAsia="Arial" w:hAnsi="Arial"/>
          <w:b/>
          <w:bCs/>
          <w:color w:val="003087"/>
          <w:sz w:val="28"/>
          <w:szCs w:val="28"/>
        </w:rPr>
        <w:t xml:space="preserve">Fuera de alcance v7</w:t>
      </w:r>
    </w:p>
    <w:p>
      <w:pPr>
        <w:pStyle w:val="ListParagraph"/>
        <w:numPr>
          <w:ilvl w:val="0"/>
          <w:numId w:val="2"/>
        </w:numPr>
        <w:spacing w:before="40" w:after="40"/>
      </w:pPr>
      <w:r>
        <w:rPr>
          <w:rFonts w:ascii="Arial" w:cs="Arial" w:eastAsia="Arial" w:hAnsi="Arial"/>
          <w:color w:val="1A1A2E"/>
          <w:sz w:val="22"/>
          <w:szCs w:val="22"/>
        </w:rPr>
        <w:t xml:space="preserve">Conexión directa con la herramienta Generador de Presupuestos (planificado v8)</w:t>
      </w:r>
    </w:p>
    <w:p>
      <w:pPr>
        <w:pStyle w:val="ListParagraph"/>
        <w:numPr>
          <w:ilvl w:val="0"/>
          <w:numId w:val="2"/>
        </w:numPr>
        <w:spacing w:before="40" w:after="40"/>
      </w:pPr>
      <w:r>
        <w:rPr>
          <w:rFonts w:ascii="Arial" w:cs="Arial" w:eastAsia="Arial" w:hAnsi="Arial"/>
          <w:color w:val="1A1A2E"/>
          <w:sz w:val="22"/>
          <w:szCs w:val="22"/>
        </w:rPr>
        <w:t xml:space="preserve">Integración con el catálogo live de Sonepar vía API (requiere acceso corporativo)</w:t>
      </w:r>
    </w:p>
    <w:p>
      <w:pPr>
        <w:pStyle w:val="ListParagraph"/>
        <w:numPr>
          <w:ilvl w:val="0"/>
          <w:numId w:val="2"/>
        </w:numPr>
        <w:spacing w:before="40" w:after="40"/>
      </w:pPr>
      <w:r>
        <w:rPr>
          <w:rFonts w:ascii="Arial" w:cs="Arial" w:eastAsia="Arial" w:hAnsi="Arial"/>
          <w:color w:val="1A1A2E"/>
          <w:sz w:val="22"/>
          <w:szCs w:val="22"/>
        </w:rPr>
        <w:t xml:space="preserve">Historial de sesiones cross-dispositivo — actualmente solo en localStorage del navegador</w:t>
      </w:r>
    </w:p>
    <w:p>
      <w:pPr>
        <w:pStyle w:val="ListParagraph"/>
        <w:numPr>
          <w:ilvl w:val="0"/>
          <w:numId w:val="2"/>
        </w:numPr>
        <w:spacing w:before="40" w:after="40"/>
      </w:pPr>
      <w:r>
        <w:rPr>
          <w:rFonts w:ascii="Arial" w:cs="Arial" w:eastAsia="Arial" w:hAnsi="Arial"/>
          <w:color w:val="1A1A2E"/>
          <w:sz w:val="22"/>
          <w:szCs w:val="22"/>
        </w:rPr>
        <w:t xml:space="preserve">Soporte offline completo / PWA</w:t>
      </w:r>
    </w:p>
    <w:p>
      <w:pPr>
        <w:spacing w:before="280" w:after="0"/>
      </w:pPr>
    </w:p>
    <w:p>
      <w:pPr>
        <w:pBdr>
          <w:top w:val="single" w:color="D1D9E6" w:sz="2" w:space="1"/>
        </w:pBdr>
        <w:spacing w:before="200"/>
        <w:jc w:val="center"/>
      </w:pPr>
      <w:r>
        <w:rPr>
          <w:rFonts w:ascii="Arial" w:cs="Arial" w:eastAsia="Arial" w:hAnsi="Arial"/>
          <w:i/>
          <w:iCs/>
          <w:color w:val="8A94A6"/>
          <w:sz w:val="18"/>
          <w:szCs w:val="18"/>
        </w:rPr>
        <w:t xml:space="preserve">SONEX · CHANGELOG v7.0 · Iago Robo · Sonepar A Coruña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 w:type="paragraph" w:styleId="Heading2">
    <w:name w:val="Heading 2"/>
    <w:basedOn w:val="Normal"/>
    <w:next w:val="Normal"/>
    <w:qFormat/>
    <w:pPr>
      <w:spacing w:before="24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2026-03-11T01:24:08.229Z</dcterms:created>
  <dcterms:modified xsi:type="dcterms:W3CDTF">2026-03-11T01:24:08.230Z</dcterms:modified>
</cp:coreProperties>
</file>

<file path=docProps/custom.xml><?xml version="1.0" encoding="utf-8"?>
<Properties xmlns="http://schemas.openxmlformats.org/officeDocument/2006/custom-properties" xmlns:vt="http://schemas.openxmlformats.org/officeDocument/2006/docPropsVTypes"/>
</file>