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36"/>
          <w:szCs w:val="36"/>
        </w:rPr>
        <w:t xml:space="preserve">CHANGELOG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i w:val="false"/>
          <w:iCs w:val="false"/>
          <w:color w:val="1A4A8A"/>
          <w:sz w:val="24"/>
          <w:szCs w:val="24"/>
        </w:rPr>
        <w:t xml:space="preserve">Simulador de Almacén — Versión 3.0</w:t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94A6"/>
          <w:sz w:val="19"/>
          <w:szCs w:val="19"/>
        </w:rPr>
        <w:t xml:space="preserve">Portfolio Técnico Sonepar España | Marzo 2026</w:t>
      </w:r>
    </w:p>
    <w:p>
      <w:pPr>
        <w:pBdr>
          <w:bottom w:val="single" w:color="D1D9E6" w:sz="2" w:space="1"/>
        </w:pBdr>
        <w:spacing w:before="220"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28"/>
          <w:szCs w:val="28"/>
        </w:rPr>
        <w:t xml:space="preserve">Resumen Ejecutivo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La versión 3.0 del Simulador de Almacén es una actualización exclusivamente visual. El motor de simulación completo de v2 — el banco de 15 incidencias reales de almacén, el modo de evaluación con puntuación, el análisis IA de decisiones y el registro de sesión — se conserva intacto sin ninguna modificación funcional.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Esta versión aplica el sistema de diseño corporativo Sonepar establecido en SONEX v6, homogeneizando la apariencia del simulador con el resto de herramientas v3 del portfolio: paleta navy #003087, logo SVG orbital, cards con border-radius 10px y semáforo corporativo.</w:t>
      </w:r>
    </w:p>
    <w:p>
      <w:pPr>
        <w:pBdr>
          <w:bottom w:val="single" w:color="D1D9E6" w:sz="2" w:space="1"/>
        </w:pBdr>
        <w:spacing w:before="220"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28"/>
          <w:szCs w:val="28"/>
        </w:rPr>
        <w:t xml:space="preserve">Cambios en v3.0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26"/>
      </w:tblGrid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5626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Cambio y detalle técnico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REDISEÑO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Header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Header corporativo con logo SVG orbital + gradiente azul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Sustituye el header oscuro de v2. Incorpora el logo de aros orbitales cruzados (azul oscuro/claro) y texto 'sonepar' bold sobre fondo #003087, con barra gradiente azul oscuro→claro (4px) como separador inferior.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REDISEÑO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Paleta de color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Migración completa al sistema de tokens corporativos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Objeto C con tokens: azulOscuro #003087, azulClaro #4A90D9, fondo #F5F6F8, borde #D1D9E6. Elimina la paleta de grises oscuros de v2 y el uso de azules ad-hoc por componente.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REDISEÑO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Panel de incidencia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Card de incidencia activa con identidad Sonepar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La tarjeta que muestra el escenario de almacén usa fondo blanco, borde izquierdo 4px #4A90D9 como acento, border-radius 10px y sombra sutil. Cabecera de categoría en #003087 bold. Elimina el fondo de color opaco de v2.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REDISEÑO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Opciones de decisión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Botones de opción rediseñados con hover corporativo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Las opciones A/B/C/D usan cards con borde #D1D9E6, hover con fondo #EBF1FA y borde #4A90D9. La opción seleccionada muestra fondo #EBF1FA y borde #003087 bold. Elimina los botones de radio con estilos de v2.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REDISEÑO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Feedback de respuesta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Panel de resultado con semáforo corporativo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Respuesta correcta: fondo #EDF7F2, borde #1B6B3A, icono check verde. Respuesta incorrecta: fondo #FDECEA, borde #C62828, icono X rojo. Respuesta parcial: fondo #FFF8EE, borde #C07010. Sustituye los colores de v2.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REDISEÑO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Panel de análisis IA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Área de análisis IA con estilo corporativo y badge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El análisis generado por IA se muestra en una card con cabecera azul #003087, icono de IA y badge 'SONEX IA'. Tipografía gris #4A5568 para el cuerpo. Borde izquierdo 3px #4A90D9 como acento. Spinner durante la carga.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REDISEÑO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Marcador y progreso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Dashboard de progreso con KPIs en cards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La barra superior de progreso muestra: incidencia actual / total, puntuación parcial, y porcentaje de acierto en cards con tipografía bold #003087. Sustituye los contadores en línea de v2.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REDISEÑO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Pantalla de resultados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Pantalla final con resumen de sesión estilo corporativo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La pantalla de fin de simulación muestra puntuación final, nivel de desempeño (ÓPTIMO/ACEPTABLE/CRÍTICO) con badge semáforo corporativo, análisis IA del conjunto de la sesión, y botón de nueva sesión en estilo primary.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REDISEÑO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Selector de modo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Pantalla de inicio con cards de selección de modo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La selección entre Modo Libre y Modo Evaluación usa cards con icono, título y descripción. Card activa con borde #003087 y fondo #EBF1FA. Elimina los radio buttons de v2.</w:t>
            </w:r>
          </w:p>
        </w:tc>
      </w:tr>
      <w:tr>
        <w:tc>
          <w:tcPr>
            <w:tcW w:type="dxa" w:w="1400"/>
            <w:tcBorders>
              <w:top w:val="single" w:color="1A4A8A" w:sz="5"/>
              <w:left w:val="single" w:color="1A4A8A" w:sz="5"/>
              <w:bottom w:val="single" w:color="1A4A8A" w:sz="5"/>
              <w:right w:val="single" w:color="1A4A8A" w:sz="5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MEJORA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Tipografía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Unificación a system-ui / Segoe UI en todo el componente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Elimina la mezcla de fuentes de v2. Todo el componente usa font-family: 'Segoe UI', system-ui, sans-serif, coherente con el resto de herramientas v3 del portfolio.</w:t>
            </w:r>
          </w:p>
        </w:tc>
      </w:tr>
      <w:tr>
        <w:tc>
          <w:tcPr>
            <w:tcW w:type="dxa" w:w="1400"/>
            <w:tcBorders>
              <w:top w:val="single" w:color="1A4A8A" w:sz="5"/>
              <w:left w:val="single" w:color="1A4A8A" w:sz="5"/>
              <w:bottom w:val="single" w:color="1A4A8A" w:sz="5"/>
              <w:right w:val="single" w:color="1A4A8A" w:sz="5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MEJORA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Animación fadeIn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Transición al cargar nueva incidencia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Animación @keyframes fadeIn (opacity 0→1, translateY 8px→0, 0.25s ease) al mostrar cada nueva incidencia. Mejora la percepción de fluidez en la navegación entre escenarios.</w:t>
            </w:r>
          </w:p>
        </w:tc>
      </w:tr>
      <w:tr>
        <w:tc>
          <w:tcPr>
            <w:tcW w:type="dxa" w:w="1400"/>
            <w:tcBorders>
              <w:top w:val="single" w:color="1A4A8A" w:sz="5"/>
              <w:left w:val="single" w:color="1A4A8A" w:sz="5"/>
              <w:bottom w:val="single" w:color="1A4A8A" w:sz="5"/>
              <w:right w:val="single" w:color="1A4A8A" w:sz="5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MEJORA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Badge de categoría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Etiqueta de categoría de incidencia con color por tipo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Cada incidencia muestra un badge con su categoría (Picking, Recepción, Expedición, Inventario, Seguridad). Color de badge según categoría para facilitar la orientación visual del operario.</w:t>
            </w:r>
          </w:p>
        </w:tc>
      </w:tr>
    </w:tbl>
    <w:p>
      <w:pPr>
        <w:pBdr>
          <w:bottom w:val="single" w:color="D1D9E6" w:sz="2" w:space="1"/>
        </w:pBdr>
        <w:spacing w:before="220"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28"/>
          <w:szCs w:val="28"/>
        </w:rPr>
        <w:t xml:space="preserve">Funcionalidad preservada al 100%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Las siguientes características funcionales de v2 se mantienen sin ninguna modificación en v3: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Banco de 15 incidencias: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Escenarios reales de almacén categorizados: picking, recepción, expedición, inventario y seguridad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Modo Libre: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Práctica sin puntuación, con acceso a la solución y análisis IA en cada incidencia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Modo Evaluación: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Sesión cronometrada con puntuación, sin mostrar soluciones hasta el final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Análisis IA por incidencia: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Llamada a Anthropic API para generar análisis de la decisión tomada y la óptima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Análisis IA de sesión: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Resumen final generado por IA con puntos fuertes, áreas de mejora y recomendaciones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Registro de sesión: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Historial de respuestas de la sesión actual con correctas/incorrectas/parciales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Puntuación ponderada: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Sistema de puntuación que distingue respuestas correctas, parciales e incorrectas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Navegación libre en Modo Libre: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Posibilidad de retroceder y revisar incidencias anteriores</w:t>
      </w:r>
    </w:p>
    <w:p>
      <w:pPr>
        <w:pBdr>
          <w:bottom w:val="single" w:color="D1D9E6" w:sz="2" w:space="1"/>
        </w:pBdr>
        <w:spacing w:before="220"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28"/>
          <w:szCs w:val="28"/>
        </w:rPr>
        <w:t xml:space="preserve">Comparativa visual v2 → v3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30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v2 (antes)</w:t>
            </w:r>
          </w:p>
        </w:tc>
        <w:tc>
          <w:tcPr>
            <w:tcW w:type="dxa" w:w="3826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v3 (ahora)</w:t>
            </w:r>
          </w:p>
        </w:tc>
      </w:tr>
      <w:tr>
        <w:tc>
          <w:tcPr>
            <w:tcW w:type="dxa" w:w="2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Color primario</w:t>
            </w:r>
          </w:p>
        </w:tc>
        <w:tc>
          <w:tcPr>
            <w:tcW w:type="dxa" w:w="3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Azul oscuro genérico, no corporativo</w:t>
            </w:r>
          </w:p>
        </w:tc>
        <w:tc>
          <w:tcPr>
            <w:tcW w:type="dxa" w:w="38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Navy #003087 (corporativo Sonepar)</w:t>
            </w:r>
          </w:p>
        </w:tc>
      </w:tr>
      <w:tr>
        <w:tc>
          <w:tcPr>
            <w:tcW w:type="dxa" w:w="2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Logo</w:t>
            </w:r>
          </w:p>
        </w:tc>
        <w:tc>
          <w:tcPr>
            <w:tcW w:type="dxa" w:w="3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Sin logo, solo título de texto</w:t>
            </w:r>
          </w:p>
        </w:tc>
        <w:tc>
          <w:tcPr>
            <w:tcW w:type="dxa" w:w="38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Logo SVG orbital + 'sonepar' en negrita</w:t>
            </w:r>
          </w:p>
        </w:tc>
      </w:tr>
      <w:tr>
        <w:tc>
          <w:tcPr>
            <w:tcW w:type="dxa" w:w="2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Header</w:t>
            </w:r>
          </w:p>
        </w:tc>
        <w:tc>
          <w:tcPr>
            <w:tcW w:type="dxa" w:w="3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Barra oscura sin gradiente</w:t>
            </w:r>
          </w:p>
        </w:tc>
        <w:tc>
          <w:tcPr>
            <w:tcW w:type="dxa" w:w="38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Header #003087 + barra gradiente azul 4px</w:t>
            </w:r>
          </w:p>
        </w:tc>
      </w:tr>
      <w:tr>
        <w:tc>
          <w:tcPr>
            <w:tcW w:type="dxa" w:w="2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Fondo de app</w:t>
            </w:r>
          </w:p>
        </w:tc>
        <w:tc>
          <w:tcPr>
            <w:tcW w:type="dxa" w:w="3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Gris claro sin referencia corporativa</w:t>
            </w:r>
          </w:p>
        </w:tc>
        <w:tc>
          <w:tcPr>
            <w:tcW w:type="dxa" w:w="38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#F5F6F8 (token corporativo)</w:t>
            </w:r>
          </w:p>
        </w:tc>
      </w:tr>
      <w:tr>
        <w:tc>
          <w:tcPr>
            <w:tcW w:type="dxa" w:w="2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Panel de incidencia</w:t>
            </w:r>
          </w:p>
        </w:tc>
        <w:tc>
          <w:tcPr>
            <w:tcW w:type="dxa" w:w="3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Fondo opaco de color</w:t>
            </w:r>
          </w:p>
        </w:tc>
        <w:tc>
          <w:tcPr>
            <w:tcW w:type="dxa" w:w="38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Card blanca con acento lateral #4A90D9</w:t>
            </w:r>
          </w:p>
        </w:tc>
      </w:tr>
      <w:tr>
        <w:tc>
          <w:tcPr>
            <w:tcW w:type="dxa" w:w="2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Opciones A/B/C/D</w:t>
            </w:r>
          </w:p>
        </w:tc>
        <w:tc>
          <w:tcPr>
            <w:tcW w:type="dxa" w:w="3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Radio buttons con estilo propio</w:t>
            </w:r>
          </w:p>
        </w:tc>
        <w:tc>
          <w:tcPr>
            <w:tcW w:type="dxa" w:w="38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Cards hover con azul suave #EBF1FA</w:t>
            </w:r>
          </w:p>
        </w:tc>
      </w:tr>
      <w:tr>
        <w:tc>
          <w:tcPr>
            <w:tcW w:type="dxa" w:w="2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Feedback correcto/incorrecto</w:t>
            </w:r>
          </w:p>
        </w:tc>
        <w:tc>
          <w:tcPr>
            <w:tcW w:type="dxa" w:w="3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Verde/rojo genéricos</w:t>
            </w:r>
          </w:p>
        </w:tc>
        <w:tc>
          <w:tcPr>
            <w:tcW w:type="dxa" w:w="38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Semáforo corporativo con fondos suaves</w:t>
            </w:r>
          </w:p>
        </w:tc>
      </w:tr>
      <w:tr>
        <w:tc>
          <w:tcPr>
            <w:tcW w:type="dxa" w:w="2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Análisis IA</w:t>
            </w:r>
          </w:p>
        </w:tc>
        <w:tc>
          <w:tcPr>
            <w:tcW w:type="dxa" w:w="3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Área de texto sin cabecera</w:t>
            </w:r>
          </w:p>
        </w:tc>
        <w:tc>
          <w:tcPr>
            <w:tcW w:type="dxa" w:w="38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Card con cabecera #003087 y badge 'SONEX IA'</w:t>
            </w:r>
          </w:p>
        </w:tc>
      </w:tr>
      <w:tr>
        <w:tc>
          <w:tcPr>
            <w:tcW w:type="dxa" w:w="2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Pantalla de resultados</w:t>
            </w:r>
          </w:p>
        </w:tc>
        <w:tc>
          <w:tcPr>
            <w:tcW w:type="dxa" w:w="3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Layout básico, colores ad-hoc</w:t>
            </w:r>
          </w:p>
        </w:tc>
        <w:tc>
          <w:tcPr>
            <w:tcW w:type="dxa" w:w="38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Cards con badge ÓPTIMO/ACEPTABLE/CRÍTICO corporativo</w:t>
            </w:r>
          </w:p>
        </w:tc>
      </w:tr>
      <w:tr>
        <w:tc>
          <w:tcPr>
            <w:tcW w:type="dxa" w:w="2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Tipografía</w:t>
            </w:r>
          </w:p>
        </w:tc>
        <w:tc>
          <w:tcPr>
            <w:tcW w:type="dxa" w:w="3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Mezcla de fuentes</w:t>
            </w:r>
          </w:p>
        </w:tc>
        <w:tc>
          <w:tcPr>
            <w:tcW w:type="dxa" w:w="38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system-ui / Segoe UI unificado</w:t>
            </w:r>
          </w:p>
        </w:tc>
      </w:tr>
      <w:tr>
        <w:tc>
          <w:tcPr>
            <w:tcW w:type="dxa" w:w="2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Animaciones</w:t>
            </w:r>
          </w:p>
        </w:tc>
        <w:tc>
          <w:tcPr>
            <w:tcW w:type="dxa" w:w="3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Sin transiciones</w:t>
            </w:r>
          </w:p>
        </w:tc>
        <w:tc>
          <w:tcPr>
            <w:tcW w:type="dxa" w:w="38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fadeIn 0.25s al cambiar incidencia</w:t>
            </w:r>
          </w:p>
        </w:tc>
      </w:tr>
    </w:tbl>
    <w:p>
      <w:pPr>
        <w:pBdr>
          <w:bottom w:val="single" w:color="D1D9E6" w:sz="2" w:space="1"/>
        </w:pBdr>
        <w:spacing w:before="220"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28"/>
          <w:szCs w:val="28"/>
        </w:rPr>
        <w:t xml:space="preserve">Historial de versiones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3826"/>
      </w:tblGrid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Versión</w:t>
            </w:r>
          </w:p>
        </w:tc>
        <w:tc>
          <w:tcPr>
            <w:tcW w:type="dxa" w:w="18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20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826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Resumen</w:t>
            </w:r>
          </w:p>
        </w:tc>
      </w:tr>
      <w:tr>
        <w:tc>
          <w:tcPr>
            <w:tcW w:type="dxa" w:w="1400"/>
            <w:tcBorders>
              <w:top w:val="single" w:color="8A94A6" w:sz="5"/>
              <w:left w:val="single" w:color="8A94A6" w:sz="5"/>
              <w:bottom w:val="single" w:color="8A94A6" w:sz="5"/>
              <w:right w:val="single" w:color="8A94A6" w:sz="5"/>
            </w:tcBorders>
            <w:shd w:fill="8A94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 Mar 2026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Prototipo</w:t>
            </w:r>
          </w:p>
        </w:tc>
        <w:tc>
          <w:tcPr>
            <w:tcW w:type="dxa" w:w="38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Prototipo inicial: flujo de almacén básico, escenarios hardcodeados, análisis IA simple por incidencia</w:t>
            </w:r>
          </w:p>
        </w:tc>
      </w:tr>
      <w:tr>
        <w:tc>
          <w:tcPr>
            <w:tcW w:type="dxa" w:w="1400"/>
            <w:tcBorders>
              <w:top w:val="single" w:color="1B6B3A" w:sz="5"/>
              <w:left w:val="single" w:color="1B6B3A" w:sz="5"/>
              <w:bottom w:val="single" w:color="1B6B3A" w:sz="5"/>
              <w:right w:val="single" w:color="1B6B3A" w:sz="5"/>
            </w:tcBorders>
            <w:shd w:fill="1B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 Mar 2026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Funcional</w:t>
            </w:r>
          </w:p>
        </w:tc>
        <w:tc>
          <w:tcPr>
            <w:tcW w:type="dxa" w:w="38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Banco de 15 incidencias reales, modo libre y evaluación, puntuación ponderada, análisis IA de sesión completo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v3.0</w:t>
            </w:r>
          </w:p>
        </w:tc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11 Mar 2026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Rediseño Visual</w:t>
            </w:r>
          </w:p>
        </w:tc>
        <w:tc>
          <w:tcPr>
            <w:tcW w:type="dxa" w:w="38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Identidad corporativa Sonepar completa: logo orbital, paleta #003087, cards, semáforo y análisis IA con estilo corporativo</w:t>
            </w:r>
          </w:p>
        </w:tc>
      </w:tr>
    </w:tbl>
    <w:p>
      <w:pPr>
        <w:pBdr>
          <w:bottom w:val="single" w:color="D1D9E6" w:sz="2" w:space="1"/>
        </w:pBdr>
        <w:spacing w:before="220"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28"/>
          <w:szCs w:val="28"/>
        </w:rPr>
        <w:t xml:space="preserve">Notas técnicas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Modelo de IA utilizado internamente: claude-sonnet-4-20250514 via Anthropic API (llamada directa desde frontend, sin backend).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El componente no requiere dependencias adicionales respecto a v2. Usa exclusivamente React hooks (useState, useCallback) y estilos CSS-in-JS inline.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El sistema de tokens CSS (objeto C) es idéntico al de SONEX v6, KPI Logístico v3 y Generador Presupuestos v3, garantizando coherencia visual en todo el portfolio.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2026-03-11T08:53:32.087Z</dcterms:created>
  <dcterms:modified xsi:type="dcterms:W3CDTF">2026-03-11T08:53:32.088Z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