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94A6"/>
          <w:sz w:val="20"/>
          <w:szCs w:val="20"/>
        </w:rPr>
        <w:t xml:space="preserve">SONEPAR TOOLS — SONEX · PLAN DE VERSIÓN</w:t>
      </w:r>
    </w:p>
    <w:p>
      <w:pPr>
        <w:pBdr>
          <w:bottom w:val="single" w:color="4A90D9" w:sz="12" w:space="6"/>
        </w:pBdr>
        <w:spacing w:before="0" w:after="1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6"/>
          <w:szCs w:val="36"/>
        </w:rPr>
        <w:t xml:space="preserve">SONEX v6.0 — Identidad Sonepar y Catálogo Ampliado</w:t>
      </w:r>
    </w:p>
    <w:p>
      <w:pPr>
        <w:spacing w:before="8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94A6"/>
          <w:sz w:val="18"/>
          <w:szCs w:val="18"/>
        </w:rPr>
        <w:t xml:space="preserve">Marzo 2026  ·  Iago Robo  ·  chatbot-tecnico/sonepar-chatbot-tecnico-v6.jsx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Objetivo de la versión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La v6 tiene dos objetivos paralelos: (1) transformar la interfaz de SONEX para que sea reconocible como herramienta Sonepar, usando la identidad visual corporativa real investigada en las webs públicas del grupo; y (2) expandir la base de conocimiento de 45 a ~80 productos reales en 10 familias, añadiendo las categorías HVAC/Climatización y TradeForce que faltaban, y completando los rangos de cableado, VE, protección y energías renovables.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A diferencia de versiones anteriores donde el diseño era funcional pero genérico (oscuro, tipo terminal), v6 busca que cualquier técnico de Sonepar reconozca la herramienta como propia desde el primer vistazo.</w:t>
      </w:r>
    </w:p>
    <w:p>
      <w:pPr>
        <w:pBdr>
          <w:bottom w:val="single" w:color="D1D9E6" w:sz="2" w:space="1"/>
        </w:pBdr>
        <w:spacing w:before="220"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Alcance — Ítems planificados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1200"/>
        <w:gridCol w:w="2226"/>
      </w:tblGrid>
      <w:tr>
        <w:tc>
          <w:tcPr>
            <w:tcW w:type="dxa" w:w="18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Área</w:t>
            </w:r>
          </w:p>
        </w:tc>
        <w:tc>
          <w:tcPr>
            <w:tcW w:type="dxa" w:w="38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Ítem</w:t>
            </w:r>
          </w:p>
        </w:tc>
        <w:tc>
          <w:tcPr>
            <w:tcW w:type="dxa" w:w="12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Prioridad</w:t>
            </w:r>
          </w:p>
        </w:tc>
        <w:tc>
          <w:tcPr>
            <w:tcW w:type="dxa" w:w="2226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1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Interfaz</w:t>
            </w:r>
          </w:p>
        </w:tc>
        <w:tc>
          <w:tcPr>
            <w:tcW w:type="dxa" w:w="3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Rediseño completo con paleta de marca Sonepar (#003087, #4A90D9, blanco)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22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Identidad visual coherente con sonepar.es</w:t>
            </w:r>
          </w:p>
        </w:tc>
      </w:tr>
      <w:tr>
        <w:tc>
          <w:tcPr>
            <w:tcW w:type="dxa" w:w="1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Interfaz</w:t>
            </w:r>
          </w:p>
        </w:tc>
        <w:tc>
          <w:tcPr>
            <w:tcW w:type="dxa" w:w="3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Logo SVG reconstruido con aros orbitales y tipografía corporativa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22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Reconocible para cualquier empleado de Sonepar</w:t>
            </w:r>
          </w:p>
        </w:tc>
      </w:tr>
      <w:tr>
        <w:tc>
          <w:tcPr>
            <w:tcW w:type="dxa" w:w="1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Interfaz</w:t>
            </w:r>
          </w:p>
        </w:tc>
        <w:tc>
          <w:tcPr>
            <w:tcW w:type="dxa" w:w="3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Tipografía system-ui / Segoe UI — máxima legibilidad sin fuentes externas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22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WCAG AA: texto #1A1A2E sobre fondos claros</w:t>
            </w:r>
          </w:p>
        </w:tc>
      </w:tr>
      <w:tr>
        <w:tc>
          <w:tcPr>
            <w:tcW w:type="dxa" w:w="1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Interfaz</w:t>
            </w:r>
          </w:p>
        </w:tc>
        <w:tc>
          <w:tcPr>
            <w:tcW w:type="dxa" w:w="3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Burbujas de chat diferenciadas: usuario azul suave / bot blanco con sombra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22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Distinción visual clara entre turnos de conversación</w:t>
            </w:r>
          </w:p>
        </w:tc>
      </w:tr>
      <w:tr>
        <w:tc>
          <w:tcPr>
            <w:tcW w:type="dxa" w:w="1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Interfaz</w:t>
            </w:r>
          </w:p>
        </w:tc>
        <w:tc>
          <w:tcPr>
            <w:tcW w:type="dxa" w:w="3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Sidebar de fondo blanco con bordes sutiles — alineado al estilo web Sonepar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7010"/>
                <w:sz w:val="17"/>
                <w:szCs w:val="17"/>
              </w:rPr>
              <w:t xml:space="preserve">Media</w:t>
            </w:r>
          </w:p>
        </w:tc>
        <w:tc>
          <w:tcPr>
            <w:tcW w:type="dxa" w:w="22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Sustitución del sidebar oscuro de v5</w:t>
            </w:r>
          </w:p>
        </w:tc>
      </w:tr>
      <w:tr>
        <w:tc>
          <w:tcPr>
            <w:tcW w:type="dxa" w:w="1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Interfaz</w:t>
            </w:r>
          </w:p>
        </w:tc>
        <w:tc>
          <w:tcPr>
            <w:tcW w:type="dxa" w:w="3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Animación fadeIn en mensajes y toast con color corporativo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7010"/>
                <w:sz w:val="17"/>
                <w:szCs w:val="17"/>
              </w:rPr>
              <w:t xml:space="preserve">Media</w:t>
            </w:r>
          </w:p>
        </w:tc>
        <w:tc>
          <w:tcPr>
            <w:tcW w:type="dxa" w:w="22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Microinteracciones que aportan sensación de calidad</w:t>
            </w:r>
          </w:p>
        </w:tc>
      </w:tr>
      <w:tr>
        <w:tc>
          <w:tcPr>
            <w:tcW w:type="dxa" w:w="1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Interfaz</w:t>
            </w:r>
          </w:p>
        </w:tc>
        <w:tc>
          <w:tcPr>
            <w:tcW w:type="dxa" w:w="3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Scrollbar personalizada azul Sonepar al hover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B3A"/>
                <w:sz w:val="17"/>
                <w:szCs w:val="17"/>
              </w:rPr>
              <w:t xml:space="preserve">Baja</w:t>
            </w:r>
          </w:p>
        </w:tc>
        <w:tc>
          <w:tcPr>
            <w:tcW w:type="dxa" w:w="22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Detalle visual de acabado</w:t>
            </w:r>
          </w:p>
        </w:tc>
      </w:tr>
      <w:tr>
        <w:tc>
          <w:tcPr>
            <w:tcW w:type="dxa" w:w="1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Interfaz</w:t>
            </w:r>
          </w:p>
        </w:tc>
        <w:tc>
          <w:tcPr>
            <w:tcW w:type="dxa" w:w="3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Línea degradado azul oscuro→claro como acento bajo el header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7010"/>
                <w:sz w:val="17"/>
                <w:szCs w:val="17"/>
              </w:rPr>
              <w:t xml:space="preserve">Media</w:t>
            </w:r>
          </w:p>
        </w:tc>
        <w:tc>
          <w:tcPr>
            <w:tcW w:type="dxa" w:w="22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Elemento de marca recurrente en webs Sonepar</w:t>
            </w:r>
          </w:p>
        </w:tc>
      </w:tr>
      <w:tr>
        <w:tc>
          <w:tcPr>
            <w:tcW w:type="dxa" w:w="1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Catálogo</w:t>
            </w:r>
          </w:p>
        </w:tc>
        <w:tc>
          <w:tcPr>
            <w:tcW w:type="dxa" w:w="3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Investigación de catálogos públicos Sonepar: 9 familias identificadas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22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Fuentes: sonepar.es, soluciones.sonepar.es, aflip.in</w:t>
            </w:r>
          </w:p>
        </w:tc>
      </w:tr>
      <w:tr>
        <w:tc>
          <w:tcPr>
            <w:tcW w:type="dxa" w:w="1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Catálogo</w:t>
            </w:r>
          </w:p>
        </w:tc>
        <w:tc>
          <w:tcPr>
            <w:tcW w:type="dxa" w:w="3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Ampliación de 45 a ~80 productos reales con specs y precios orientativos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22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Referenciado en catálogos públicos Sonepar España 2024</w:t>
            </w:r>
          </w:p>
        </w:tc>
      </w:tr>
      <w:tr>
        <w:tc>
          <w:tcPr>
            <w:tcW w:type="dxa" w:w="1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Catálogo</w:t>
            </w:r>
          </w:p>
        </w:tc>
        <w:tc>
          <w:tcPr>
            <w:tcW w:type="dxa" w:w="3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Nueva familia: HVAC y Climatización (ABB ACS355 para bombas/ventiladores)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22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Familia con alta demanda en el catálogo Sonepar</w:t>
            </w:r>
          </w:p>
        </w:tc>
      </w:tr>
      <w:tr>
        <w:tc>
          <w:tcPr>
            <w:tcW w:type="dxa" w:w="1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Catálogo</w:t>
            </w:r>
          </w:p>
        </w:tc>
        <w:tc>
          <w:tcPr>
            <w:tcW w:type="dxa" w:w="3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Nueva familia: Seguridad y Herramientas TradeForce (marca exclusiva Sonepar)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22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TradeForce: multímetros, pinzas, testers TradeForce</w:t>
            </w:r>
          </w:p>
        </w:tc>
      </w:tr>
      <w:tr>
        <w:tc>
          <w:tcPr>
            <w:tcW w:type="dxa" w:w="1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Catálogo</w:t>
            </w:r>
          </w:p>
        </w:tc>
        <w:tc>
          <w:tcPr>
            <w:tcW w:type="dxa" w:w="3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Cableado ampliado: se añaden mangueras H05VV-F y secciones RVK 1.5 y 70mm²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7010"/>
                <w:sz w:val="17"/>
                <w:szCs w:val="17"/>
              </w:rPr>
              <w:t xml:space="preserve">Media</w:t>
            </w:r>
          </w:p>
        </w:tc>
        <w:tc>
          <w:tcPr>
            <w:tcW w:type="dxa" w:w="22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Cubre todo el rango de secciones de obra habitual</w:t>
            </w:r>
          </w:p>
        </w:tc>
      </w:tr>
      <w:tr>
        <w:tc>
          <w:tcPr>
            <w:tcW w:type="dxa" w:w="1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Catálogo</w:t>
            </w:r>
          </w:p>
        </w:tc>
        <w:tc>
          <w:tcPr>
            <w:tcW w:type="dxa" w:w="3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VE ampliado: Wallbox Commander 2 con pantalla + ABB Terra + EVlink Business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7010"/>
                <w:sz w:val="17"/>
                <w:szCs w:val="17"/>
              </w:rPr>
              <w:t xml:space="preserve">Media</w:t>
            </w:r>
          </w:p>
        </w:tc>
        <w:tc>
          <w:tcPr>
            <w:tcW w:type="dxa" w:w="22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Cubre instalaciones de parking comunitario</w:t>
            </w:r>
          </w:p>
        </w:tc>
      </w:tr>
      <w:tr>
        <w:tc>
          <w:tcPr>
            <w:tcW w:type="dxa" w:w="1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Catálogo</w:t>
            </w:r>
          </w:p>
        </w:tc>
        <w:tc>
          <w:tcPr>
            <w:tcW w:type="dxa" w:w="3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Energías renovables: se añaden Pylontech US3000 y Victron SmartSolar MPPT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7010"/>
                <w:sz w:val="17"/>
                <w:szCs w:val="17"/>
              </w:rPr>
              <w:t xml:space="preserve">Media</w:t>
            </w:r>
          </w:p>
        </w:tc>
        <w:tc>
          <w:tcPr>
            <w:tcW w:type="dxa" w:w="22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Baterías y reguladores para instalaciones híbridas</w:t>
            </w:r>
          </w:p>
        </w:tc>
      </w:tr>
      <w:tr>
        <w:tc>
          <w:tcPr>
            <w:tcW w:type="dxa" w:w="1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Catálogo</w:t>
            </w:r>
          </w:p>
        </w:tc>
        <w:tc>
          <w:tcPr>
            <w:tcW w:type="dxa" w:w="3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Protección Eléctrica: ABB S200M y rango 63A iC60N completados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7010"/>
                <w:sz w:val="17"/>
                <w:szCs w:val="17"/>
              </w:rPr>
              <w:t xml:space="preserve">Media</w:t>
            </w:r>
          </w:p>
        </w:tc>
        <w:tc>
          <w:tcPr>
            <w:tcW w:type="dxa" w:w="22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Cubre cuadros de hasta 63A en BT</w:t>
            </w:r>
          </w:p>
        </w:tc>
      </w:tr>
      <w:tr>
        <w:tc>
          <w:tcPr>
            <w:tcW w:type="dxa" w:w="1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Catálogo</w:t>
            </w:r>
          </w:p>
        </w:tc>
        <w:tc>
          <w:tcPr>
            <w:tcW w:type="dxa" w:w="3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Protección y Maniobra: AF65 y MS132 + LC1D40A y LC1D65A añadidos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7010"/>
                <w:sz w:val="17"/>
                <w:szCs w:val="17"/>
              </w:rPr>
              <w:t xml:space="preserve">Media</w:t>
            </w:r>
          </w:p>
        </w:tc>
        <w:tc>
          <w:tcPr>
            <w:tcW w:type="dxa" w:w="22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Cubre motores hasta 30kW en arranque directo</w:t>
            </w:r>
          </w:p>
        </w:tc>
      </w:tr>
      <w:tr>
        <w:tc>
          <w:tcPr>
            <w:tcW w:type="dxa" w:w="1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Catálogo</w:t>
            </w:r>
          </w:p>
        </w:tc>
        <w:tc>
          <w:tcPr>
            <w:tcW w:type="dxa" w:w="3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KEYWORDS de detección ampliadas para las 10 familias (de 9 a 10)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22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Mejora la inyección de contexto por familia</w:t>
            </w:r>
          </w:p>
        </w:tc>
      </w:tr>
      <w:tr>
        <w:tc>
          <w:tcPr>
            <w:tcW w:type="dxa" w:w="1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System Prompt</w:t>
            </w:r>
          </w:p>
        </w:tc>
        <w:tc>
          <w:tcPr>
            <w:tcW w:type="dxa" w:w="3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Actualización de marcas por familia: incluye HVAC, TradeForce, Pylontech, Victron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22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El modelo conoce el catálogo completo actualizado</w:t>
            </w:r>
          </w:p>
        </w:tc>
      </w:tr>
      <w:tr>
        <w:tc>
          <w:tcPr>
            <w:tcW w:type="dxa" w:w="1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System Prompt</w:t>
            </w:r>
          </w:p>
        </w:tc>
        <w:tc>
          <w:tcPr>
            <w:tcW w:type="dxa" w:w="3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Añadida instrucción de contexto: max 12 productos por familia inyectados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7010"/>
                <w:sz w:val="17"/>
                <w:szCs w:val="17"/>
              </w:rPr>
              <w:t xml:space="preserve">Media</w:t>
            </w:r>
          </w:p>
        </w:tc>
        <w:tc>
          <w:tcPr>
            <w:tcW w:type="dxa" w:w="22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Sube de 10 a 12 para familias con más referencias</w:t>
            </w:r>
          </w:p>
        </w:tc>
      </w:tr>
    </w:tbl>
    <w:p>
      <w:pPr>
        <w:pBdr>
          <w:bottom w:val="single" w:color="D1D9E6" w:sz="2" w:space="1"/>
        </w:pBdr>
        <w:spacing w:before="220"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Investigación de marca realizada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Web corporativa: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sonepar.es — colores, tipografía, estructura de navegación y estilo fotográfico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Catálogos interactivos: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soluciones.sonepar.es / sonepar.aflip.in — 9 catálogos: Cable, Iluminación, Fotovoltaica, Distribución Potencia, HVAC, Automatización, VE, TradeForce y LIT by Cardi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Paleta extraída: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Azul marino #003087 (corporativo principal), azul claro #4A90D9 (acento), blanco #FFFFFF (fondos), gris texto #4A5568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Logo: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Reconstruido en SVG: texto 'sonepar' en Helvetica Neue Bold + dos elipses orbitales (aro azul claro + aro azul marino) en perspectiva girada ±20°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Tipografía: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Helvetica Neue Bold / Arial para títulos; sistema operativo (system-ui / Segoe UI) para cuerpo — sin cargar fuentes externas</w:t>
      </w:r>
    </w:p>
    <w:p>
      <w:pPr>
        <w:pBdr>
          <w:bottom w:val="single" w:color="D1D9E6" w:sz="2" w:space="1"/>
        </w:pBdr>
        <w:spacing w:before="220"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Fuera de alcance v6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API key en Vercel: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Sin configuración de variables de entorno — funciona solo en claude.ai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Responsive tablet/móvil: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El sidebar en pantallas pequeñas queda para v7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Catálogo HVAC Hager: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Referencias de cuadros modulares Hager Gamma para BT quedan pendientes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Modo impresión: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Exportación a PDF de fichas de producto individual — no implementado en v6</w:t>
      </w:r>
    </w:p>
    <w:p>
      <w:pPr>
        <w:pBdr>
          <w:bottom w:val="single" w:color="D1D9E6" w:sz="2" w:space="1"/>
        </w:pBdr>
        <w:spacing w:before="220"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/>
          <w:iCs/>
          <w:color w:val="8A94A6"/>
          <w:sz w:val="16"/>
          <w:szCs w:val="16"/>
        </w:rPr>
        <w:t xml:space="preserve">SONEX · PLAN v6.0 · Iago Robo · Sonepar A Coruña 2026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2026-03-08T12:11:11.535Z</dcterms:created>
  <dcterms:modified xsi:type="dcterms:W3CDTF">2026-03-08T12:11:11.536Z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