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i w:val="false"/>
          <w:iCs w:val="false"/>
          <w:color w:val="8A94A6"/>
          <w:sz w:val="17"/>
          <w:szCs w:val="17"/>
        </w:rPr>
        <w:t xml:space="preserve">SONEPAR TOOLS — KPI LOGÍSTICO · CHANGELOG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8"/>
          <w:szCs w:val="28"/>
        </w:rPr>
        <w:t xml:space="preserve">KPI Logístico v3.0 — Changelog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94A6"/>
          <w:sz w:val="17"/>
          <w:szCs w:val="17"/>
        </w:rPr>
        <w:t xml:space="preserve">Marzo 2026  ·  Iago Robo  ·  kpi-logistico/sonepar-kpi-logistico-v3.jsx</w:t>
      </w:r>
    </w:p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Resumen ejecutivo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 v3 aplica el rediseño visual corporativo de Sonepar a la Calculadora de KPIs Logísticos. Sin tocar ninguna funcionalidad, se reemplaza la identidad genérica oscura de v2 por la paleta y los componentes de marca usados en SONEX v6: logo SVG con aros orbitales, azul marino #003087, tipografía system-ui, cards con border-radius y animación fadeIn.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resultado es una herramienta con el mismo nivel de acabado visual que el chatbot SONEX, lista para presentación interna en Sonepar A Coruña.</w:t>
      </w:r>
    </w:p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Cambios detallados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596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detalle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Header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Nuevo header azul #003087 con logo SVG Sonepar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Sustituye el bloque oscuro #1a1a2e de v2. Logo con aros orbitales azul claro + azul marino. Tabs de navegación integrados con estado activo resaltado.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Acento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Línea degradado azul oscuro→claro bajo el header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Elemento de marca recurrente en sonepar.es. 3px de altura, degradado de #003087 a #4A90D9.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Paleta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Objeto C con paleta corporativa Sonepar completa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Azul marino #003087, azul claro #4A90D9, azul suave #EBF1FA, fondo #F5F6F8, borde #D1D9E6, semáforo en #1B6B3A/#C07010/#C62828.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Tipografía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system-ui / Segoe UI en todo el componente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Fuera Courier New (etiquetas) y Georgia (valores) de v2. Jerarquía tipográfica clara: 10px letras versales para labels, 13-22px para datos.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Sidebar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Panel de formulario blanco con borde #D1D9E6 sutil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Fuera el sidebar blanco plano de v2. El borde derecho y el fondo blanco aportan separación sin peso visual innecesario.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Cards KPI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Cards de KPIs con border-radius 10px y semáforo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Esquinas redondeadas. Borde de 1.5px con color de semáforo suavizado (#B7DFC9, #F5D58B, #F5BFBC). Punto circular de color en esquina superior derecha.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Botones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Sistema de botones primario/secundario corporativo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Primario: fondo #003087, texto blanco, border-radius 6px. Secundario: outline azul marino, fondo blanco. Consistente en todo el componente.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Selector turno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Botones Mañana/Tarde/Noche con estilo Sonepar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Fondo #003087 + texto blanco cuando activo, fondo #F5F6F8 + texto gris cuando inactivo. Borde 1.5px.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Tooltips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Fondo azul suave #EBF1FA con borde #D1D9E6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En v2 los tooltips usaban fondo amarillo #fff8e1. Ahora encajan en la paleta corporativa.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Gráficos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Barras y líneas con radio y colores corporativos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Barras con border-radius [3,3,0,0]. Color de barras #4A90D9, líneas de error #C62828. Referencias de benchmark en verde #1B6B3A.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Informe IA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Card de informe con punto de acento azul claro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El encabezado 'INFORME EJECUTIVO IA' incluye un punto circular #4A90D9 como indicador visual. Card con border-radius 10px.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Historial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Filas de historial con border-radius y espaciado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Las entradas del historial tienen borderRadius 10px y gap de 10px. El badge de semáforo por KPI mantiene los colores corporativos.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Comparativa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Tabla comparativa con header azul #003087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El encabezado de la tabla comparativa usa el azul corporativo, coherente con el resto de la herramienta.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Animación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fadeIn en resultados al calcular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Clase .fade-in con keyframe opacity 0→1 y translateY 6px→0 en 0.25s. Se aplica al bloque de resultados al generarse.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Estado vacío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Icono central al cargar la herramienta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Cuando no hay KPIs calculados se muestra un círculo azul suave con emoji 📊 centrado, más atractivo que el rombo ◈ de v2.</w:t>
            </w:r>
          </w:p>
        </w:tc>
      </w:tr>
    </w:tbl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Sin cambios — funcionalidad preservada al 100%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Cálculo de 6 KPIs: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Pedidos/hora, error picking, tiempo ciclo, ocupación, devoluciones, productividad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Semáforo con benchmarks: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Verde/amarillo/rojo según umbrales del sector para cada KPI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Informe 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Generación de informe ejecutivo con Claude Sonnet vía API Anthropic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Historial de turnos: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Persistencia en localStorage, máximo 30 registros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Comparativa: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Tabla lado a lado de dos turnos con indicador del mejor en cada KPI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Gráficos Recharts: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BarChart pedidos/hora y LineChart error picking para últimos 7 turnos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Exportar PDF: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Función window.print() con CSS @media print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Cargar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Datos de ejemplo de Sonepar A Coruña para prueba rápida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Tooltips descriptivos: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Descripción emergente de cada campo al hacer hover en ⓘ</w:t>
      </w:r>
    </w:p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v2 vs v3 — Comparativa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368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v2 (anterior)</w:t>
            </w:r>
          </w:p>
        </w:tc>
        <w:tc>
          <w:tcPr>
            <w:tcW w:type="dxa" w:w="368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v3 (nueva)</w:t>
            </w:r>
          </w:p>
        </w:tc>
      </w:tr>
      <w:tr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Fondo</w:t>
            </w:r>
          </w:p>
        </w:tc>
        <w:tc>
          <w:tcPr>
            <w:tcW w:type="dxa" w:w="3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#f4f1ec (crema)</w:t>
            </w:r>
          </w:p>
        </w:tc>
        <w:tc>
          <w:tcPr>
            <w:tcW w:type="dxa" w:w="3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#F5F6F8 (blanco Sonepar)</w:t>
            </w:r>
          </w:p>
        </w:tc>
      </w:tr>
      <w:tr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Header</w:t>
            </w:r>
          </w:p>
        </w:tc>
        <w:tc>
          <w:tcPr>
            <w:tcW w:type="dxa" w:w="3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#1a1a2e oscuro + SONEPAR en texto</w:t>
            </w:r>
          </w:p>
        </w:tc>
        <w:tc>
          <w:tcPr>
            <w:tcW w:type="dxa" w:w="3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#003087 azul corporativo + logo SVG</w:t>
            </w:r>
          </w:p>
        </w:tc>
      </w:tr>
      <w:tr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Tipografía</w:t>
            </w:r>
          </w:p>
        </w:tc>
        <w:tc>
          <w:tcPr>
            <w:tcW w:type="dxa" w:w="3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Courier New + Georgia</w:t>
            </w:r>
          </w:p>
        </w:tc>
        <w:tc>
          <w:tcPr>
            <w:tcW w:type="dxa" w:w="3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system-ui / Segoe UI</w:t>
            </w:r>
          </w:p>
        </w:tc>
      </w:tr>
      <w:tr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Tabs</w:t>
            </w:r>
          </w:p>
        </w:tc>
        <w:tc>
          <w:tcPr>
            <w:tcW w:type="dxa" w:w="3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Botones separados en el header</w:t>
            </w:r>
          </w:p>
        </w:tc>
        <w:tc>
          <w:tcPr>
            <w:tcW w:type="dxa" w:w="3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Tabs integrados en el header (como SONEX v6)</w:t>
            </w:r>
          </w:p>
        </w:tc>
      </w:tr>
      <w:tr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Cards KPI</w:t>
            </w:r>
          </w:p>
        </w:tc>
        <w:tc>
          <w:tcPr>
            <w:tcW w:type="dxa" w:w="3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 border-radius, borde coloreado</w:t>
            </w:r>
          </w:p>
        </w:tc>
        <w:tc>
          <w:tcPr>
            <w:tcW w:type="dxa" w:w="3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border-radius 10px, borde suavizado</w:t>
            </w:r>
          </w:p>
        </w:tc>
      </w:tr>
      <w:tr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Botones</w:t>
            </w:r>
          </w:p>
        </w:tc>
        <w:tc>
          <w:tcPr>
            <w:tcW w:type="dxa" w:w="3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Estilo monospace #1565c0</w:t>
            </w:r>
          </w:p>
        </w:tc>
        <w:tc>
          <w:tcPr>
            <w:tcW w:type="dxa" w:w="3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Primario/secundario con font Sonepar</w:t>
            </w:r>
          </w:p>
        </w:tc>
      </w:tr>
      <w:tr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Acento</w:t>
            </w:r>
          </w:p>
        </w:tc>
        <w:tc>
          <w:tcPr>
            <w:tcW w:type="dxa" w:w="3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Borde inferior #1565c0</w:t>
            </w:r>
          </w:p>
        </w:tc>
        <w:tc>
          <w:tcPr>
            <w:tcW w:type="dxa" w:w="3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Línea degradado #003087→#4A90D9</w:t>
            </w:r>
          </w:p>
        </w:tc>
      </w:tr>
    </w:tbl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/>
          <w:iCs/>
          <w:color w:val="8A94A6"/>
          <w:sz w:val="15"/>
          <w:szCs w:val="15"/>
        </w:rPr>
        <w:t xml:space="preserve">KPI Logístico · CHANGELOG v3.0 · Iago Robo · Sonepar A Coruña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2026-03-11T00:37:36.075Z</dcterms:created>
  <dcterms:modified xsi:type="dcterms:W3CDTF">2026-03-11T00:37:36.075Z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