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val="false"/>
          <w:iCs w:val="false"/>
          <w:color w:val="8A94A6"/>
          <w:sz w:val="17"/>
          <w:szCs w:val="17"/>
        </w:rPr>
        <w:t xml:space="preserve">SONEPAR TOOLS — PLAN DE VERSIÓN</w:t>
      </w:r>
    </w:p>
    <w:p>
      <w:pPr>
        <w:spacing w:before="360" w:after="140"/>
      </w:pPr>
      <w:r>
        <w:rPr>
          <w:rFonts w:ascii="Arial" w:cs="Arial" w:eastAsia="Arial" w:hAnsi="Arial"/>
          <w:b/>
          <w:bCs/>
          <w:i w:val="false"/>
          <w:iCs w:val="false"/>
          <w:color w:val="003087"/>
          <w:sz w:val="30"/>
          <w:szCs w:val="30"/>
        </w:rPr>
        <w:t xml:space="preserve">Calculadora de KPIs Logísticos v3.0</w:t>
      </w:r>
    </w:p>
    <w:p>
      <w:pPr>
        <w:spacing w:before="0" w:after="60"/>
      </w:pPr>
      <w:r>
        <w:rPr>
          <w:rFonts w:ascii="Arial" w:cs="Arial" w:eastAsia="Arial" w:hAnsi="Arial"/>
          <w:b w:val="false"/>
          <w:bCs w:val="false"/>
          <w:i w:val="false"/>
          <w:iCs w:val="false"/>
          <w:color w:val="8A94A6"/>
          <w:sz w:val="17"/>
          <w:szCs w:val="17"/>
        </w:rPr>
        <w:t xml:space="preserve">Marzo 2026  ·  Iago Robo  ·  kpi-logistico/sonepar-kpi-logistico-v3.jsx</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1. Objetivo de la versión v3</w:t>
      </w:r>
    </w:p>
    <w:p>
      <w:pPr>
        <w:spacing w:before="40" w:after="80"/>
      </w:pPr>
      <w:r>
        <w:rPr>
          <w:rFonts w:ascii="Arial" w:cs="Arial" w:eastAsia="Arial" w:hAnsi="Arial"/>
          <w:b w:val="false"/>
          <w:bCs w:val="false"/>
          <w:i w:val="false"/>
          <w:iCs w:val="false"/>
          <w:color w:val="4A5568"/>
          <w:sz w:val="19"/>
          <w:szCs w:val="19"/>
        </w:rPr>
        <w:t xml:space="preserve">La v3 del KPI Logístico tiene dos objetivos paralelos: (1) aplicar el rediseño visual corporativo Sonepar — paleta #003087, logo SVG con aros orbitales, tipografía system-ui — unificando la herramienta con el resto de la suite; y (2) añadir un módulo de objetivos por delegación que permite al responsable establecer targets propios, comparar el rendimiento real contra ellos y recibir un análisis IA contextualizado.</w:t>
      </w:r>
    </w:p>
    <w:p>
      <w:pPr>
        <w:spacing w:before="40" w:after="80"/>
      </w:pPr>
      <w:r>
        <w:rPr>
          <w:rFonts w:ascii="Arial" w:cs="Arial" w:eastAsia="Arial" w:hAnsi="Arial"/>
          <w:b w:val="false"/>
          <w:bCs w:val="false"/>
          <w:i w:val="false"/>
          <w:iCs w:val="false"/>
          <w:color w:val="4A5568"/>
          <w:sz w:val="19"/>
          <w:szCs w:val="19"/>
        </w:rPr>
        <w:t xml:space="preserve">La funcionalidad de cálculo, semáforo, historial y comparativa de v2 se mantiene íntegramente. El rediseño visual ya se ha implementado en esta misma sesión de trabajo.</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2. Problemas detectados en v2</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Benchmarks fijos e inamovibles: </w:t>
      </w:r>
      <w:r>
        <w:rPr>
          <w:rFonts w:ascii="Arial" w:cs="Arial" w:eastAsia="Arial" w:hAnsi="Arial"/>
          <w:b w:val="false"/>
          <w:bCs w:val="false"/>
          <w:i w:val="false"/>
          <w:iCs w:val="false"/>
          <w:color w:val="4A5568"/>
          <w:sz w:val="19"/>
          <w:szCs w:val="19"/>
        </w:rPr>
        <w:t xml:space="preserve">los umbrales (&gt;18 ped/h, &lt;1% error) son genéricos del sector — no reflejan la realidad de cada delegación</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contexto de delegación persistente: </w:t>
      </w:r>
      <w:r>
        <w:rPr>
          <w:rFonts w:ascii="Arial" w:cs="Arial" w:eastAsia="Arial" w:hAnsi="Arial"/>
          <w:b w:val="false"/>
          <w:bCs w:val="false"/>
          <w:i w:val="false"/>
          <w:iCs w:val="false"/>
          <w:color w:val="4A5568"/>
          <w:sz w:val="19"/>
          <w:szCs w:val="19"/>
        </w:rPr>
        <w:t xml:space="preserve">hay que introducir el nombre de la delegación en cada cálculo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Historial sin exportación: </w:t>
      </w:r>
      <w:r>
        <w:rPr>
          <w:rFonts w:ascii="Arial" w:cs="Arial" w:eastAsia="Arial" w:hAnsi="Arial"/>
          <w:b w:val="false"/>
          <w:bCs w:val="false"/>
          <w:i w:val="false"/>
          <w:iCs w:val="false"/>
          <w:color w:val="4A5568"/>
          <w:sz w:val="19"/>
          <w:szCs w:val="19"/>
        </w:rPr>
        <w:t xml:space="preserve">30 registros en localStorage pero sin forma de extraerlos para análisis externo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Gráficos solo con 2 KPIs: </w:t>
      </w:r>
      <w:r>
        <w:rPr>
          <w:rFonts w:ascii="Arial" w:cs="Arial" w:eastAsia="Arial" w:hAnsi="Arial"/>
          <w:b w:val="false"/>
          <w:bCs w:val="false"/>
          <w:i w:val="false"/>
          <w:iCs w:val="false"/>
          <w:color w:val="4A5568"/>
          <w:sz w:val="19"/>
          <w:szCs w:val="19"/>
        </w:rPr>
        <w:t xml:space="preserve">la evolución de pedidos/hora y error picking son los únicos trazados — los 4 restantes no tienen gráfico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Informe IA no recibe contexto histórico: </w:t>
      </w:r>
      <w:r>
        <w:rPr>
          <w:rFonts w:ascii="Arial" w:cs="Arial" w:eastAsia="Arial" w:hAnsi="Arial"/>
          <w:b w:val="false"/>
          <w:bCs w:val="false"/>
          <w:i w:val="false"/>
          <w:iCs w:val="false"/>
          <w:color w:val="4A5568"/>
          <w:sz w:val="19"/>
          <w:szCs w:val="19"/>
        </w:rPr>
        <w:t xml:space="preserve">el prompt solo recibe los KPIs del turno actual, no la evolución de las últimas semanas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desglose por operario: </w:t>
      </w:r>
      <w:r>
        <w:rPr>
          <w:rFonts w:ascii="Arial" w:cs="Arial" w:eastAsia="Arial" w:hAnsi="Arial"/>
          <w:b w:val="false"/>
          <w:bCs w:val="false"/>
          <w:i w:val="false"/>
          <w:iCs w:val="false"/>
          <w:color w:val="4A5568"/>
          <w:sz w:val="19"/>
          <w:szCs w:val="19"/>
        </w:rPr>
        <w:t xml:space="preserve">los KPIs son del turno completo — no permite identificar variaciones individuales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Identidad visual genérica: </w:t>
      </w:r>
      <w:r>
        <w:rPr>
          <w:rFonts w:ascii="Arial" w:cs="Arial" w:eastAsia="Arial" w:hAnsi="Arial"/>
          <w:b w:val="false"/>
          <w:bCs w:val="false"/>
          <w:i w:val="false"/>
          <w:iCs w:val="false"/>
          <w:color w:val="4A5568"/>
          <w:sz w:val="19"/>
          <w:szCs w:val="19"/>
        </w:rPr>
        <w:t xml:space="preserve">fondo crema, Courier New, azul #1565c0 — ya resuelto en v3 de esta sesión</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3. Mejoras propuestas para v3</w:t>
      </w:r>
    </w:p>
    <w:p>
      <w:pPr>
        <w:spacing w:before="180" w:after="60"/>
      </w:pPr>
      <w:r>
        <w:rPr>
          <w:rFonts w:ascii="Arial" w:cs="Arial" w:eastAsia="Arial" w:hAnsi="Arial"/>
          <w:b/>
          <w:bCs/>
          <w:i w:val="false"/>
          <w:iCs w:val="false"/>
          <w:color w:val="003087"/>
          <w:sz w:val="19"/>
          <w:szCs w:val="19"/>
        </w:rPr>
        <w:t xml:space="preserve">Funcionales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Objetivos por delegación: </w:t>
      </w:r>
      <w:r>
        <w:rPr>
          <w:rFonts w:ascii="Arial" w:cs="Arial" w:eastAsia="Arial" w:hAnsi="Arial"/>
          <w:b w:val="false"/>
          <w:bCs w:val="false"/>
          <w:i w:val="false"/>
          <w:iCs w:val="false"/>
          <w:color w:val="4A5568"/>
          <w:sz w:val="19"/>
          <w:szCs w:val="19"/>
        </w:rPr>
        <w:t xml:space="preserve">el responsable configura sus propios targets para cada KPI — la herramienta compara real vs. objetivo además de vs. benchmark de sector</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Perfil de delegación persistente: </w:t>
      </w:r>
      <w:r>
        <w:rPr>
          <w:rFonts w:ascii="Arial" w:cs="Arial" w:eastAsia="Arial" w:hAnsi="Arial"/>
          <w:b w:val="false"/>
          <w:bCs w:val="false"/>
          <w:i w:val="false"/>
          <w:iCs w:val="false"/>
          <w:color w:val="4A5568"/>
          <w:sz w:val="19"/>
          <w:szCs w:val="19"/>
        </w:rPr>
        <w:t xml:space="preserve">nombre, turno habitual, número de operarios habitual — guardados en localStorage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Exportación del historial a CSV: </w:t>
      </w:r>
      <w:r>
        <w:rPr>
          <w:rFonts w:ascii="Arial" w:cs="Arial" w:eastAsia="Arial" w:hAnsi="Arial"/>
          <w:b w:val="false"/>
          <w:bCs w:val="false"/>
          <w:i w:val="false"/>
          <w:iCs w:val="false"/>
          <w:color w:val="4A5568"/>
          <w:sz w:val="19"/>
          <w:szCs w:val="19"/>
        </w:rPr>
        <w:t xml:space="preserve">botón en la tab de historial que descarga los últimos 30 registros como CSV</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Gráficos para los 6 KPIs: </w:t>
      </w:r>
      <w:r>
        <w:rPr>
          <w:rFonts w:ascii="Arial" w:cs="Arial" w:eastAsia="Arial" w:hAnsi="Arial"/>
          <w:b w:val="false"/>
          <w:bCs w:val="false"/>
          <w:i w:val="false"/>
          <w:iCs w:val="false"/>
          <w:color w:val="4A5568"/>
          <w:sz w:val="19"/>
          <w:szCs w:val="19"/>
        </w:rPr>
        <w:t xml:space="preserve">expandir la visualización de evolución a los 6 indicadores en un grid 2x3</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Análisis IA con contexto histórico: </w:t>
      </w:r>
      <w:r>
        <w:rPr>
          <w:rFonts w:ascii="Arial" w:cs="Arial" w:eastAsia="Arial" w:hAnsi="Arial"/>
          <w:b w:val="false"/>
          <w:bCs w:val="false"/>
          <w:i w:val="false"/>
          <w:iCs w:val="false"/>
          <w:color w:val="4A5568"/>
          <w:sz w:val="19"/>
          <w:szCs w:val="19"/>
        </w:rPr>
        <w:t xml:space="preserve">el prompt incluye la media de los últimos 7 turnos para contextualizar el turno actual</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Alerta de KPI crítico: </w:t>
      </w:r>
      <w:r>
        <w:rPr>
          <w:rFonts w:ascii="Arial" w:cs="Arial" w:eastAsia="Arial" w:hAnsi="Arial"/>
          <w:b w:val="false"/>
          <w:bCs w:val="false"/>
          <w:i w:val="false"/>
          <w:iCs w:val="false"/>
          <w:color w:val="4A5568"/>
          <w:sz w:val="19"/>
          <w:szCs w:val="19"/>
        </w:rPr>
        <w:t xml:space="preserve">si cualquier KPI supera el umbral 'rojo' al calcular, aparece una alerta visual destacada con la acción inmediata recomendada</w:t>
      </w:r>
    </w:p>
    <w:p>
      <w:pPr>
        <w:spacing w:before="180" w:after="60"/>
      </w:pPr>
      <w:r>
        <w:rPr>
          <w:rFonts w:ascii="Arial" w:cs="Arial" w:eastAsia="Arial" w:hAnsi="Arial"/>
          <w:b/>
          <w:bCs/>
          <w:i w:val="false"/>
          <w:iCs w:val="false"/>
          <w:color w:val="003087"/>
          <w:sz w:val="19"/>
          <w:szCs w:val="19"/>
        </w:rPr>
        <w:t xml:space="preserve">UX/UI</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Configuración de objetivos en nueva tab: </w:t>
      </w:r>
      <w:r>
        <w:rPr>
          <w:rFonts w:ascii="Arial" w:cs="Arial" w:eastAsia="Arial" w:hAnsi="Arial"/>
          <w:b w:val="false"/>
          <w:bCs w:val="false"/>
          <w:i w:val="false"/>
          <w:iCs w:val="false"/>
          <w:color w:val="4A5568"/>
          <w:sz w:val="19"/>
          <w:szCs w:val="19"/>
        </w:rPr>
        <w:t xml:space="preserve">una cuarta tab 'Objetivos' permite editar los targets por KPI con inputs numéricos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Doble referencia visual en cards: </w:t>
      </w:r>
      <w:r>
        <w:rPr>
          <w:rFonts w:ascii="Arial" w:cs="Arial" w:eastAsia="Arial" w:hAnsi="Arial"/>
          <w:b w:val="false"/>
          <w:bCs w:val="false"/>
          <w:i w:val="false"/>
          <w:iCs w:val="false"/>
          <w:color w:val="4A5568"/>
          <w:sz w:val="19"/>
          <w:szCs w:val="19"/>
        </w:rPr>
        <w:t xml:space="preserve">cada card KPI muestra dos líneas: benchmark sectorial (gris) y objetivo de delegación (azul)</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Selector de período en historial: </w:t>
      </w:r>
      <w:r>
        <w:rPr>
          <w:rFonts w:ascii="Arial" w:cs="Arial" w:eastAsia="Arial" w:hAnsi="Arial"/>
          <w:b w:val="false"/>
          <w:bCs w:val="false"/>
          <w:i w:val="false"/>
          <w:iCs w:val="false"/>
          <w:color w:val="4A5568"/>
          <w:sz w:val="19"/>
          <w:szCs w:val="19"/>
        </w:rPr>
        <w:t xml:space="preserve">filtrar por última semana / último mes / todo el historial</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Modo compacto para imprimir: </w:t>
      </w:r>
      <w:r>
        <w:rPr>
          <w:rFonts w:ascii="Arial" w:cs="Arial" w:eastAsia="Arial" w:hAnsi="Arial"/>
          <w:b w:val="false"/>
          <w:bCs w:val="false"/>
          <w:i w:val="false"/>
          <w:iCs w:val="false"/>
          <w:color w:val="4A5568"/>
          <w:sz w:val="19"/>
          <w:szCs w:val="19"/>
        </w:rPr>
        <w:t xml:space="preserve">layout de una sola columna optimizado para exportación PDF en una página</w:t>
      </w:r>
    </w:p>
    <w:p>
      <w:pPr>
        <w:spacing w:before="180" w:after="60"/>
      </w:pPr>
      <w:r>
        <w:rPr>
          <w:rFonts w:ascii="Arial" w:cs="Arial" w:eastAsia="Arial" w:hAnsi="Arial"/>
          <w:b/>
          <w:bCs/>
          <w:i w:val="false"/>
          <w:iCs w:val="false"/>
          <w:color w:val="003087"/>
          <w:sz w:val="19"/>
          <w:szCs w:val="19"/>
        </w:rPr>
        <w:t xml:space="preserve">IA y análisis inteligente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Prompt con media histórica: </w:t>
      </w:r>
      <w:r>
        <w:rPr>
          <w:rFonts w:ascii="Arial" w:cs="Arial" w:eastAsia="Arial" w:hAnsi="Arial"/>
          <w:b w:val="false"/>
          <w:bCs w:val="false"/>
          <w:i w:val="false"/>
          <w:iCs w:val="false"/>
          <w:color w:val="4A5568"/>
          <w:sz w:val="19"/>
          <w:szCs w:val="19"/>
        </w:rPr>
        <w:t xml:space="preserve">incluye media de los últimos 7 turnos por KPI para análisis comparativo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Detección de tendencia: </w:t>
      </w:r>
      <w:r>
        <w:rPr>
          <w:rFonts w:ascii="Arial" w:cs="Arial" w:eastAsia="Arial" w:hAnsi="Arial"/>
          <w:b w:val="false"/>
          <w:bCs w:val="false"/>
          <w:i w:val="false"/>
          <w:iCs w:val="false"/>
          <w:color w:val="4A5568"/>
          <w:sz w:val="19"/>
          <w:szCs w:val="19"/>
        </w:rPr>
        <w:t xml:space="preserve">si 3 turnos consecutivos empeoran el mismo KPI, la IA lo señala como tendencia preocupante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Recomendaciones accionables: </w:t>
      </w:r>
      <w:r>
        <w:rPr>
          <w:rFonts w:ascii="Arial" w:cs="Arial" w:eastAsia="Arial" w:hAnsi="Arial"/>
          <w:b w:val="false"/>
          <w:bCs w:val="false"/>
          <w:i w:val="false"/>
          <w:iCs w:val="false"/>
          <w:color w:val="4A5568"/>
          <w:sz w:val="19"/>
          <w:szCs w:val="19"/>
        </w:rPr>
        <w:t xml:space="preserve">el informe incluye 1 acción concreta con propietario (operario, responsable, mantenimiento)</w:t>
      </w:r>
    </w:p>
    <w:p>
      <w:pPr>
        <w:spacing w:before="180" w:after="60"/>
      </w:pPr>
      <w:r>
        <w:rPr>
          <w:rFonts w:ascii="Arial" w:cs="Arial" w:eastAsia="Arial" w:hAnsi="Arial"/>
          <w:b/>
          <w:bCs/>
          <w:i w:val="false"/>
          <w:iCs w:val="false"/>
          <w:color w:val="003087"/>
          <w:sz w:val="19"/>
          <w:szCs w:val="19"/>
        </w:rPr>
        <w:t xml:space="preserve">Rendimiento y arquitectura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Configuración en localStorage separada: </w:t>
      </w:r>
      <w:r>
        <w:rPr>
          <w:rFonts w:ascii="Arial" w:cs="Arial" w:eastAsia="Arial" w:hAnsi="Arial"/>
          <w:b w:val="false"/>
          <w:bCs w:val="false"/>
          <w:i w:val="false"/>
          <w:iCs w:val="false"/>
          <w:color w:val="4A5568"/>
          <w:sz w:val="19"/>
          <w:szCs w:val="19"/>
        </w:rPr>
        <w:t xml:space="preserve">sonepar_kpi_config para objetivos y delegación, separado del historial sonepar_kpi_historial</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Cálculo de medias con useMemo: </w:t>
      </w:r>
      <w:r>
        <w:rPr>
          <w:rFonts w:ascii="Arial" w:cs="Arial" w:eastAsia="Arial" w:hAnsi="Arial"/>
          <w:b w:val="false"/>
          <w:bCs w:val="false"/>
          <w:i w:val="false"/>
          <w:iCs w:val="false"/>
          <w:color w:val="4A5568"/>
          <w:sz w:val="19"/>
          <w:szCs w:val="19"/>
        </w:rPr>
        <w:t xml:space="preserve">evitar recalcular la media histórica en cada render</w:t>
      </w:r>
    </w:p>
    <w:p>
      <w:pPr>
        <w:spacing w:before="180" w:after="60"/>
      </w:pPr>
      <w:r>
        <w:rPr>
          <w:rFonts w:ascii="Arial" w:cs="Arial" w:eastAsia="Arial" w:hAnsi="Arial"/>
          <w:b/>
          <w:bCs/>
          <w:i w:val="false"/>
          <w:iCs w:val="false"/>
          <w:color w:val="003087"/>
          <w:sz w:val="19"/>
          <w:szCs w:val="19"/>
        </w:rPr>
        <w:t xml:space="preserve">Integraciones futuras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Exportación a Excel: </w:t>
      </w:r>
      <w:r>
        <w:rPr>
          <w:rFonts w:ascii="Arial" w:cs="Arial" w:eastAsia="Arial" w:hAnsi="Arial"/>
          <w:b w:val="false"/>
          <w:bCs w:val="false"/>
          <w:i w:val="false"/>
          <w:iCs w:val="false"/>
          <w:color w:val="4A5568"/>
          <w:sz w:val="19"/>
          <w:szCs w:val="19"/>
        </w:rPr>
        <w:t xml:space="preserve">historial completo en formato XLSX con gráficos embebidos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Conexión con Dashboard de Incidencias: </w:t>
      </w:r>
      <w:r>
        <w:rPr>
          <w:rFonts w:ascii="Arial" w:cs="Arial" w:eastAsia="Arial" w:hAnsi="Arial"/>
          <w:b w:val="false"/>
          <w:bCs w:val="false"/>
          <w:i w:val="false"/>
          <w:iCs w:val="false"/>
          <w:color w:val="4A5568"/>
          <w:sz w:val="19"/>
          <w:szCs w:val="19"/>
        </w:rPr>
        <w:t xml:space="preserve">si hay incidencias críticas abiertas, el análisis IA las menciona como posible causa de KPIs bajos</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4. Cambios de interfaz</w:t>
      </w:r>
    </w:p>
    <w:p>
      <w:pPr>
        <w:spacing w:before="40" w:after="80"/>
      </w:pPr>
      <w:r>
        <w:rPr>
          <w:rFonts w:ascii="Arial" w:cs="Arial" w:eastAsia="Arial" w:hAnsi="Arial"/>
          <w:b w:val="false"/>
          <w:bCs w:val="false"/>
          <w:i w:val="false"/>
          <w:iCs w:val="false"/>
          <w:color w:val="4A5568"/>
          <w:sz w:val="19"/>
          <w:szCs w:val="19"/>
        </w:rPr>
        <w:t xml:space="preserve">Se añade una cuarta tab 'Objetivos' en el header. Las cards de KPI incorporan una segunda línea de referencia (objetivo de delegación en azul claro) además del benchmark sectorial existente. El gráfico de evolución histórica se expande a un grid 2x3 con los 6 KPIs.</w:t>
      </w:r>
    </w:p>
    <w:p>
      <w:pPr>
        <w:spacing w:before="40" w:after="80"/>
      </w:pPr>
      <w:r>
        <w:rPr>
          <w:rFonts w:ascii="Arial" w:cs="Arial" w:eastAsia="Arial" w:hAnsi="Arial"/>
          <w:b w:val="false"/>
          <w:bCs w:val="false"/>
          <w:i w:val="false"/>
          <w:iCs w:val="false"/>
          <w:color w:val="4A5568"/>
          <w:sz w:val="19"/>
          <w:szCs w:val="19"/>
        </w:rPr>
        <w:t xml:space="preserve">La alerta de KPI crítico aparece como un banner entre el header y el contenido principal, con fondo rojo suave y acción recomendada en texto bold. El informe IA incluye una sección adicional de 'Tendencia' si se detectan 3 o más turnos consecutivos con el mismo KPI en rojo.</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5. Flujo de usuario actualizado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Configuración inicial (una vez): </w:t>
      </w:r>
      <w:r>
        <w:rPr>
          <w:rFonts w:ascii="Arial" w:cs="Arial" w:eastAsia="Arial" w:hAnsi="Arial"/>
          <w:b w:val="false"/>
          <w:bCs w:val="false"/>
          <w:i w:val="false"/>
          <w:iCs w:val="false"/>
          <w:color w:val="4A5568"/>
          <w:sz w:val="19"/>
          <w:szCs w:val="19"/>
        </w:rPr>
        <w:t xml:space="preserve">responsable abre tab Objetivos → introduce targets de su delegación → guarda → aparecen en todas las cards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Cálculo de turno: </w:t>
      </w:r>
      <w:r>
        <w:rPr>
          <w:rFonts w:ascii="Arial" w:cs="Arial" w:eastAsia="Arial" w:hAnsi="Arial"/>
          <w:b w:val="false"/>
          <w:bCs w:val="false"/>
          <w:i w:val="false"/>
          <w:iCs w:val="false"/>
          <w:color w:val="4A5568"/>
          <w:sz w:val="19"/>
          <w:szCs w:val="19"/>
        </w:rPr>
        <w:t xml:space="preserve">mismo flujo de v2 con sidebar de datos + botón calcular → resultado con doble referencia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Análisis histórico: </w:t>
      </w:r>
      <w:r>
        <w:rPr>
          <w:rFonts w:ascii="Arial" w:cs="Arial" w:eastAsia="Arial" w:hAnsi="Arial"/>
          <w:b w:val="false"/>
          <w:bCs w:val="false"/>
          <w:i w:val="false"/>
          <w:iCs w:val="false"/>
          <w:color w:val="4A5568"/>
          <w:sz w:val="19"/>
          <w:szCs w:val="19"/>
        </w:rPr>
        <w:t xml:space="preserve">tab Historial con filtro de período → gráficos de los 6 KPIs → exportar CSV</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Comparativa: </w:t>
      </w:r>
      <w:r>
        <w:rPr>
          <w:rFonts w:ascii="Arial" w:cs="Arial" w:eastAsia="Arial" w:hAnsi="Arial"/>
          <w:b w:val="false"/>
          <w:bCs w:val="false"/>
          <w:i w:val="false"/>
          <w:iCs w:val="false"/>
          <w:color w:val="4A5568"/>
          <w:sz w:val="19"/>
          <w:szCs w:val="19"/>
        </w:rPr>
        <w:t xml:space="preserve">mismo flujo de v2 — selección de dos turnos del historial para comparar lado a lado</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6. Riesgos y dependencias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Objetivos no validados: </w:t>
      </w:r>
      <w:r>
        <w:rPr>
          <w:rFonts w:ascii="Arial" w:cs="Arial" w:eastAsia="Arial" w:hAnsi="Arial"/>
          <w:b w:val="false"/>
          <w:bCs w:val="false"/>
          <w:i w:val="false"/>
          <w:iCs w:val="false"/>
          <w:color w:val="4A5568"/>
          <w:sz w:val="19"/>
          <w:szCs w:val="19"/>
        </w:rPr>
        <w:t xml:space="preserve">si el responsable pone objetivos demasiado bajos o altos, el semáforo pierde utilidad — documentar los benchmarks de sector como referencia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Datos históricos de v2: </w:t>
      </w:r>
      <w:r>
        <w:rPr>
          <w:rFonts w:ascii="Arial" w:cs="Arial" w:eastAsia="Arial" w:hAnsi="Arial"/>
          <w:b w:val="false"/>
          <w:bCs w:val="false"/>
          <w:i w:val="false"/>
          <w:iCs w:val="false"/>
          <w:color w:val="4A5568"/>
          <w:sz w:val="19"/>
          <w:szCs w:val="19"/>
        </w:rPr>
        <w:t xml:space="preserve">los registros guardados en localStorage con la estructura de v2 deben migrarse al cargar v3 por primera vez</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7. Indicadores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Indicador</w:t>
            </w:r>
          </w:p>
        </w:tc>
        <w:tc>
          <w:tcPr>
            <w:tcW w:type="dxa" w:w="268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Baseline v2</w:t>
            </w:r>
          </w:p>
        </w:tc>
        <w:tc>
          <w:tcPr>
            <w:tcW w:type="dxa" w:w="268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Objetivo v3</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Responsables que configuran objetivos propios</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0%</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&gt; 80%</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Frecuencia de uso semanal por delegación</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Esporádico</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 3 turnos/semana</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Exportaciones CSV por semana</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0</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 1/semana</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Valoración responsable logístico (1-5)</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 4/5</w:t>
            </w:r>
          </w:p>
        </w:tc>
      </w:tr>
    </w:tbl>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spacing w:before="120" w:after="0"/>
      </w:pPr>
      <w:r>
        <w:rPr>
          <w:rFonts w:ascii="Arial" w:cs="Arial" w:eastAsia="Arial" w:hAnsi="Arial"/>
          <w:b w:val="false"/>
          <w:bCs w:val="false"/>
          <w:i/>
          <w:iCs/>
          <w:color w:val="8A94A6"/>
          <w:sz w:val="15"/>
          <w:szCs w:val="15"/>
        </w:rPr>
        <w:t xml:space="preserve">KPI Logístico · PLAN v3.0 · Iago Robo · Sonepar A Coruña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2026-03-11T00:50:03.224Z</dcterms:created>
  <dcterms:modified xsi:type="dcterms:W3CDTF">2026-03-11T00:50:03.224Z</dcterms:modified>
</cp:coreProperties>
</file>

<file path=docProps/custom.xml><?xml version="1.0" encoding="utf-8"?>
<Properties xmlns="http://schemas.openxmlformats.org/officeDocument/2006/custom-properties" xmlns:vt="http://schemas.openxmlformats.org/officeDocument/2006/docPropsVTypes"/>
</file>