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999999"/>
          <w:sz w:val="20"/>
          <w:szCs w:val="20"/>
        </w:rPr>
        <w:t xml:space="preserve">SONEPAR TOOLS  ·  CHANGELOG</w:t>
      </w:r>
    </w:p>
    <w:p>
      <w:pPr>
        <w:spacing w:before="0" w:after="10"/>
      </w:pPr>
      <w:r>
        <w:rPr>
          <w:rFonts w:ascii="Arial" w:cs="Arial" w:eastAsia="Arial" w:hAnsi="Arial"/>
          <w:b/>
          <w:bCs/>
          <w:color w:val="1A1A2E"/>
          <w:sz w:val="40"/>
          <w:szCs w:val="40"/>
        </w:rPr>
        <w:t xml:space="preserve">Generador de Presupuestos</w:t>
      </w:r>
    </w:p>
    <w:p>
      <w:pPr>
        <w:pBdr>
          <w:bottom w:val="single" w:color="1A6040" w:sz="12" w:space="6"/>
        </w:pBdr>
        <w:spacing w:before="0" w:after="30"/>
      </w:pPr>
      <w:r>
        <w:rPr>
          <w:rFonts w:ascii="Arial" w:cs="Arial" w:eastAsia="Arial" w:hAnsi="Arial"/>
          <w:b/>
          <w:bCs/>
          <w:color w:val="1A6040"/>
          <w:sz w:val="26"/>
          <w:szCs w:val="26"/>
        </w:rPr>
        <w:t xml:space="preserve">v2.0  </w:t>
      </w:r>
      <w:r>
        <w:rPr>
          <w:rFonts w:ascii="Arial" w:cs="Arial" w:eastAsia="Arial" w:hAnsi="Arial"/>
          <w:color w:val="999999"/>
          <w:sz w:val="20"/>
          <w:szCs w:val="20"/>
        </w:rPr>
        <w:t xml:space="preserve">·  Marzo 2026  ·  Iago Robo  ·  presupuestos/sonepar-generador-presupuestos-v2.jsx</w:t>
      </w:r>
    </w:p>
    <w:p>
      <w:pPr>
        <w:spacing w:before="260" w:after="80"/>
      </w:pPr>
      <w:r>
        <w:rPr>
          <w:rFonts w:ascii="Arial" w:cs="Arial" w:eastAsia="Arial" w:hAnsi="Arial"/>
          <w:b/>
          <w:bCs/>
          <w:color w:val="1A1A2E"/>
          <w:sz w:val="22"/>
          <w:szCs w:val="22"/>
        </w:rPr>
        <w:t xml:space="preserve">Resumen de la actualización</w:t>
      </w:r>
    </w:p>
    <w:p>
      <w:pPr>
        <w:spacing w:before="60" w:after="80"/>
      </w:pPr>
      <w:r>
        <w:rPr>
          <w:rFonts w:ascii="Arial" w:cs="Arial" w:eastAsia="Arial" w:hAnsi="Arial"/>
          <w:color w:val="555555"/>
          <w:sz w:val="19"/>
          <w:szCs w:val="19"/>
        </w:rPr>
        <w:t xml:space="preserve">La v2.0 convierte el generador de un prototipo de demostración en una herramienta profesional usable. Los cambios principales son: identidad del instalador persistente, numeración automática de presupuestos, exportación PDF, historial entre sesiones y validación de campos. El motor de generación de partidas (llamada a la API, schema JSON de partidas) no cambia — todos los cambios son de interfaz, estado y estructura del documento de resultado.</w:t>
      </w:r>
    </w:p>
    <w:p>
      <w:pPr>
        <w:spacing w:before="260" w:after="80"/>
      </w:pPr>
      <w:r>
        <w:rPr>
          <w:rFonts w:ascii="Arial" w:cs="Arial" w:eastAsia="Arial" w:hAnsi="Arial"/>
          <w:b/>
          <w:bCs/>
          <w:color w:val="1A1A2E"/>
          <w:sz w:val="22"/>
          <w:szCs w:val="22"/>
        </w:rPr>
        <w:t xml:space="preserve">Versiones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426"/>
      </w:tblGrid>
      <w:tr>
        <w:tc>
          <w:tcPr>
            <w:tcW w:type="dxa" w:w="14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Versión</w:t>
            </w:r>
          </w:p>
        </w:tc>
        <w:tc>
          <w:tcPr>
            <w:tcW w:type="dxa" w:w="18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Fecha</w:t>
            </w:r>
          </w:p>
        </w:tc>
        <w:tc>
          <w:tcPr>
            <w:tcW w:type="dxa" w:w="24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Estado</w:t>
            </w:r>
          </w:p>
        </w:tc>
        <w:tc>
          <w:tcPr>
            <w:tcW w:type="dxa" w:w="34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Descripción</w:t>
            </w:r>
          </w:p>
        </w:tc>
      </w:tr>
      <w:tr>
        <w:tc>
          <w:tcPr>
            <w:tcW w:type="dxa" w:w="14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999999"/>
                <w:sz w:val="18"/>
                <w:szCs w:val="18"/>
              </w:rPr>
              <w:t xml:space="preserve">v1.0</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999999"/>
                <w:sz w:val="18"/>
                <w:szCs w:val="18"/>
              </w:rPr>
              <w:t xml:space="preserve">Marzo 2026</w:t>
            </w:r>
          </w:p>
        </w:tc>
        <w:tc>
          <w:tcPr>
            <w:tcW w:type="dxa" w:w="24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999999"/>
                <w:sz w:val="18"/>
                <w:szCs w:val="18"/>
              </w:rPr>
              <w:t xml:space="preserve">Superado</w:t>
            </w:r>
          </w:p>
        </w:tc>
        <w:tc>
          <w:tcPr>
            <w:tcW w:type="dxa" w:w="34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999999"/>
                <w:sz w:val="18"/>
                <w:szCs w:val="18"/>
              </w:rPr>
              <w:t xml:space="preserve">Prototipo. Flujo 3 pasos, 6 categorías, partidas, desglose básico.</w:t>
            </w:r>
          </w:p>
        </w:tc>
      </w:tr>
      <w:tr>
        <w:tc>
          <w:tcPr>
            <w:tcW w:type="dxa" w:w="14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6040"/>
                <w:sz w:val="18"/>
                <w:szCs w:val="18"/>
              </w:rPr>
              <w:t xml:space="preserve">v2.0</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Marzo 2026</w:t>
            </w:r>
          </w:p>
        </w:tc>
        <w:tc>
          <w:tcPr>
            <w:tcW w:type="dxa" w:w="24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6040"/>
                <w:sz w:val="18"/>
                <w:szCs w:val="18"/>
              </w:rPr>
              <w:t xml:space="preserve">Publicado</w:t>
            </w:r>
          </w:p>
        </w:tc>
        <w:tc>
          <w:tcPr>
            <w:tcW w:type="dxa" w:w="34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Instalador persistente, numeración, PDF, historial, validación, disclaimer, IVA desglosado.</w:t>
            </w:r>
          </w:p>
        </w:tc>
      </w:tr>
      <w:tr>
        <w:tc>
          <w:tcPr>
            <w:tcW w:type="dxa" w:w="14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999999"/>
                <w:sz w:val="18"/>
                <w:szCs w:val="18"/>
              </w:rPr>
              <w:t xml:space="preserve">v3.0</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999999"/>
                <w:sz w:val="18"/>
                <w:szCs w:val="18"/>
              </w:rPr>
              <w:t xml:space="preserve">Pendiente</w:t>
            </w:r>
          </w:p>
        </w:tc>
        <w:tc>
          <w:tcPr>
            <w:tcW w:type="dxa" w:w="24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999999"/>
                <w:sz w:val="18"/>
                <w:szCs w:val="18"/>
              </w:rPr>
              <w:t xml:space="preserve">Planificado</w:t>
            </w:r>
          </w:p>
        </w:tc>
        <w:tc>
          <w:tcPr>
            <w:tcW w:type="dxa" w:w="34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999999"/>
                <w:sz w:val="18"/>
                <w:szCs w:val="18"/>
              </w:rPr>
              <w:t xml:space="preserve">Logo instalador, partidas manuales, condiciones de pago, precios base fijos.</w:t>
            </w:r>
          </w:p>
        </w:tc>
      </w:tr>
    </w:tbl>
    <w:p>
      <w:pPr>
        <w:spacing w:before="260" w:after="80"/>
      </w:pPr>
      <w:r>
        <w:rPr>
          <w:rFonts w:ascii="Arial" w:cs="Arial" w:eastAsia="Arial" w:hAnsi="Arial"/>
          <w:b/>
          <w:bCs/>
          <w:color w:val="1A1A2E"/>
          <w:sz w:val="22"/>
          <w:szCs w:val="22"/>
        </w:rPr>
        <w:t xml:space="preserve">Cambios detallados — v1.0 → v2.0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W w:type="dxa" w:w="14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Tipo</w:t>
            </w:r>
          </w:p>
        </w:tc>
        <w:tc>
          <w:tcPr>
            <w:tcW w:type="dxa" w:w="2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Componente</w:t>
            </w:r>
          </w:p>
        </w:tc>
        <w:tc>
          <w:tcPr>
            <w:tcW w:type="dxa" w:w="56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Descripción y detalle técnico</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Datos del instalador</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Paso 0 con nombre, empresa, CIF, teléfono y email del instalador emisor</w:t>
            </w:r>
          </w:p>
          <w:p>
            <w:pPr>
              <w:spacing w:before="40"/>
            </w:pPr>
            <w:r>
              <w:rPr>
                <w:rFonts w:ascii="Arial" w:cs="Arial" w:eastAsia="Arial" w:hAnsi="Arial"/>
                <w:i/>
                <w:iCs/>
                <w:color w:val="555555"/>
                <w:sz w:val="17"/>
                <w:szCs w:val="17"/>
              </w:rPr>
              <w:t xml:space="preserve">Sección añadida al paso 1 del flujo. 5 campos controlados. Guardados en localStorage bajo 'sonepar_instalador' con JSON.stringify(). Cargados en useEffect de montaje. Los datos se renderizan en la cabecera del documento de resultado y se incluyen en el prompt de la IA para que los incorpore al presupuesto.</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Numeración automática</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Número de presupuesto SNP-AAAAMM-XXX generado en cada nueva generación</w:t>
            </w:r>
          </w:p>
          <w:p>
            <w:pPr>
              <w:spacing w:before="40"/>
            </w:pPr>
            <w:r>
              <w:rPr>
                <w:rFonts w:ascii="Arial" w:cs="Arial" w:eastAsia="Arial" w:hAnsi="Arial"/>
                <w:i/>
                <w:iCs/>
                <w:color w:val="555555"/>
                <w:sz w:val="17"/>
                <w:szCs w:val="17"/>
              </w:rPr>
              <w:t xml:space="preserve">Contador guardado en localStorage bajo 'sonepar_presupuesto_contador'. Se lee, incrementa y guarda en cada llamada a la API. Formato construido con new Date() para año y mes, y padStart(3,'0') para el número correlativo. La fecha de emisión usa toLocaleDateString('es-ES').</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Exportación PDF</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Impresión limpia del presupuesto con window.print()</w:t>
            </w:r>
          </w:p>
          <w:p>
            <w:pPr>
              <w:spacing w:before="40"/>
            </w:pPr>
            <w:r>
              <w:rPr>
                <w:rFonts w:ascii="Arial" w:cs="Arial" w:eastAsia="Arial" w:hAnsi="Arial"/>
                <w:i/>
                <w:iCs/>
                <w:color w:val="555555"/>
                <w:sz w:val="17"/>
                <w:szCs w:val="17"/>
              </w:rPr>
              <w:t xml:space="preserve">Botón con clase 'no-print'. Reglas @media print en bloque &lt;style&gt; del componente: display:none en todos los elementos .no-print (header, navegación, botones, formularios). El bloque de resultado se imprime con fondo blanco y tipografía Arial. Probado en Chrome y Edge.</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Copiar resumen</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Texto plano del presupuesto copiado al portapapeles con un clic</w:t>
            </w:r>
          </w:p>
          <w:p>
            <w:pPr>
              <w:spacing w:before="40"/>
            </w:pPr>
            <w:r>
              <w:rPr>
                <w:rFonts w:ascii="Arial" w:cs="Arial" w:eastAsia="Arial" w:hAnsi="Arial"/>
                <w:i/>
                <w:iCs/>
                <w:color w:val="555555"/>
                <w:sz w:val="17"/>
                <w:szCs w:val="17"/>
              </w:rPr>
              <w:t xml:space="preserve">navigator.clipboard.writeText() con string construido: número, fecha, instalador, cliente, listado de partidas con importes, total con IVA y disclaimer. Confirmación con toast de 2500ms. Formato optimizado para pegar en WhatsApp o email.</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Historial de presupuestos</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Hasta 20 presupuestos guardados y consultables entre sesiones</w:t>
            </w:r>
          </w:p>
          <w:p>
            <w:pPr>
              <w:spacing w:before="40"/>
            </w:pPr>
            <w:r>
              <w:rPr>
                <w:rFonts w:ascii="Arial" w:cs="Arial" w:eastAsia="Arial" w:hAnsi="Arial"/>
                <w:i/>
                <w:iCs/>
                <w:color w:val="555555"/>
                <w:sz w:val="17"/>
                <w:szCs w:val="17"/>
              </w:rPr>
              <w:t xml:space="preserve">Array en localStorage bajo 'sonepar_historial_presupuestos'. Cada entrada: {numero, fecha, tipo_instalacion, total_con_iva}. Al superar 20 entradas se elimina la más antigua con slice(-20). Panel colapsable en el paso 1 con lista de entradas. Click en entrada recupera el resultado completo.</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Datos cliente ampliados</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Campos de teléfono y email añadidos al formulario del cliente</w:t>
            </w:r>
          </w:p>
          <w:p>
            <w:pPr>
              <w:spacing w:before="40"/>
            </w:pPr>
            <w:r>
              <w:rPr>
                <w:rFonts w:ascii="Arial" w:cs="Arial" w:eastAsia="Arial" w:hAnsi="Arial"/>
                <w:i/>
                <w:iCs/>
                <w:color w:val="555555"/>
                <w:sz w:val="17"/>
                <w:szCs w:val="17"/>
              </w:rPr>
              <w:t xml:space="preserve">Dos campos adicionales en el objeto de estado del cliente. Se renderizan en la cabecera del presupuesto junto al nombre. Opcionales — no bloquean la validación si están vacíos.</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Botón cargar ejemplo</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Rellena todos los parámetros del paso 2 con valores representativos</w:t>
            </w:r>
          </w:p>
          <w:p>
            <w:pPr>
              <w:spacing w:before="40"/>
            </w:pPr>
            <w:r>
              <w:rPr>
                <w:rFonts w:ascii="Arial" w:cs="Arial" w:eastAsia="Arial" w:hAnsi="Arial"/>
                <w:i/>
                <w:iCs/>
                <w:color w:val="555555"/>
                <w:sz w:val="17"/>
                <w:szCs w:val="17"/>
              </w:rPr>
              <w:t xml:space="preserve">Objeto de ejemplos por tipo de instalación hardcodeado. Click sobreescribe el estado del formulario con los valores de ejemplo. Permite al usuario entender qué se espera en cada campo sin tener que leer instrucciones.</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Validación de campos</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Verificación antes de llamar a la API con toast de error específico</w:t>
            </w:r>
          </w:p>
          <w:p>
            <w:pPr>
              <w:spacing w:before="40"/>
            </w:pPr>
            <w:r>
              <w:rPr>
                <w:rFonts w:ascii="Arial" w:cs="Arial" w:eastAsia="Arial" w:hAnsi="Arial"/>
                <w:i/>
                <w:iCs/>
                <w:color w:val="555555"/>
                <w:sz w:val="17"/>
                <w:szCs w:val="17"/>
              </w:rPr>
              <w:t xml:space="preserve">Función validateFields() recorre el objeto de parámetros y verifica que ningún campo obligatorio está vacío o es cero. Devuelve el nombre del primer campo inválido. Toast de error con el texto 'Campo requerido: [nombre del campo]'. La llamada a la API no se ejecuta hasta que la validación pasa.</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Disclaimer visible</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Aviso permanente de precios orientativos en el resultado</w:t>
            </w:r>
          </w:p>
          <w:p>
            <w:pPr>
              <w:spacing w:before="40"/>
            </w:pPr>
            <w:r>
              <w:rPr>
                <w:rFonts w:ascii="Arial" w:cs="Arial" w:eastAsia="Arial" w:hAnsi="Arial"/>
                <w:i/>
                <w:iCs/>
                <w:color w:val="555555"/>
                <w:sz w:val="17"/>
                <w:szCs w:val="17"/>
              </w:rPr>
              <w:t xml:space="preserve">Párrafo fijo bajo la tabla de partidas con fondo amarillo claro y borde izquierdo naranja. Texto: 'Precios orientativos generados con IA. Verificar disponibilidad y precios reales con Sonepar antes de presentar este presupuesto al cliente.' Visible sin scroll en el resultado.</w:t>
            </w:r>
          </w:p>
        </w:tc>
      </w:tr>
      <w:tr>
        <w:tc>
          <w:tcPr>
            <w:tcW w:type="dxa" w:w="1400"/>
            <w:tcBorders>
              <w:top w:val="single" w:color="1A3A6A" w:sz="6"/>
              <w:left w:val="single" w:color="1A3A6A" w:sz="6"/>
              <w:bottom w:val="single" w:color="1A3A6A" w:sz="6"/>
              <w:right w:val="single" w:color="1A3A6A" w:sz="6"/>
            </w:tcBorders>
            <w:shd w:fill="1A3A6A"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MEJORA</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Desglose IVA</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Total desglosado en tres líneas: subtotal, IVA 21% e importe final</w:t>
            </w:r>
          </w:p>
          <w:p>
            <w:pPr>
              <w:spacing w:before="40"/>
            </w:pPr>
            <w:r>
              <w:rPr>
                <w:rFonts w:ascii="Arial" w:cs="Arial" w:eastAsia="Arial" w:hAnsi="Arial"/>
                <w:i/>
                <w:iCs/>
                <w:color w:val="555555"/>
                <w:sz w:val="17"/>
                <w:szCs w:val="17"/>
              </w:rPr>
              <w:t xml:space="preserve">En v1 solo aparecía el total final. En v2 se muestran tres filas diferenciadas: subtotal material + mano de obra, importe IVA (subtotal * 0.21), y total con IVA. Formato con toLocaleString('es-ES') para separador de miles.</w:t>
            </w:r>
          </w:p>
        </w:tc>
      </w:tr>
      <w:tr>
        <w:tc>
          <w:tcPr>
            <w:tcW w:type="dxa" w:w="1400"/>
            <w:tcBorders>
              <w:top w:val="single" w:color="1A3A6A" w:sz="6"/>
              <w:left w:val="single" w:color="1A3A6A" w:sz="6"/>
              <w:bottom w:val="single" w:color="1A3A6A" w:sz="6"/>
              <w:right w:val="single" w:color="1A3A6A" w:sz="6"/>
            </w:tcBorders>
            <w:shd w:fill="1A3A6A"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MEJORA</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Normativas en tabla</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Columna de normativa aplicable añadida a cada partida en el resultado</w:t>
            </w:r>
          </w:p>
          <w:p>
            <w:pPr>
              <w:spacing w:before="40"/>
            </w:pPr>
            <w:r>
              <w:rPr>
                <w:rFonts w:ascii="Arial" w:cs="Arial" w:eastAsia="Arial" w:hAnsi="Arial"/>
                <w:i/>
                <w:iCs/>
                <w:color w:val="555555"/>
                <w:sz w:val="17"/>
                <w:szCs w:val="17"/>
              </w:rPr>
              <w:t xml:space="preserve">El schema JSON del prompt incluye ahora el campo 'norma' en cada partida. Se renderiza como tercera columna en la tabla de partidas. Ejemplos: REBT ITC-BT-47, IEC 60947-4-1, UNE-EN 61439.</w:t>
            </w:r>
          </w:p>
        </w:tc>
      </w:tr>
      <w:tr>
        <w:tc>
          <w:tcPr>
            <w:tcW w:type="dxa" w:w="1400"/>
            <w:tcBorders>
              <w:top w:val="single" w:color="1A3A6A" w:sz="6"/>
              <w:left w:val="single" w:color="1A3A6A" w:sz="6"/>
              <w:bottom w:val="single" w:color="1A3A6A" w:sz="6"/>
              <w:right w:val="single" w:color="1A3A6A" w:sz="6"/>
            </w:tcBorders>
            <w:shd w:fill="1A3A6A"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MEJORA</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Cabecera del presupuesto</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Cabecera del documento con datos completos de instalador y cliente en dos columnas</w:t>
            </w:r>
          </w:p>
          <w:p>
            <w:pPr>
              <w:spacing w:before="40"/>
            </w:pPr>
            <w:r>
              <w:rPr>
                <w:rFonts w:ascii="Arial" w:cs="Arial" w:eastAsia="Arial" w:hAnsi="Arial"/>
                <w:i/>
                <w:iCs/>
                <w:color w:val="555555"/>
                <w:sz w:val="17"/>
                <w:szCs w:val="17"/>
              </w:rPr>
              <w:t xml:space="preserve">Layout de dos columnas en el resultado: columna izquierda con datos del instalador (nombre, empresa, CIF, contacto), columna derecha con datos del cliente y número/fecha del presupuesto. Visible tanto en pantalla como en el PDF impreso.</w:t>
            </w:r>
          </w:p>
        </w:tc>
      </w:tr>
    </w:tbl>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Compatibilidad y dependencias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Aspecto</w:t>
            </w:r>
          </w:p>
        </w:tc>
        <w:tc>
          <w:tcPr>
            <w:tcW w:type="dxa" w:w="60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Detalle</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API Anthropic</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Sin cambios. Mismo endpoint, mismo modelo, max_tokens: 1000. El prompt se extiende con los datos del instalador.</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localStorage — claves nuevas</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'sonepar_instalador', 'sonepar_presupuesto_contador', 'sonepar_historial_presupuestos'</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localStorage — claves v1</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No había claves en v1. Sin conflictos de migración.</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window.print()</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Sin dependencias externas. Requiere entorno con acceso al DOM de impresión (navegador real).</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navigator.clipboard</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Requiere HTTPS o localhost. En entornos sin clipboard API el botón falla silenciosamente con try/catch.</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Compatibilidad con v1</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El JSX v2 reemplaza completamente al v1. Archivo independiente: sonepar-generador-presupuestos-v2.jsx</w:t>
            </w:r>
          </w:p>
        </w:tc>
      </w:tr>
    </w:tbl>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Pendiente para v3.0</w:t>
      </w:r>
    </w:p>
    <w:p>
      <w:pPr>
        <w:pStyle w:val="ListParagraph"/>
        <w:numPr>
          <w:ilvl w:val="0"/>
          <w:numId w:val="2"/>
        </w:numPr>
        <w:spacing w:before="50" w:after="50"/>
      </w:pPr>
      <w:r>
        <w:rPr>
          <w:rFonts w:ascii="Arial" w:cs="Arial" w:eastAsia="Arial" w:hAnsi="Arial"/>
          <w:b/>
          <w:bCs/>
          <w:color w:val="1A1A2E"/>
          <w:sz w:val="19"/>
          <w:szCs w:val="19"/>
        </w:rPr>
        <w:t xml:space="preserve">Logo del instalador: </w:t>
      </w:r>
      <w:r>
        <w:rPr>
          <w:rFonts w:ascii="Arial" w:cs="Arial" w:eastAsia="Arial" w:hAnsi="Arial"/>
          <w:color w:val="555555"/>
          <w:sz w:val="19"/>
          <w:szCs w:val="19"/>
        </w:rPr>
        <w:t xml:space="preserve">Subida de imagen al componente e inclusión en la cabecera del PDF.</w:t>
      </w:r>
    </w:p>
    <w:p>
      <w:pPr>
        <w:pStyle w:val="ListParagraph"/>
        <w:numPr>
          <w:ilvl w:val="0"/>
          <w:numId w:val="2"/>
        </w:numPr>
        <w:spacing w:before="50" w:after="50"/>
      </w:pPr>
      <w:r>
        <w:rPr>
          <w:rFonts w:ascii="Arial" w:cs="Arial" w:eastAsia="Arial" w:hAnsi="Arial"/>
          <w:b/>
          <w:bCs/>
          <w:color w:val="1A1A2E"/>
          <w:sz w:val="19"/>
          <w:szCs w:val="19"/>
        </w:rPr>
        <w:t xml:space="preserve">Partidas manuales: </w:t>
      </w:r>
      <w:r>
        <w:rPr>
          <w:rFonts w:ascii="Arial" w:cs="Arial" w:eastAsia="Arial" w:hAnsi="Arial"/>
          <w:color w:val="555555"/>
          <w:sz w:val="19"/>
          <w:szCs w:val="19"/>
        </w:rPr>
        <w:t xml:space="preserve">Posibilidad de añadir líneas de coste propias al presupuesto generado por la IA.</w:t>
      </w:r>
    </w:p>
    <w:p>
      <w:pPr>
        <w:pStyle w:val="ListParagraph"/>
        <w:numPr>
          <w:ilvl w:val="0"/>
          <w:numId w:val="2"/>
        </w:numPr>
        <w:spacing w:before="50" w:after="50"/>
      </w:pPr>
      <w:r>
        <w:rPr>
          <w:rFonts w:ascii="Arial" w:cs="Arial" w:eastAsia="Arial" w:hAnsi="Arial"/>
          <w:b/>
          <w:bCs/>
          <w:color w:val="1A1A2E"/>
          <w:sz w:val="19"/>
          <w:szCs w:val="19"/>
        </w:rPr>
        <w:t xml:space="preserve">Condiciones de pago: </w:t>
      </w:r>
      <w:r>
        <w:rPr>
          <w:rFonts w:ascii="Arial" w:cs="Arial" w:eastAsia="Arial" w:hAnsi="Arial"/>
          <w:color w:val="555555"/>
          <w:sz w:val="19"/>
          <w:szCs w:val="19"/>
        </w:rPr>
        <w:t xml:space="preserve">Campo de plazo: contado / 30 / 60 / 90 días, visible en el documento.</w:t>
      </w:r>
    </w:p>
    <w:p>
      <w:pPr>
        <w:pStyle w:val="ListParagraph"/>
        <w:numPr>
          <w:ilvl w:val="0"/>
          <w:numId w:val="2"/>
        </w:numPr>
        <w:spacing w:before="50" w:after="50"/>
      </w:pPr>
      <w:r>
        <w:rPr>
          <w:rFonts w:ascii="Arial" w:cs="Arial" w:eastAsia="Arial" w:hAnsi="Arial"/>
          <w:b/>
          <w:bCs/>
          <w:color w:val="1A1A2E"/>
          <w:sz w:val="19"/>
          <w:szCs w:val="19"/>
        </w:rPr>
        <w:t xml:space="preserve">Precios base fijos: </w:t>
      </w:r>
      <w:r>
        <w:rPr>
          <w:rFonts w:ascii="Arial" w:cs="Arial" w:eastAsia="Arial" w:hAnsi="Arial"/>
          <w:color w:val="555555"/>
          <w:sz w:val="19"/>
          <w:szCs w:val="19"/>
        </w:rPr>
        <w:t xml:space="preserve">Tabla de precios de referencia por categoría para dar coherencia entre presupuestos similares.</w:t>
      </w:r>
    </w:p>
    <w:p>
      <w:pPr>
        <w:pStyle w:val="ListParagraph"/>
        <w:numPr>
          <w:ilvl w:val="0"/>
          <w:numId w:val="2"/>
        </w:numPr>
        <w:spacing w:before="50" w:after="50"/>
      </w:pPr>
      <w:r>
        <w:rPr>
          <w:rFonts w:ascii="Arial" w:cs="Arial" w:eastAsia="Arial" w:hAnsi="Arial"/>
          <w:b/>
          <w:bCs/>
          <w:color w:val="1A1A2E"/>
          <w:sz w:val="19"/>
          <w:szCs w:val="19"/>
        </w:rPr>
        <w:t xml:space="preserve">Comparativa de dos presupuestos: </w:t>
      </w:r>
      <w:r>
        <w:rPr>
          <w:rFonts w:ascii="Arial" w:cs="Arial" w:eastAsia="Arial" w:hAnsi="Arial"/>
          <w:color w:val="555555"/>
          <w:sz w:val="19"/>
          <w:szCs w:val="19"/>
        </w:rPr>
        <w:t xml:space="preserve">Vista lado a lado de dos presupuestos del historial.</w:t>
      </w:r>
    </w:p>
    <w:p>
      <w:pPr>
        <w:pBdr>
          <w:bottom w:val="single" w:color="E0DBD4" w:sz="2" w:space="1"/>
        </w:pBdr>
        <w:spacing w:before="220" w:after="220"/>
      </w:pPr>
      <w:r>
        <w:t xml:space="preserve"/>
      </w:r>
    </w:p>
    <w:p>
      <w:pPr>
        <w:spacing w:before="0" w:after="0"/>
      </w:pPr>
      <w:r>
        <w:rPr>
          <w:rFonts w:ascii="Arial" w:cs="Arial" w:eastAsia="Arial" w:hAnsi="Arial"/>
          <w:i/>
          <w:iCs/>
          <w:color w:val="999999"/>
          <w:sz w:val="17"/>
          <w:szCs w:val="17"/>
        </w:rPr>
        <w:t xml:space="preserve">Sonepar Tools · Iago Robo · Prácticas Sonepar A Coruña 2026 · presupuestos/</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2026-03-07T05:55:22.312Z</dcterms:created>
  <dcterms:modified xsi:type="dcterms:W3CDTF">2026-03-07T05:55:22.312Z</dcterms:modified>
</cp:coreProperties>
</file>

<file path=docProps/custom.xml><?xml version="1.0" encoding="utf-8"?>
<Properties xmlns="http://schemas.openxmlformats.org/officeDocument/2006/custom-properties" xmlns:vt="http://schemas.openxmlformats.org/officeDocument/2006/docPropsVTypes"/>
</file>