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SONEPAR TOOLS  ·  CHANGELOG</w:t>
      </w:r>
    </w:p>
    <w:p>
      <w:pPr>
        <w:spacing w:before="0" w:after="1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Menú Principal — App.jsx</w:t>
      </w:r>
    </w:p>
    <w:p>
      <w:pPr>
        <w:pBdr>
          <w:bottom w:val="single" w:color="4A7AB5" w:sz="12" w:space="6"/>
        </w:pBdr>
        <w:spacing w:before="0" w:after="30"/>
      </w:pPr>
      <w:r>
        <w:rPr>
          <w:rFonts w:ascii="Arial" w:cs="Arial" w:eastAsia="Arial" w:hAnsi="Arial"/>
          <w:b/>
          <w:bCs/>
          <w:color w:val="4A7AB5"/>
          <w:sz w:val="26"/>
          <w:szCs w:val="26"/>
        </w:rPr>
        <w:t xml:space="preserve">v1.0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·  Marzo 2026  ·  Iago Robo  ·  app/src/App.jsx</w:t>
      </w:r>
    </w:p>
    <w:p>
      <w:pPr>
        <w:spacing w:before="26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Contexto de creación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El App.jsx v1 se creó como punto de entrada del proyecto Vite para agrupar las 7 herramientas en una sola URL desplegable en Vercel. Antes de este archivo cada herramienta era un artefacto independiente sin punto de acceso común. El objetivo de v1 era funcional: que las 7 herramientas fueran accesibles desde un mismo sitio, sin priorizar el diseño del menú.</w:t>
      </w:r>
    </w:p>
    <w:p>
      <w:pPr>
        <w:spacing w:before="26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Funcionalidad de v1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Navegación entre herramientas: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Estado 'activa' con el id de la herramienta seleccionada. Si activa es null se muestra el menú, si tiene valor se renderiza el componente correspondiente.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Array HERRAMIENTAS: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7 objetos con id, número, nombre, descripción corta, color, acento y referencia al componente importado.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Grid de tarjetas: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Grid CSS con gridTemplateColumns auto-fill minmax(300px, 1fr). Tarjetas con fondo oscuro, borde izquierdo de color y hover básico.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Barra de retorno: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Franja oscura de 36px de alto con texto '← SONEPAR TOOLS' en color gris sin estilos de botón. No tenía borde ni fondo propio que lo identificase como elemento clicable.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Header del menú: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Título 'SONEPAR TOOLS' en 42px, subtítulo con versión y número de herramientas. Sin logo ni identificación de delegación.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Footer: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Dos líneas de texto en color muy oscuro (#1a1a2e) casi invisible: créditos del autor y mención a Anthropic.</w:t>
      </w:r>
    </w:p>
    <w:p>
      <w:pPr>
        <w:spacing w:before="26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Limitaciones identificadas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Barra de retorno no reconocible: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El elemento de volver al menú no parecía un botón. No tenía borde, fondo ni hover. Varios usuarios de prueba no lo identificaron como acción clicable.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Descripciones insuficientes: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Una sola línea de descripción por herramienta no comunicaba el caso de uso ni quién debía usarla.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Sin iconos: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Las tarjetas eran idénticas visualmente salvo por el color del borde izquierdo. Sin un elemento visual diferenciador por herramienta.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Botón de acción no visible: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Las tarjetas eran clicables pero no había ningún elemento visual (botón, flecha, CTA) que indicase que se podía pulsar para abrir la herramienta.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No responsive: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El grid no tenía breakpoints para pantallas pequeñas.</w:t>
      </w:r>
    </w:p>
    <w:p>
      <w:pPr>
        <w:pBdr>
          <w:bottom w:val="single" w:color="E0DBD4" w:sz="2" w:space="1"/>
        </w:pBdr>
        <w:spacing w:before="220" w:after="220"/>
      </w:pPr>
      <w:r>
        <w:t xml:space="preserve"/>
      </w:r>
    </w:p>
    <w:p>
      <w:pPr>
        <w:spacing w:before="0" w:after="0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Sonepar Tools · Iago Robo · Prácticas Sonepar A Coruña 2026 · app/src/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2026-03-07T19:01:11.705Z</dcterms:created>
  <dcterms:modified xsi:type="dcterms:W3CDTF">2026-03-07T19:01:11.706Z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