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PLAN</w:t>
      </w:r>
    </w:p>
    <w:p>
      <w:pPr>
        <w:spacing w:before="0" w:after="10"/>
      </w:pPr>
      <w:r>
        <w:rPr>
          <w:rFonts w:ascii="Arial" w:cs="Arial" w:eastAsia="Arial" w:hAnsi="Arial"/>
          <w:b/>
          <w:bCs/>
          <w:color w:val="1A1A2E"/>
          <w:sz w:val="40"/>
          <w:szCs w:val="40"/>
        </w:rPr>
        <w:t xml:space="preserve">Menú Principal — Rediseño UX</w:t>
      </w:r>
    </w:p>
    <w:p>
      <w:pPr>
        <w:pBdr>
          <w:bottom w:val="single" w:color="4A7AB5" w:sz="12" w:space="6"/>
        </w:pBdr>
        <w:spacing w:before="0" w:after="30"/>
      </w:pPr>
      <w:r>
        <w:rPr>
          <w:rFonts w:ascii="Arial" w:cs="Arial" w:eastAsia="Arial" w:hAnsi="Arial"/>
          <w:b/>
          <w:bCs/>
          <w:color w:val="4A7AB5"/>
          <w:sz w:val="26"/>
          <w:szCs w:val="26"/>
        </w:rPr>
        <w:t xml:space="preserve">v3.0  </w:t>
      </w:r>
      <w:r>
        <w:rPr>
          <w:rFonts w:ascii="Arial" w:cs="Arial" w:eastAsia="Arial" w:hAnsi="Arial"/>
          <w:color w:val="999999"/>
          <w:sz w:val="20"/>
          <w:szCs w:val="20"/>
        </w:rPr>
        <w:t xml:space="preserve">·  Marzo 2026  ·  Iago Robo  ·  app/src/App.jsx</w:t>
      </w:r>
    </w:p>
    <w:p>
      <w:pPr>
        <w:spacing w:before="260" w:after="80"/>
      </w:pPr>
      <w:r>
        <w:rPr>
          <w:rFonts w:ascii="Arial" w:cs="Arial" w:eastAsia="Arial" w:hAnsi="Arial"/>
          <w:b/>
          <w:bCs/>
          <w:color w:val="1A1A2E"/>
          <w:sz w:val="22"/>
          <w:szCs w:val="22"/>
        </w:rPr>
        <w:t xml:space="preserve">Problema a resolver</w:t>
      </w:r>
    </w:p>
    <w:p>
      <w:pPr>
        <w:spacing w:before="60" w:after="80"/>
      </w:pPr>
      <w:r>
        <w:rPr>
          <w:rFonts w:ascii="Arial" w:cs="Arial" w:eastAsia="Arial" w:hAnsi="Arial"/>
          <w:color w:val="555555"/>
          <w:sz w:val="19"/>
          <w:szCs w:val="19"/>
        </w:rPr>
        <w:t xml:space="preserve">El menú actual (v2) no comunica bien qué hace cada herramienta ni que las tarjetas son clicables. El botón de volver al menú principal no parece un botón — es texto pequeño en una barra oscura que el usuario no identifica como acción. Para una presentación interna en Sonepar, el menú es la primera impresión y tiene que ser autoexplicativo sin necesidad de instrucciones.</w:t>
      </w:r>
    </w:p>
    <w:p>
      <w:pPr>
        <w:spacing w:before="260" w:after="80"/>
      </w:pPr>
      <w:r>
        <w:rPr>
          <w:rFonts w:ascii="Arial" w:cs="Arial" w:eastAsia="Arial" w:hAnsi="Arial"/>
          <w:b/>
          <w:bCs/>
          <w:color w:val="1A1A2E"/>
          <w:sz w:val="22"/>
          <w:szCs w:val="22"/>
        </w:rPr>
        <w:t xml:space="preserve">Cambios planificados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2A4A" w:sz="6"/>
              <w:left w:val="single" w:color="1A2A4A" w:sz="6"/>
              <w:bottom w:val="single" w:color="1A2A4A" w:sz="6"/>
              <w:right w:val="single" w:color="1A2A4A" w:sz="6"/>
            </w:tcBorders>
            <w:shd w:fill="1A2A4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Tarjetas del menú</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Rediseño completo de las tarjetas — icono grande, descripción ampliada y CTA claro</w:t>
            </w:r>
          </w:p>
          <w:p>
            <w:pPr>
              <w:spacing w:before="40"/>
            </w:pPr>
            <w:r>
              <w:rPr>
                <w:rFonts w:ascii="Arial" w:cs="Arial" w:eastAsia="Arial" w:hAnsi="Arial"/>
                <w:i/>
                <w:iCs/>
                <w:color w:val="555555"/>
                <w:sz w:val="17"/>
                <w:szCs w:val="17"/>
              </w:rPr>
              <w:t xml:space="preserve">Cada tarjeta muestra: icono grande (emoji SVG o símbolo), número de herramienta, nombre en grande, descripción de 2 frases explicando el caso de uso concreto, badge de versión y un botón/CTA visible 'ABRIR →'. El hover cambia el fondo y hace el borde izquierdo más visible. La tarjeta entera es clicable pero el botón deja claro que es una acción.</w:t>
            </w:r>
          </w:p>
        </w:tc>
      </w:tr>
      <w:tr>
        <w:tc>
          <w:tcPr>
            <w:tcW w:type="dxa" w:w="1400"/>
            <w:tcBorders>
              <w:top w:val="single" w:color="1A2A4A" w:sz="6"/>
              <w:left w:val="single" w:color="1A2A4A" w:sz="6"/>
              <w:bottom w:val="single" w:color="1A2A4A" w:sz="6"/>
              <w:right w:val="single" w:color="1A2A4A" w:sz="6"/>
            </w:tcBorders>
            <w:shd w:fill="1A2A4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Layout del menú</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Grid responsive con tarjetas más grandes y mejor uso del espacio</w:t>
            </w:r>
          </w:p>
          <w:p>
            <w:pPr>
              <w:spacing w:before="40"/>
            </w:pPr>
            <w:r>
              <w:rPr>
                <w:rFonts w:ascii="Arial" w:cs="Arial" w:eastAsia="Arial" w:hAnsi="Arial"/>
                <w:i/>
                <w:iCs/>
                <w:color w:val="555555"/>
                <w:sz w:val="17"/>
                <w:szCs w:val="17"/>
              </w:rPr>
              <w:t xml:space="preserve">Grid de 3 columnas en escritorio, 2 en tablet, 1 en móvil con media queries. Tarjetas con altura mínima para que todas sean iguales. Padding generoso dentro de cada tarjeta. El header del menú ocupa menos espacio vertical para que las tarjetas sean lo primero que se ve.</w:t>
            </w:r>
          </w:p>
        </w:tc>
      </w:tr>
      <w:tr>
        <w:tc>
          <w:tcPr>
            <w:tcW w:type="dxa" w:w="1400"/>
            <w:tcBorders>
              <w:top w:val="single" w:color="1A2A4A" w:sz="6"/>
              <w:left w:val="single" w:color="1A2A4A" w:sz="6"/>
              <w:bottom w:val="single" w:color="1A2A4A" w:sz="6"/>
              <w:right w:val="single" w:color="1A2A4A" w:sz="6"/>
            </w:tcBorders>
            <w:shd w:fill="1A2A4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Barra de retorno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Botón de volver al menú principal visible y claramente identificado como botón</w:t>
            </w:r>
          </w:p>
          <w:p>
            <w:pPr>
              <w:spacing w:before="40"/>
            </w:pPr>
            <w:r>
              <w:rPr>
                <w:rFonts w:ascii="Arial" w:cs="Arial" w:eastAsia="Arial" w:hAnsi="Arial"/>
                <w:i/>
                <w:iCs/>
                <w:color w:val="555555"/>
                <w:sz w:val="17"/>
                <w:szCs w:val="17"/>
              </w:rPr>
              <w:t xml:space="preserve">La barra superior al abrir una herramienta pasa de ser una franja oscura con texto pequeño a tener un botón con fondo, borde y texto '← MENÚ PRINCIPAL' claramente visible. Se añade separador visual entre el botón de volver y el nombre de la herramienta activa. El botón tiene hover state.</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Iconos por herramienta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Cada herramienta tiene un icono representativo visible en la tarjeta del menú</w:t>
            </w:r>
          </w:p>
          <w:p>
            <w:pPr>
              <w:spacing w:before="40"/>
            </w:pPr>
            <w:r>
              <w:rPr>
                <w:rFonts w:ascii="Arial" w:cs="Arial" w:eastAsia="Arial" w:hAnsi="Arial"/>
                <w:i/>
                <w:iCs/>
                <w:color w:val="555555"/>
                <w:sz w:val="17"/>
                <w:szCs w:val="17"/>
              </w:rPr>
              <w:t xml:space="preserve">Iconos con emoji o símbolo grande (40-48px) en la parte superior de cada tarjeta: 📦 Simulador, 🔍 Fichas Técnicas, ⚠️ Incidencias, 📊 KPIs, 📋 Presupuestos, 🎓 Formación, 💬 SONEX. Fondo circular con el color acento de cada herramienta para crear identidad visual.</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Descripción de caso de uso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Cada tarjeta explica en lenguaje concreto para qué sirve y quién la usa</w:t>
            </w:r>
          </w:p>
          <w:p>
            <w:pPr>
              <w:spacing w:before="40"/>
            </w:pPr>
            <w:r>
              <w:rPr>
                <w:rFonts w:ascii="Arial" w:cs="Arial" w:eastAsia="Arial" w:hAnsi="Arial"/>
                <w:i/>
                <w:iCs/>
                <w:color w:val="555555"/>
                <w:sz w:val="17"/>
                <w:szCs w:val="17"/>
              </w:rPr>
              <w:t xml:space="preserve">Descripción de 2 frases por herramienta: la primera explica qué hace, la segunda explica quién la usa (operario, técnico de mostrador, responsable). Ejemplo: 'Simula el ciclo completo de un pedido con cronómetro por etapa. Para formación de operarios y análisis de tiempos de proceso.'</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Criterios de validación</w:t>
      </w:r>
    </w:p>
    <w:p>
      <w:pPr>
        <w:pStyle w:val="ListParagraph"/>
        <w:numPr>
          <w:ilvl w:val="0"/>
          <w:numId w:val="2"/>
        </w:numPr>
        <w:spacing w:before="50" w:after="50"/>
      </w:pPr>
      <w:r>
        <w:rPr>
          <w:rFonts w:ascii="Arial" w:cs="Arial" w:eastAsia="Arial" w:hAnsi="Arial"/>
          <w:b/>
          <w:bCs/>
          <w:color w:val="1A1A2E"/>
          <w:sz w:val="19"/>
          <w:szCs w:val="19"/>
        </w:rPr>
        <w:t xml:space="preserve">Intuitividad: </w:t>
      </w:r>
      <w:r>
        <w:rPr>
          <w:rFonts w:ascii="Arial" w:cs="Arial" w:eastAsia="Arial" w:hAnsi="Arial"/>
          <w:color w:val="555555"/>
          <w:sz w:val="19"/>
          <w:szCs w:val="19"/>
        </w:rPr>
        <w:t xml:space="preserve">Un usuario que no haya visto la herramienta antes entiende qué hace cada tarjeta solo con leer la descripción.</w:t>
      </w:r>
    </w:p>
    <w:p>
      <w:pPr>
        <w:pStyle w:val="ListParagraph"/>
        <w:numPr>
          <w:ilvl w:val="0"/>
          <w:numId w:val="2"/>
        </w:numPr>
        <w:spacing w:before="50" w:after="50"/>
      </w:pPr>
      <w:r>
        <w:rPr>
          <w:rFonts w:ascii="Arial" w:cs="Arial" w:eastAsia="Arial" w:hAnsi="Arial"/>
          <w:b/>
          <w:bCs/>
          <w:color w:val="1A1A2E"/>
          <w:sz w:val="19"/>
          <w:szCs w:val="19"/>
        </w:rPr>
        <w:t xml:space="preserve">Claridad del CTA: </w:t>
      </w:r>
      <w:r>
        <w:rPr>
          <w:rFonts w:ascii="Arial" w:cs="Arial" w:eastAsia="Arial" w:hAnsi="Arial"/>
          <w:color w:val="555555"/>
          <w:sz w:val="19"/>
          <w:szCs w:val="19"/>
        </w:rPr>
        <w:t xml:space="preserve">El botón de abrir cada herramienta es visualmente identificable como botón.</w:t>
      </w:r>
    </w:p>
    <w:p>
      <w:pPr>
        <w:pStyle w:val="ListParagraph"/>
        <w:numPr>
          <w:ilvl w:val="0"/>
          <w:numId w:val="2"/>
        </w:numPr>
        <w:spacing w:before="50" w:after="50"/>
      </w:pPr>
      <w:r>
        <w:rPr>
          <w:rFonts w:ascii="Arial" w:cs="Arial" w:eastAsia="Arial" w:hAnsi="Arial"/>
          <w:b/>
          <w:bCs/>
          <w:color w:val="1A1A2E"/>
          <w:sz w:val="19"/>
          <w:szCs w:val="19"/>
        </w:rPr>
        <w:t xml:space="preserve">Retorno visible: </w:t>
      </w:r>
      <w:r>
        <w:rPr>
          <w:rFonts w:ascii="Arial" w:cs="Arial" w:eastAsia="Arial" w:hAnsi="Arial"/>
          <w:color w:val="555555"/>
          <w:sz w:val="19"/>
          <w:szCs w:val="19"/>
        </w:rPr>
        <w:t xml:space="preserve">El botón de volver al menú es lo primero que se ve al entrar en cualquier herramienta.</w:t>
      </w:r>
    </w:p>
    <w:p>
      <w:pPr>
        <w:pStyle w:val="ListParagraph"/>
        <w:numPr>
          <w:ilvl w:val="0"/>
          <w:numId w:val="2"/>
        </w:numPr>
        <w:spacing w:before="50" w:after="50"/>
      </w:pPr>
      <w:r>
        <w:rPr>
          <w:rFonts w:ascii="Arial" w:cs="Arial" w:eastAsia="Arial" w:hAnsi="Arial"/>
          <w:b/>
          <w:bCs/>
          <w:color w:val="1A1A2E"/>
          <w:sz w:val="19"/>
          <w:szCs w:val="19"/>
        </w:rPr>
        <w:t xml:space="preserve">Coherencia visual: </w:t>
      </w:r>
      <w:r>
        <w:rPr>
          <w:rFonts w:ascii="Arial" w:cs="Arial" w:eastAsia="Arial" w:hAnsi="Arial"/>
          <w:color w:val="555555"/>
          <w:sz w:val="19"/>
          <w:szCs w:val="19"/>
        </w:rPr>
        <w:t xml:space="preserve">El estilo del menú es coherente con el estilo interior de las herramientas (misma tipografía, paleta oscura).</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app/src/App.jsx</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2026-03-07T17:19:33.739Z</dcterms:created>
  <dcterms:modified xsi:type="dcterms:W3CDTF">2026-03-07T17:19:33.740Z</dcterms:modified>
</cp:coreProperties>
</file>

<file path=docProps/custom.xml><?xml version="1.0" encoding="utf-8"?>
<Properties xmlns="http://schemas.openxmlformats.org/officeDocument/2006/custom-properties" xmlns:vt="http://schemas.openxmlformats.org/officeDocument/2006/docPropsVTypes"/>
</file>