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val="false"/>
          <w:bCs w:val="false"/>
          <w:i w:val="false"/>
          <w:iCs w:val="false"/>
          <w:caps w:val="false"/>
          <w:color w:val="999999"/>
          <w:sz w:val="20"/>
          <w:szCs w:val="20"/>
        </w:rPr>
        <w:t xml:space="preserve">SONEPAR TOOLS — SONEX · PLAN</w:t>
      </w:r>
    </w:p>
    <w:p>
      <w:pPr>
        <w:pBdr>
          <w:bottom w:val="single" w:color="4A7AB5" w:sz="12" w:space="6"/>
        </w:pBdr>
        <w:spacing w:before="0" w:after="10"/>
      </w:pPr>
      <w:r>
        <w:rPr>
          <w:rFonts w:ascii="Arial" w:cs="Arial" w:eastAsia="Arial" w:hAnsi="Arial"/>
          <w:b/>
          <w:bCs/>
          <w:i w:val="false"/>
          <w:iCs w:val="false"/>
          <w:caps w:val="false"/>
          <w:color w:val="1A1A2E"/>
          <w:sz w:val="38"/>
          <w:szCs w:val="38"/>
        </w:rPr>
        <w:t xml:space="preserve">SONEX v5.0 — Base de Conocimiento y Formato</w:t>
      </w:r>
    </w:p>
    <w:p>
      <w:pPr>
        <w:spacing w:before="8" w:after="40"/>
      </w:pPr>
      <w:r>
        <w:rPr>
          <w:rFonts w:ascii="Arial" w:cs="Arial" w:eastAsia="Arial" w:hAnsi="Arial"/>
          <w:b w:val="false"/>
          <w:bCs w:val="false"/>
          <w:i w:val="false"/>
          <w:iCs w:val="false"/>
          <w:caps w:val="false"/>
          <w:color w:val="999999"/>
          <w:sz w:val="18"/>
          <w:szCs w:val="18"/>
        </w:rPr>
        <w:t xml:space="preserve">Marzo 2026  ·  Iago Robo  ·  chatbot-tecnico/sonepar-chatbot-tecnico-v5.jsx</w:t>
      </w:r>
    </w:p>
    <w:p>
      <w:pPr>
        <w:spacing w:before="260" w:after="80"/>
      </w:pPr>
      <w:r>
        <w:rPr>
          <w:rFonts w:ascii="Arial" w:cs="Arial" w:eastAsia="Arial" w:hAnsi="Arial"/>
          <w:b/>
          <w:bCs/>
          <w:i w:val="false"/>
          <w:iCs w:val="false"/>
          <w:caps w:val="false"/>
          <w:color w:val="1A1A2E"/>
          <w:sz w:val="24"/>
          <w:szCs w:val="24"/>
        </w:rPr>
        <w:t xml:space="preserve">Objetivo de v5</w:t>
      </w:r>
    </w:p>
    <w:p>
      <w:pPr>
        <w:spacing w:before="40" w:after="80"/>
      </w:pPr>
      <w:r>
        <w:rPr>
          <w:rFonts w:ascii="Arial" w:cs="Arial" w:eastAsia="Arial" w:hAnsi="Arial"/>
          <w:b w:val="false"/>
          <w:bCs w:val="false"/>
          <w:i w:val="false"/>
          <w:iCs w:val="false"/>
          <w:caps w:val="false"/>
          <w:color w:val="555555"/>
          <w:sz w:val="19"/>
          <w:szCs w:val="19"/>
        </w:rPr>
        <w:t xml:space="preserve">La v5 es el salto cualitativo más grande desde v3. Los cambios anteriores mejoraron la especialización (v3) y la utilidad operativa (v4). La v5 ataca el mayor límite actual de SONEX: no conoce el catálogo real de Sonepar. Con la base de conocimiento de producto, SONEX puede recomendar referencias reales del stock habitual de la delegación. Es la versión que más impacto tiene en ventas y en credibilidad ante el equipo comercial.</w:t>
      </w:r>
    </w:p>
    <w:p>
      <w:pPr>
        <w:spacing w:before="260" w:after="80"/>
      </w:pPr>
      <w:r>
        <w:rPr>
          <w:rFonts w:ascii="Arial" w:cs="Arial" w:eastAsia="Arial" w:hAnsi="Arial"/>
          <w:b/>
          <w:bCs/>
          <w:i w:val="false"/>
          <w:iCs w:val="false"/>
          <w:caps w:val="false"/>
          <w:color w:val="1A1A2E"/>
          <w:sz w:val="24"/>
          <w:szCs w:val="24"/>
        </w:rPr>
        <w:t xml:space="preserve">Cambios planificados — v4.0 → v5.0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426"/>
      </w:tblGrid>
      <w:tr>
        <w:tc>
          <w:tcPr>
            <w:tcW w:type="dxa" w:w="1500"/>
            <w:tcBorders>
              <w:top w:val="single" w:color="1A1A2E" w:sz="5"/>
              <w:left w:val="single" w:color="1A1A2E" w:sz="5"/>
              <w:bottom w:val="single" w:color="1A1A2E" w:sz="5"/>
              <w:right w:val="single" w:color="1A1A2E" w:sz="5"/>
            </w:tcBorders>
            <w:shd w:fill="1A1A2E" w:val="clear"/>
            <w:tcMar>
              <w:top w:type="dxa" w:w="80"/>
              <w:left w:type="dxa" w:w="150"/>
              <w:bottom w:type="dxa" w:w="80"/>
              <w:right w:type="dxa" w:w="150"/>
            </w:tcMar>
          </w:tcPr>
          <w:p>
            <w:r>
              <w:rPr>
                <w:rFonts w:ascii="Arial" w:cs="Arial" w:eastAsia="Arial" w:hAnsi="Arial"/>
                <w:b/>
                <w:bCs/>
                <w:i w:val="false"/>
                <w:iCs w:val="false"/>
                <w:caps/>
                <w:color w:val="FFFFFF"/>
                <w:sz w:val="17"/>
                <w:szCs w:val="17"/>
              </w:rPr>
              <w:t xml:space="preserve">Prioridad</w:t>
            </w:r>
          </w:p>
        </w:tc>
        <w:tc>
          <w:tcPr>
            <w:tcW w:type="dxa" w:w="2100"/>
            <w:tcBorders>
              <w:top w:val="single" w:color="1A1A2E" w:sz="5"/>
              <w:left w:val="single" w:color="1A1A2E" w:sz="5"/>
              <w:bottom w:val="single" w:color="1A1A2E" w:sz="5"/>
              <w:right w:val="single" w:color="1A1A2E" w:sz="5"/>
            </w:tcBorders>
            <w:shd w:fill="1A1A2E" w:val="clear"/>
            <w:tcMar>
              <w:top w:type="dxa" w:w="80"/>
              <w:left w:type="dxa" w:w="150"/>
              <w:bottom w:type="dxa" w:w="80"/>
              <w:right w:type="dxa" w:w="150"/>
            </w:tcMar>
          </w:tcPr>
          <w:p>
            <w:r>
              <w:rPr>
                <w:rFonts w:ascii="Arial" w:cs="Arial" w:eastAsia="Arial" w:hAnsi="Arial"/>
                <w:b/>
                <w:bCs/>
                <w:i w:val="false"/>
                <w:iCs w:val="false"/>
                <w:caps/>
                <w:color w:val="FFFFFF"/>
                <w:sz w:val="17"/>
                <w:szCs w:val="17"/>
              </w:rPr>
              <w:t xml:space="preserve">Funcionalidad</w:t>
            </w:r>
          </w:p>
        </w:tc>
        <w:tc>
          <w:tcPr>
            <w:tcW w:type="dxa" w:w="5426"/>
            <w:tcBorders>
              <w:top w:val="single" w:color="1A1A2E" w:sz="5"/>
              <w:left w:val="single" w:color="1A1A2E" w:sz="5"/>
              <w:bottom w:val="single" w:color="1A1A2E" w:sz="5"/>
              <w:right w:val="single" w:color="1A1A2E" w:sz="5"/>
            </w:tcBorders>
            <w:shd w:fill="1A1A2E" w:val="clear"/>
            <w:tcMar>
              <w:top w:type="dxa" w:w="80"/>
              <w:left w:type="dxa" w:w="150"/>
              <w:bottom w:type="dxa" w:w="80"/>
              <w:right w:type="dxa" w:w="150"/>
            </w:tcMar>
          </w:tcPr>
          <w:p>
            <w:r>
              <w:rPr>
                <w:rFonts w:ascii="Arial" w:cs="Arial" w:eastAsia="Arial" w:hAnsi="Arial"/>
                <w:b/>
                <w:bCs/>
                <w:i w:val="false"/>
                <w:iCs w:val="false"/>
                <w:caps/>
                <w:color w:val="FFFFFF"/>
                <w:sz w:val="17"/>
                <w:szCs w:val="17"/>
              </w:rPr>
              <w:t xml:space="preserve">Descripción y detalle técnico</w:t>
            </w:r>
          </w:p>
        </w:tc>
      </w:tr>
      <w:tr>
        <w:tc>
          <w:tcPr>
            <w:tcW w:type="dxa" w:w="1500"/>
            <w:tcBorders>
              <w:top w:val="single" w:color="C62828" w:sz="5"/>
              <w:left w:val="single" w:color="C62828" w:sz="5"/>
              <w:bottom w:val="single" w:color="C62828" w:sz="5"/>
              <w:right w:val="single" w:color="C62828" w:sz="5"/>
            </w:tcBorders>
            <w:shd w:fill="C62828"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CRÍTICO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Base de conocimiento de producto Sonepar</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Cargar un JSON de productos reales de Sonepar como contexto inyectado en el prompt</w:t>
            </w:r>
          </w:p>
          <w:p>
            <w:pPr>
              <w:spacing w:before="40"/>
            </w:pPr>
            <w:r>
              <w:rPr>
                <w:rFonts w:ascii="Arial" w:cs="Arial" w:eastAsia="Arial" w:hAnsi="Arial"/>
                <w:b w:val="false"/>
                <w:bCs w:val="false"/>
                <w:i/>
                <w:iCs/>
                <w:caps w:val="false"/>
                <w:color w:val="555555"/>
                <w:sz w:val="17"/>
                <w:szCs w:val="17"/>
              </w:rPr>
              <w:t xml:space="preserve">Crear un archivo productos.js con un array de 50-100 productos reales del catálogo de Sonepar A Coruña (los más vendidos por familia): referencia, descripción, características técnicas principales, marca, familia y precio orientativo de tarifa. Al detectar la familia de la consulta, inyectar los productos relevantes de esa familia al final del system prompt como contexto adicional. Así SONEX puede recomendar referencias reales del stock habitual de la delegación sin necesitar integración con el ERP. El archivo se actualiza manualmente cuando cambia el catálogo.</w:t>
            </w:r>
          </w:p>
        </w:tc>
      </w:tr>
      <w:tr>
        <w:tc>
          <w:tcPr>
            <w:tcW w:type="dxa" w:w="1500"/>
            <w:tcBorders>
              <w:top w:val="single" w:color="C62828" w:sz="5"/>
              <w:left w:val="single" w:color="C62828" w:sz="5"/>
              <w:bottom w:val="single" w:color="C62828" w:sz="5"/>
              <w:right w:val="single" w:color="C62828" w:sz="5"/>
            </w:tcBorders>
            <w:shd w:fill="C62828"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CRÍTICO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Modo comparativa de productos</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El usuario puede pedir comparar dos referencias y SONEX devuelve una tabla estructurada</w:t>
            </w:r>
          </w:p>
          <w:p>
            <w:pPr>
              <w:spacing w:before="40"/>
            </w:pPr>
            <w:r>
              <w:rPr>
                <w:rFonts w:ascii="Arial" w:cs="Arial" w:eastAsia="Arial" w:hAnsi="Arial"/>
                <w:b w:val="false"/>
                <w:bCs w:val="false"/>
                <w:i/>
                <w:iCs/>
                <w:caps w:val="false"/>
                <w:color w:val="555555"/>
                <w:sz w:val="17"/>
                <w:szCs w:val="17"/>
              </w:rPr>
              <w:t xml:space="preserve">Nuevo modo 'Comparativa' en el selector. El prompt de este modo instruye a SONEX para pedir las dos referencias, extraer sus características técnicas principales y devolver una tabla comparativa con: parámetro / producto A / producto B / ganador. Ideal para ayudar al cliente a elegir entre dos opciones que ya tiene en mente. Usar formato de texto con separadores ya que no se puede renderizar HTML en el chat.</w:t>
            </w:r>
          </w:p>
        </w:tc>
      </w:tr>
      <w:tr>
        <w:tc>
          <w:tcPr>
            <w:tcW w:type="dxa" w:w="1500"/>
            <w:tcBorders>
              <w:top w:val="single" w:color="4A7AB5" w:sz="5"/>
              <w:left w:val="single" w:color="4A7AB5" w:sz="5"/>
              <w:bottom w:val="single" w:color="4A7AB5" w:sz="5"/>
              <w:right w:val="single" w:color="4A7AB5" w:sz="5"/>
            </w:tcBorders>
            <w:shd w:fill="4A7AB5"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ALTO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Historial de consultas exportable</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Botón para exportar el historial completo de una conversación como documento de texto</w:t>
            </w:r>
          </w:p>
          <w:p>
            <w:pPr>
              <w:spacing w:before="40"/>
            </w:pPr>
            <w:r>
              <w:rPr>
                <w:rFonts w:ascii="Arial" w:cs="Arial" w:eastAsia="Arial" w:hAnsi="Arial"/>
                <w:b w:val="false"/>
                <w:bCs w:val="false"/>
                <w:i/>
                <w:iCs/>
                <w:caps w:val="false"/>
                <w:color w:val="555555"/>
                <w:sz w:val="17"/>
                <w:szCs w:val="17"/>
              </w:rPr>
              <w:t xml:space="preserve">Botón 'EXPORTAR CONVERSACIÓN' en el header de cada conversación en el sidebar. Genera un archivo de texto con toda la conversación formateada: fecha, modo, cada turno con su confianza y familia detectada. Usa la API de Blob y URL.createObjectURL para descargar el archivo directamente como .txt. Permite guardar conversaciones de soporte técnico para referencia futura o para enviar al fabricante.</w:t>
            </w:r>
          </w:p>
        </w:tc>
      </w:tr>
      <w:tr>
        <w:tc>
          <w:tcPr>
            <w:tcW w:type="dxa" w:w="1500"/>
            <w:tcBorders>
              <w:top w:val="single" w:color="4A7AB5" w:sz="5"/>
              <w:left w:val="single" w:color="4A7AB5" w:sz="5"/>
              <w:bottom w:val="single" w:color="4A7AB5" w:sz="5"/>
              <w:right w:val="single" w:color="4A7AB5" w:sz="5"/>
            </w:tcBorders>
            <w:shd w:fill="4A7AB5"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ALTO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Respuestas con formato mejorado</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Renderizar el texto de las respuestas con formato básico: negritas, listas y separadores</w:t>
            </w:r>
          </w:p>
          <w:p>
            <w:pPr>
              <w:spacing w:before="40"/>
            </w:pPr>
            <w:r>
              <w:rPr>
                <w:rFonts w:ascii="Arial" w:cs="Arial" w:eastAsia="Arial" w:hAnsi="Arial"/>
                <w:b w:val="false"/>
                <w:bCs w:val="false"/>
                <w:i/>
                <w:iCs/>
                <w:caps w:val="false"/>
                <w:color w:val="555555"/>
                <w:sz w:val="17"/>
                <w:szCs w:val="17"/>
              </w:rPr>
              <w:t xml:space="preserve">Las respuestas de SONEX vienen con estructura de texto (1. Causa probable: ..., 2. Verificaciones: ...) pero se muestran como texto plano. Añadir un parser simple que detecte: líneas que empiezan por número + punto → elemento de lista numerada con sangría; texto entre ** → negrita; líneas vacías → separador visual. Sin librería externa — parser de 20-30 líneas con regex básico que transforma el string en array de elementos JSX.</w:t>
            </w:r>
          </w:p>
        </w:tc>
      </w:tr>
      <w:tr>
        <w:tc>
          <w:tcPr>
            <w:tcW w:type="dxa" w:w="1500"/>
            <w:tcBorders>
              <w:top w:val="single" w:color="C07010" w:sz="5"/>
              <w:left w:val="single" w:color="C07010" w:sz="5"/>
              <w:bottom w:val="single" w:color="C07010" w:sz="5"/>
              <w:right w:val="single" w:color="C07010" w:sz="5"/>
            </w:tcBorders>
            <w:shd w:fill="C07010"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MEDIO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Modo oscuro / claro toggle</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Selector de tema en el header para alternar entre fondo oscuro (actual) y fondo claro</w:t>
            </w:r>
          </w:p>
          <w:p>
            <w:pPr>
              <w:spacing w:before="40"/>
            </w:pPr>
            <w:r>
              <w:rPr>
                <w:rFonts w:ascii="Arial" w:cs="Arial" w:eastAsia="Arial" w:hAnsi="Arial"/>
                <w:b w:val="false"/>
                <w:bCs w:val="false"/>
                <w:i/>
                <w:iCs/>
                <w:caps w:val="false"/>
                <w:color w:val="555555"/>
                <w:sz w:val="17"/>
                <w:szCs w:val="17"/>
              </w:rPr>
              <w:t xml:space="preserve">Estado 'tema' con valores 'oscuro' / 'claro'. En modo claro: fondo #f5f3f0, texto #1a1a2e, tarjetas #ffffff con borde #e0dbd4. Todos los colores de fondo y texto parametrizados en un objeto TEMA que se usa en los estilos inline. Persiste en localStorage ('sonepar_sonex_tema'). Útil para uso en entornos con mucha luz como el mostrador en nave con luz natural.</w:t>
            </w:r>
          </w:p>
        </w:tc>
      </w:tr>
      <w:tr>
        <w:tc>
          <w:tcPr>
            <w:tcW w:type="dxa" w:w="1500"/>
            <w:tcBorders>
              <w:top w:val="single" w:color="C07010" w:sz="5"/>
              <w:left w:val="single" w:color="C07010" w:sz="5"/>
              <w:bottom w:val="single" w:color="C07010" w:sz="5"/>
              <w:right w:val="single" w:color="C07010" w:sz="5"/>
            </w:tcBorders>
            <w:shd w:fill="C07010"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MEDIO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Contador de tokens estimado</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Mostrar una estimación del uso de tokens de la conversación activa</w:t>
            </w:r>
          </w:p>
          <w:p>
            <w:pPr>
              <w:spacing w:before="40"/>
            </w:pPr>
            <w:r>
              <w:rPr>
                <w:rFonts w:ascii="Arial" w:cs="Arial" w:eastAsia="Arial" w:hAnsi="Arial"/>
                <w:b w:val="false"/>
                <w:bCs w:val="false"/>
                <w:i/>
                <w:iCs/>
                <w:caps w:val="false"/>
                <w:color w:val="555555"/>
                <w:sz w:val="17"/>
                <w:szCs w:val="17"/>
              </w:rPr>
              <w:t xml:space="preserve">Calcular aproximación de tokens: suma de caracteres de todos los mensajes / 4 (aproximación estándar). Mostrar en la barra inferior junto al contador de mensajes: 'X/20 · ~Y tokens'. Añadir indicador visual cuando se supera el 70% del límite de contexto (color amarillo) y 90% (rojo). Ayuda al usuario a entender cuándo conviene empezar una conversación nueva por rendimiento.</w:t>
            </w:r>
          </w:p>
        </w:tc>
      </w:tr>
    </w:tbl>
    <w:p>
      <w:pPr>
        <w:pBdr>
          <w:bottom w:val="single" w:color="E0DBD4" w:sz="2" w:space="1"/>
        </w:pBdr>
        <w:spacing w:before="220" w:after="220"/>
      </w:pPr>
      <w:r>
        <w:rPr>
          <w:rFonts w:ascii="Arial" w:cs="Arial" w:eastAsia="Arial" w:hAnsi="Arial"/>
          <w:b w:val="false"/>
          <w:bCs w:val="false"/>
          <w:i w:val="false"/>
          <w:iCs w:val="false"/>
          <w:caps w:val="false"/>
          <w:color w:val="1A1A2E"/>
          <w:sz w:val="19"/>
          <w:szCs w:val="19"/>
        </w:rPr>
        <w:t xml:space="preserve"/>
      </w:r>
    </w:p>
    <w:p>
      <w:pPr>
        <w:spacing w:before="260" w:after="80"/>
      </w:pPr>
      <w:r>
        <w:rPr>
          <w:rFonts w:ascii="Arial" w:cs="Arial" w:eastAsia="Arial" w:hAnsi="Arial"/>
          <w:b/>
          <w:bCs/>
          <w:i w:val="false"/>
          <w:iCs w:val="false"/>
          <w:caps w:val="false"/>
          <w:color w:val="1A1A2E"/>
          <w:sz w:val="24"/>
          <w:szCs w:val="24"/>
        </w:rPr>
        <w:t xml:space="preserve">Trabajo previo necesario para v5</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Recopilar referencias reales: </w:t>
      </w:r>
      <w:r>
        <w:rPr>
          <w:rFonts w:ascii="Arial" w:cs="Arial" w:eastAsia="Arial" w:hAnsi="Arial"/>
          <w:b w:val="false"/>
          <w:bCs w:val="false"/>
          <w:i w:val="false"/>
          <w:iCs w:val="false"/>
          <w:caps w:val="false"/>
          <w:color w:val="555555"/>
          <w:sz w:val="19"/>
          <w:szCs w:val="19"/>
        </w:rPr>
        <w:t xml:space="preserve">pedir al responsable de la delegación o al jefe de almacén las 10-15 referencias más vendidas por familia. Con eso ya se puede construir una primera versión del JSON de productos.</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Decidir el formato del JSON: </w:t>
      </w:r>
      <w:r>
        <w:rPr>
          <w:rFonts w:ascii="Arial" w:cs="Arial" w:eastAsia="Arial" w:hAnsi="Arial"/>
          <w:b w:val="false"/>
          <w:bCs w:val="false"/>
          <w:i w:val="false"/>
          <w:iCs w:val="false"/>
          <w:caps w:val="false"/>
          <w:color w:val="555555"/>
          <w:sz w:val="19"/>
          <w:szCs w:val="19"/>
        </w:rPr>
        <w:t xml:space="preserve">estructura mínima por producto: { ref, descripcion, marca, familia, caracteristicas: [], precio_orientativo }. No necesita precio exacto — un rango orientativo es suficiente.</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Decidir la lógica de inyección: </w:t>
      </w:r>
      <w:r>
        <w:rPr>
          <w:rFonts w:ascii="Arial" w:cs="Arial" w:eastAsia="Arial" w:hAnsi="Arial"/>
          <w:b w:val="false"/>
          <w:bCs w:val="false"/>
          <w:i w:val="false"/>
          <w:iCs w:val="false"/>
          <w:caps w:val="false"/>
          <w:color w:val="555555"/>
          <w:sz w:val="19"/>
          <w:szCs w:val="19"/>
        </w:rPr>
        <w:t xml:space="preserve">inyectar máximo 10 productos por familia para no sobrecargar el contexto. Priorizar los más vendidos.</w:t>
      </w:r>
    </w:p>
    <w:p>
      <w:pPr>
        <w:pBdr>
          <w:bottom w:val="single" w:color="E0DBD4" w:sz="2" w:space="1"/>
        </w:pBdr>
        <w:spacing w:before="220" w:after="220"/>
      </w:pPr>
      <w:r>
        <w:rPr>
          <w:rFonts w:ascii="Arial" w:cs="Arial" w:eastAsia="Arial" w:hAnsi="Arial"/>
          <w:b w:val="false"/>
          <w:bCs w:val="false"/>
          <w:i w:val="false"/>
          <w:iCs w:val="false"/>
          <w:caps w:val="false"/>
          <w:color w:val="1A1A2E"/>
          <w:sz w:val="19"/>
          <w:szCs w:val="19"/>
        </w:rPr>
        <w:t xml:space="preserve"/>
      </w:r>
    </w:p>
    <w:p>
      <w:pPr>
        <w:spacing w:before="260" w:after="80"/>
      </w:pPr>
      <w:r>
        <w:rPr>
          <w:rFonts w:ascii="Arial" w:cs="Arial" w:eastAsia="Arial" w:hAnsi="Arial"/>
          <w:b/>
          <w:bCs/>
          <w:i w:val="false"/>
          <w:iCs w:val="false"/>
          <w:caps w:val="false"/>
          <w:color w:val="1A1A2E"/>
          <w:sz w:val="24"/>
          <w:szCs w:val="24"/>
        </w:rPr>
        <w:t xml:space="preserve">Criterios de validación</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Base de conocimiento: </w:t>
      </w:r>
      <w:r>
        <w:rPr>
          <w:rFonts w:ascii="Arial" w:cs="Arial" w:eastAsia="Arial" w:hAnsi="Arial"/>
          <w:b w:val="false"/>
          <w:bCs w:val="false"/>
          <w:i w:val="false"/>
          <w:iCs w:val="false"/>
          <w:caps w:val="false"/>
          <w:color w:val="555555"/>
          <w:sz w:val="19"/>
          <w:szCs w:val="19"/>
        </w:rPr>
        <w:t xml:space="preserve">al preguntar por un guardamotor de 7.5kW, SONEX recomienda una referencia real del JSON en lugar de una referencia genérica inventada.</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Modo comparativa: </w:t>
      </w:r>
      <w:r>
        <w:rPr>
          <w:rFonts w:ascii="Arial" w:cs="Arial" w:eastAsia="Arial" w:hAnsi="Arial"/>
          <w:b w:val="false"/>
          <w:bCs w:val="false"/>
          <w:i w:val="false"/>
          <w:iCs w:val="false"/>
          <w:caps w:val="false"/>
          <w:color w:val="555555"/>
          <w:sz w:val="19"/>
          <w:szCs w:val="19"/>
        </w:rPr>
        <w:t xml:space="preserve">al pedir comparar dos referencias del catálogo, SONEX devuelve una tabla de texto estructurada con ganador por parámetro.</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Exportar conversación: </w:t>
      </w:r>
      <w:r>
        <w:rPr>
          <w:rFonts w:ascii="Arial" w:cs="Arial" w:eastAsia="Arial" w:hAnsi="Arial"/>
          <w:b w:val="false"/>
          <w:bCs w:val="false"/>
          <w:i w:val="false"/>
          <w:iCs w:val="false"/>
          <w:caps w:val="false"/>
          <w:color w:val="555555"/>
          <w:sz w:val="19"/>
          <w:szCs w:val="19"/>
        </w:rPr>
        <w:t xml:space="preserve">el archivo .txt descargado tiene la conversación completa formateada y legible.</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Formato de respuestas: </w:t>
      </w:r>
      <w:r>
        <w:rPr>
          <w:rFonts w:ascii="Arial" w:cs="Arial" w:eastAsia="Arial" w:hAnsi="Arial"/>
          <w:b w:val="false"/>
          <w:bCs w:val="false"/>
          <w:i w:val="false"/>
          <w:iCs w:val="false"/>
          <w:caps w:val="false"/>
          <w:color w:val="555555"/>
          <w:sz w:val="19"/>
          <w:szCs w:val="19"/>
        </w:rPr>
        <w:t xml:space="preserve">los pasos numerados de las averías y los bullets de normativa se muestran con sangría y separación visual, no como texto plano continuo.</w:t>
      </w:r>
    </w:p>
    <w:p>
      <w:pPr>
        <w:pBdr>
          <w:bottom w:val="single" w:color="E0DBD4" w:sz="2" w:space="1"/>
        </w:pBdr>
        <w:spacing w:before="220" w:after="220"/>
      </w:pPr>
      <w:r>
        <w:rPr>
          <w:rFonts w:ascii="Arial" w:cs="Arial" w:eastAsia="Arial" w:hAnsi="Arial"/>
          <w:b w:val="false"/>
          <w:bCs w:val="false"/>
          <w:i w:val="false"/>
          <w:iCs w:val="false"/>
          <w:caps w:val="false"/>
          <w:color w:val="1A1A2E"/>
          <w:sz w:val="19"/>
          <w:szCs w:val="19"/>
        </w:rPr>
        <w:t xml:space="preserve"/>
      </w:r>
    </w:p>
    <w:p>
      <w:pPr>
        <w:spacing w:before="0" w:after="0"/>
      </w:pPr>
      <w:r>
        <w:rPr>
          <w:rFonts w:ascii="Arial" w:cs="Arial" w:eastAsia="Arial" w:hAnsi="Arial"/>
          <w:b w:val="false"/>
          <w:bCs w:val="false"/>
          <w:i/>
          <w:iCs/>
          <w:caps w:val="false"/>
          <w:color w:val="999999"/>
          <w:sz w:val="16"/>
          <w:szCs w:val="16"/>
        </w:rPr>
        <w:t xml:space="preserve">SONEX · PLAN v5.0 · Iago Robo · Sonepar A Coruña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2026-03-08T00:31:26.831Z</dcterms:created>
  <dcterms:modified xsi:type="dcterms:W3CDTF">2026-03-08T00:31:26.831Z</dcterms:modified>
</cp:coreProperties>
</file>

<file path=docProps/custom.xml><?xml version="1.0" encoding="utf-8"?>
<Properties xmlns="http://schemas.openxmlformats.org/officeDocument/2006/custom-properties" xmlns:vt="http://schemas.openxmlformats.org/officeDocument/2006/docPropsVTypes"/>
</file>