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EB78C" w14:textId="77777777" w:rsidR="0077250E" w:rsidRPr="0077250E" w:rsidRDefault="0077250E" w:rsidP="0077250E">
      <w:r w:rsidRPr="0077250E">
        <w:t>From a finance perspective, the transition of data from Human Resources (HR) and Payroll systems to the General Ledger (GL) is one of the most critical integration points in an organization. Because payroll is typically a company's largest expense, the way it is reported significantly impacts financial accuracy, budgeting, and tax compliance.</w:t>
      </w:r>
    </w:p>
    <w:p w14:paraId="3EC473AA" w14:textId="77777777" w:rsidR="0077250E" w:rsidRPr="0077250E" w:rsidRDefault="0077250E" w:rsidP="0077250E">
      <w:pPr>
        <w:rPr>
          <w:b/>
          <w:bCs/>
        </w:rPr>
      </w:pPr>
      <w:r w:rsidRPr="0077250E">
        <w:rPr>
          <w:b/>
          <w:bCs/>
        </w:rPr>
        <w:t>1. The Reporting Mechanism: Detailed vs. Rolled Up</w:t>
      </w:r>
    </w:p>
    <w:p w14:paraId="119619B3" w14:textId="77777777" w:rsidR="0077250E" w:rsidRPr="0077250E" w:rsidRDefault="0077250E" w:rsidP="0077250E">
      <w:r w:rsidRPr="0077250E">
        <w:t xml:space="preserve">In almost all modern mid-to-large enterprises, HR/Payroll transactions are reported to the GL as a </w:t>
      </w:r>
      <w:proofErr w:type="gramStart"/>
      <w:r w:rsidRPr="0077250E">
        <w:rPr>
          <w:b/>
          <w:bCs/>
        </w:rPr>
        <w:t>Rolled Up</w:t>
      </w:r>
      <w:proofErr w:type="gramEnd"/>
      <w:r w:rsidRPr="0077250E">
        <w:rPr>
          <w:b/>
          <w:bCs/>
        </w:rPr>
        <w:t xml:space="preserve"> Summary</w:t>
      </w:r>
      <w:r w:rsidRPr="0077250E">
        <w:t xml:space="preserve"> (also known as a "Journal Entry Summary") rather than by individual employee.</w:t>
      </w:r>
    </w:p>
    <w:p w14:paraId="4664B2CE" w14:textId="77777777" w:rsidR="0077250E" w:rsidRPr="0077250E" w:rsidRDefault="0077250E" w:rsidP="0077250E">
      <w:pPr>
        <w:numPr>
          <w:ilvl w:val="0"/>
          <w:numId w:val="1"/>
        </w:numPr>
      </w:pPr>
      <w:r w:rsidRPr="0077250E">
        <w:rPr>
          <w:b/>
          <w:bCs/>
        </w:rPr>
        <w:t>Why a Summary?</w:t>
      </w:r>
    </w:p>
    <w:p w14:paraId="202C6D51" w14:textId="77777777" w:rsidR="0077250E" w:rsidRPr="0077250E" w:rsidRDefault="0077250E" w:rsidP="0077250E">
      <w:pPr>
        <w:numPr>
          <w:ilvl w:val="1"/>
          <w:numId w:val="1"/>
        </w:numPr>
      </w:pPr>
      <w:r w:rsidRPr="0077250E">
        <w:rPr>
          <w:b/>
          <w:bCs/>
        </w:rPr>
        <w:t>Privacy &amp; Data Security:</w:t>
      </w:r>
      <w:r w:rsidRPr="0077250E">
        <w:t xml:space="preserve"> The GL is often accessible to many users in the Finance department. Detailed reporting would expose sensitive individual salary and deduction data.</w:t>
      </w:r>
    </w:p>
    <w:p w14:paraId="636A8627" w14:textId="77777777" w:rsidR="0077250E" w:rsidRPr="0077250E" w:rsidRDefault="0077250E" w:rsidP="0077250E">
      <w:pPr>
        <w:numPr>
          <w:ilvl w:val="1"/>
          <w:numId w:val="1"/>
        </w:numPr>
      </w:pPr>
      <w:r w:rsidRPr="0077250E">
        <w:rPr>
          <w:b/>
          <w:bCs/>
        </w:rPr>
        <w:t>Performance:</w:t>
      </w:r>
      <w:r w:rsidRPr="0077250E">
        <w:t xml:space="preserve"> Reporting by individual employee would create thousands of unnecessary line items in the GL, slowing down system performance and financial closing.</w:t>
      </w:r>
    </w:p>
    <w:p w14:paraId="08A97C2F" w14:textId="77777777" w:rsidR="0077250E" w:rsidRPr="0077250E" w:rsidRDefault="0077250E" w:rsidP="0077250E">
      <w:pPr>
        <w:numPr>
          <w:ilvl w:val="0"/>
          <w:numId w:val="1"/>
        </w:numPr>
      </w:pPr>
      <w:r w:rsidRPr="0077250E">
        <w:rPr>
          <w:b/>
          <w:bCs/>
        </w:rPr>
        <w:t>The "Payroll Bridge":</w:t>
      </w:r>
      <w:r w:rsidRPr="0077250E">
        <w:t xml:space="preserve"> The HR system generates a clearing file. This file "maps" the gross pay, taxes, and benefits of 500 employees into just a few dozen lines for the GL.</w:t>
      </w:r>
    </w:p>
    <w:p w14:paraId="690DCDC5" w14:textId="77777777" w:rsidR="0077250E" w:rsidRPr="0077250E" w:rsidRDefault="0077250E" w:rsidP="0077250E">
      <w:pPr>
        <w:rPr>
          <w:b/>
          <w:bCs/>
        </w:rPr>
      </w:pPr>
      <w:r w:rsidRPr="0077250E">
        <w:rPr>
          <w:b/>
          <w:bCs/>
        </w:rPr>
        <w:t>2. GL Categories and Dimensions</w:t>
      </w:r>
    </w:p>
    <w:p w14:paraId="519BEF55" w14:textId="77777777" w:rsidR="0077250E" w:rsidRPr="0077250E" w:rsidRDefault="0077250E" w:rsidP="0077250E">
      <w:r w:rsidRPr="0077250E">
        <w:t xml:space="preserve">While the data is summarized to hide individual names, it is highly granular in terms of </w:t>
      </w:r>
      <w:r w:rsidRPr="0077250E">
        <w:rPr>
          <w:b/>
          <w:bCs/>
        </w:rPr>
        <w:t>organizational dimensions</w:t>
      </w:r>
      <w:r w:rsidRPr="0077250E">
        <w:t>. The HR system typically reports to the GL using the following categories:</w:t>
      </w:r>
    </w:p>
    <w:p w14:paraId="663977E1" w14:textId="77777777" w:rsidR="0077250E" w:rsidRPr="0077250E" w:rsidRDefault="0077250E" w:rsidP="0077250E">
      <w:pPr>
        <w:numPr>
          <w:ilvl w:val="0"/>
          <w:numId w:val="2"/>
        </w:numPr>
      </w:pPr>
      <w:r w:rsidRPr="0077250E">
        <w:rPr>
          <w:b/>
          <w:bCs/>
        </w:rPr>
        <w:t>Cost Centers / Departments:</w:t>
      </w:r>
      <w:r w:rsidRPr="0077250E">
        <w:t xml:space="preserve"> This is the most common dimension. Expenses are tagged to the specific unit that "owns" the employee (e.g., Marketing, R&amp;D, Sales).</w:t>
      </w:r>
    </w:p>
    <w:p w14:paraId="45B8D113" w14:textId="77777777" w:rsidR="0077250E" w:rsidRPr="0077250E" w:rsidRDefault="0077250E" w:rsidP="0077250E">
      <w:pPr>
        <w:numPr>
          <w:ilvl w:val="0"/>
          <w:numId w:val="2"/>
        </w:numPr>
      </w:pPr>
      <w:r w:rsidRPr="0077250E">
        <w:rPr>
          <w:b/>
          <w:bCs/>
        </w:rPr>
        <w:t>Natural Account (Object Code):</w:t>
      </w:r>
      <w:r w:rsidRPr="0077250E">
        <w:t xml:space="preserve"> This defines </w:t>
      </w:r>
      <w:r w:rsidRPr="0077250E">
        <w:rPr>
          <w:i/>
          <w:iCs/>
        </w:rPr>
        <w:t>what</w:t>
      </w:r>
      <w:r w:rsidRPr="0077250E">
        <w:t xml:space="preserve"> the money was spent on. Common accounts include:</w:t>
      </w:r>
    </w:p>
    <w:p w14:paraId="5E3993AD" w14:textId="77777777" w:rsidR="0077250E" w:rsidRPr="0077250E" w:rsidRDefault="0077250E" w:rsidP="0077250E">
      <w:pPr>
        <w:numPr>
          <w:ilvl w:val="1"/>
          <w:numId w:val="2"/>
        </w:numPr>
      </w:pPr>
      <w:r w:rsidRPr="0077250E">
        <w:t>Salaries and Wages (Regular)</w:t>
      </w:r>
    </w:p>
    <w:p w14:paraId="61E34284" w14:textId="77777777" w:rsidR="0077250E" w:rsidRPr="0077250E" w:rsidRDefault="0077250E" w:rsidP="0077250E">
      <w:pPr>
        <w:numPr>
          <w:ilvl w:val="1"/>
          <w:numId w:val="2"/>
        </w:numPr>
      </w:pPr>
      <w:r w:rsidRPr="0077250E">
        <w:t>Overtime Pay</w:t>
      </w:r>
    </w:p>
    <w:p w14:paraId="667BA6A8" w14:textId="77777777" w:rsidR="0077250E" w:rsidRPr="0077250E" w:rsidRDefault="0077250E" w:rsidP="0077250E">
      <w:pPr>
        <w:numPr>
          <w:ilvl w:val="1"/>
          <w:numId w:val="2"/>
        </w:numPr>
      </w:pPr>
      <w:r w:rsidRPr="0077250E">
        <w:t>Employer Taxes (FICA, SUI, etc.)</w:t>
      </w:r>
    </w:p>
    <w:p w14:paraId="30B559AB" w14:textId="77777777" w:rsidR="0077250E" w:rsidRPr="0077250E" w:rsidRDefault="0077250E" w:rsidP="0077250E">
      <w:pPr>
        <w:numPr>
          <w:ilvl w:val="1"/>
          <w:numId w:val="2"/>
        </w:numPr>
      </w:pPr>
      <w:r w:rsidRPr="0077250E">
        <w:t>Health/Benefit Premiums</w:t>
      </w:r>
    </w:p>
    <w:p w14:paraId="383DB868" w14:textId="77777777" w:rsidR="0077250E" w:rsidRPr="0077250E" w:rsidRDefault="0077250E" w:rsidP="0077250E">
      <w:pPr>
        <w:numPr>
          <w:ilvl w:val="1"/>
          <w:numId w:val="2"/>
        </w:numPr>
      </w:pPr>
      <w:r w:rsidRPr="0077250E">
        <w:t>Bonus/Commission Accruals</w:t>
      </w:r>
    </w:p>
    <w:p w14:paraId="32D84BF8" w14:textId="77777777" w:rsidR="0077250E" w:rsidRPr="0077250E" w:rsidRDefault="0077250E" w:rsidP="0077250E">
      <w:pPr>
        <w:numPr>
          <w:ilvl w:val="0"/>
          <w:numId w:val="2"/>
        </w:numPr>
      </w:pPr>
      <w:r w:rsidRPr="0077250E">
        <w:rPr>
          <w:b/>
          <w:bCs/>
        </w:rPr>
        <w:lastRenderedPageBreak/>
        <w:t>Project/Grant Codes:</w:t>
      </w:r>
      <w:r w:rsidRPr="0077250E">
        <w:t xml:space="preserve"> In professional services or research-heavy firms, payroll is often split by specific project codes to track "billable" vs. "non-billable" hours.</w:t>
      </w:r>
    </w:p>
    <w:p w14:paraId="2EE728EF" w14:textId="77777777" w:rsidR="0077250E" w:rsidRPr="0077250E" w:rsidRDefault="0077250E" w:rsidP="0077250E">
      <w:pPr>
        <w:numPr>
          <w:ilvl w:val="0"/>
          <w:numId w:val="2"/>
        </w:numPr>
      </w:pPr>
      <w:r w:rsidRPr="0077250E">
        <w:rPr>
          <w:b/>
          <w:bCs/>
        </w:rPr>
        <w:t>Geography/Legal Entity:</w:t>
      </w:r>
      <w:r w:rsidRPr="0077250E">
        <w:t xml:space="preserve"> If the company operates in multiple states or countries, the GL entry will specify the relevant legal entity for tax reporting.</w:t>
      </w:r>
    </w:p>
    <w:p w14:paraId="751A295F" w14:textId="77777777" w:rsidR="0077250E" w:rsidRPr="0077250E" w:rsidRDefault="0077250E" w:rsidP="0077250E">
      <w:pPr>
        <w:rPr>
          <w:b/>
          <w:bCs/>
        </w:rPr>
      </w:pPr>
      <w:r w:rsidRPr="0077250E">
        <w:rPr>
          <w:b/>
          <w:bCs/>
        </w:rPr>
        <w:t>3. The Accounting Entry Structure</w:t>
      </w:r>
    </w:p>
    <w:p w14:paraId="07B20578" w14:textId="77777777" w:rsidR="0077250E" w:rsidRPr="0077250E" w:rsidRDefault="0077250E" w:rsidP="0077250E">
      <w:r w:rsidRPr="0077250E">
        <w:t>A typical HR-to-GL transmission follows a standard Double-Entry format:</w:t>
      </w:r>
    </w:p>
    <w:tbl>
      <w:tblPr>
        <w:tblW w:w="0" w:type="auto"/>
        <w:tblCellSpacing w:w="15" w:type="dxa"/>
        <w:tblCellMar>
          <w:left w:w="0" w:type="dxa"/>
          <w:right w:w="0" w:type="dxa"/>
        </w:tblCellMar>
        <w:tblLook w:val="04A0" w:firstRow="1" w:lastRow="0" w:firstColumn="1" w:lastColumn="0" w:noHBand="0" w:noVBand="1"/>
      </w:tblPr>
      <w:tblGrid>
        <w:gridCol w:w="857"/>
        <w:gridCol w:w="1125"/>
        <w:gridCol w:w="2617"/>
        <w:gridCol w:w="1401"/>
      </w:tblGrid>
      <w:tr w:rsidR="0077250E" w:rsidRPr="0077250E" w14:paraId="1E12B6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888C0F" w14:textId="77777777" w:rsidR="0077250E" w:rsidRPr="0077250E" w:rsidRDefault="0077250E" w:rsidP="0077250E">
            <w:r w:rsidRPr="0077250E">
              <w:rPr>
                <w:b/>
                <w:bCs/>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71EF85" w14:textId="77777777" w:rsidR="0077250E" w:rsidRPr="0077250E" w:rsidRDefault="0077250E" w:rsidP="0077250E">
            <w:r w:rsidRPr="0077250E">
              <w:rPr>
                <w:b/>
                <w:bCs/>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FE9384" w14:textId="77777777" w:rsidR="0077250E" w:rsidRPr="0077250E" w:rsidRDefault="0077250E" w:rsidP="0077250E">
            <w:r w:rsidRPr="0077250E">
              <w:rPr>
                <w:b/>
                <w:bCs/>
              </w:rPr>
              <w:t>GL Account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6DEC66" w14:textId="77777777" w:rsidR="0077250E" w:rsidRPr="0077250E" w:rsidRDefault="0077250E" w:rsidP="0077250E">
            <w:r w:rsidRPr="0077250E">
              <w:rPr>
                <w:b/>
                <w:bCs/>
              </w:rPr>
              <w:t>Dimension</w:t>
            </w:r>
          </w:p>
        </w:tc>
      </w:tr>
      <w:tr w:rsidR="0077250E" w:rsidRPr="0077250E" w14:paraId="7D7559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ED8EB3" w14:textId="77777777" w:rsidR="0077250E" w:rsidRPr="0077250E" w:rsidRDefault="0077250E" w:rsidP="0077250E">
            <w:r w:rsidRPr="0077250E">
              <w:rPr>
                <w:b/>
                <w:bCs/>
              </w:rPr>
              <w:t>Debit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8842B8" w14:textId="77777777" w:rsidR="0077250E" w:rsidRPr="0077250E" w:rsidRDefault="0077250E" w:rsidP="0077250E">
            <w:r w:rsidRPr="0077250E">
              <w:t>Expense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745095" w14:textId="77777777" w:rsidR="0077250E" w:rsidRPr="0077250E" w:rsidRDefault="0077250E" w:rsidP="0077250E">
            <w:r w:rsidRPr="0077250E">
              <w:t>Wages &amp; Salaries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441F66" w14:textId="77777777" w:rsidR="0077250E" w:rsidRPr="0077250E" w:rsidRDefault="0077250E" w:rsidP="0077250E">
            <w:r w:rsidRPr="0077250E">
              <w:t>Cost Center A</w:t>
            </w:r>
          </w:p>
        </w:tc>
      </w:tr>
      <w:tr w:rsidR="0077250E" w:rsidRPr="0077250E" w14:paraId="79E8A6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F88934" w14:textId="77777777" w:rsidR="0077250E" w:rsidRPr="0077250E" w:rsidRDefault="0077250E" w:rsidP="0077250E">
            <w:r w:rsidRPr="0077250E">
              <w:rPr>
                <w:b/>
                <w:bCs/>
              </w:rPr>
              <w:t>Debit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B45ECA" w14:textId="77777777" w:rsidR="0077250E" w:rsidRPr="0077250E" w:rsidRDefault="0077250E" w:rsidP="0077250E">
            <w:r w:rsidRPr="0077250E">
              <w:t>Expense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A54F7D" w14:textId="77777777" w:rsidR="0077250E" w:rsidRPr="0077250E" w:rsidRDefault="0077250E" w:rsidP="0077250E">
            <w:r w:rsidRPr="0077250E">
              <w:t>Employer Taxes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E73BAA" w14:textId="77777777" w:rsidR="0077250E" w:rsidRPr="0077250E" w:rsidRDefault="0077250E" w:rsidP="0077250E">
            <w:r w:rsidRPr="0077250E">
              <w:t>Cost Center A</w:t>
            </w:r>
          </w:p>
        </w:tc>
      </w:tr>
      <w:tr w:rsidR="0077250E" w:rsidRPr="0077250E" w14:paraId="3A51B6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4E097D" w14:textId="77777777" w:rsidR="0077250E" w:rsidRPr="0077250E" w:rsidRDefault="0077250E" w:rsidP="0077250E">
            <w:r w:rsidRPr="0077250E">
              <w:rPr>
                <w:b/>
                <w:bCs/>
              </w:rPr>
              <w:t>Credit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CF02DC" w14:textId="77777777" w:rsidR="0077250E" w:rsidRPr="0077250E" w:rsidRDefault="0077250E" w:rsidP="0077250E">
            <w:r w:rsidRPr="0077250E">
              <w:t>Liability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AD94E7" w14:textId="77777777" w:rsidR="0077250E" w:rsidRPr="0077250E" w:rsidRDefault="0077250E" w:rsidP="0077250E">
            <w:r w:rsidRPr="0077250E">
              <w:t>Payroll Clearing / Cash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3639BD" w14:textId="77777777" w:rsidR="0077250E" w:rsidRPr="0077250E" w:rsidRDefault="0077250E" w:rsidP="0077250E">
            <w:r w:rsidRPr="0077250E">
              <w:t>Corporate</w:t>
            </w:r>
          </w:p>
        </w:tc>
      </w:tr>
      <w:tr w:rsidR="0077250E" w:rsidRPr="0077250E" w14:paraId="6B8F83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D88725" w14:textId="77777777" w:rsidR="0077250E" w:rsidRPr="0077250E" w:rsidRDefault="0077250E" w:rsidP="0077250E">
            <w:r w:rsidRPr="0077250E">
              <w:rPr>
                <w:b/>
                <w:bCs/>
              </w:rPr>
              <w:t>Credit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C580E9" w14:textId="77777777" w:rsidR="0077250E" w:rsidRPr="0077250E" w:rsidRDefault="0077250E" w:rsidP="0077250E">
            <w:r w:rsidRPr="0077250E">
              <w:t>Liability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EF6F31" w14:textId="77777777" w:rsidR="0077250E" w:rsidRPr="0077250E" w:rsidRDefault="0077250E" w:rsidP="0077250E">
            <w:r w:rsidRPr="0077250E">
              <w:t>Tax Withholding Payable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899114" w14:textId="77777777" w:rsidR="0077250E" w:rsidRPr="0077250E" w:rsidRDefault="0077250E" w:rsidP="0077250E">
            <w:r w:rsidRPr="0077250E">
              <w:t>Corporate</w:t>
            </w:r>
          </w:p>
        </w:tc>
      </w:tr>
    </w:tbl>
    <w:p w14:paraId="7BC24F5B" w14:textId="77777777" w:rsidR="0077250E" w:rsidRPr="0077250E" w:rsidRDefault="0077250E" w:rsidP="0077250E">
      <w:pPr>
        <w:rPr>
          <w:b/>
          <w:bCs/>
        </w:rPr>
      </w:pPr>
      <w:r w:rsidRPr="0077250E">
        <w:rPr>
          <w:b/>
          <w:bCs/>
        </w:rPr>
        <w:t>4. Recommendations for Finance &amp; HR Alignment</w:t>
      </w:r>
    </w:p>
    <w:p w14:paraId="686B5E5A" w14:textId="77777777" w:rsidR="0077250E" w:rsidRPr="0077250E" w:rsidRDefault="0077250E" w:rsidP="0077250E">
      <w:r w:rsidRPr="0077250E">
        <w:t>To ensure financial integrity, consider the following best practices:</w:t>
      </w:r>
    </w:p>
    <w:p w14:paraId="7A0F8C1E" w14:textId="77777777" w:rsidR="0077250E" w:rsidRPr="0077250E" w:rsidRDefault="0077250E" w:rsidP="0077250E">
      <w:r w:rsidRPr="0077250E">
        <w:rPr>
          <w:b/>
          <w:bCs/>
        </w:rPr>
        <w:t>A. Implement a "Shadow" Sub-Ledger</w:t>
      </w:r>
    </w:p>
    <w:p w14:paraId="417F4A8B" w14:textId="77777777" w:rsidR="0077250E" w:rsidRPr="0077250E" w:rsidRDefault="0077250E" w:rsidP="0077250E">
      <w:r w:rsidRPr="0077250E">
        <w:t>While the GL should only see summaries, the Payroll/HR system should maintain a detailed "Sub-Ledger." Finance should be able to request a "Gross-to-Net" report from HR that explains exactly how the $1M GL entry breaks down by employee if an audit is required.</w:t>
      </w:r>
    </w:p>
    <w:p w14:paraId="4B5B82D9" w14:textId="77777777" w:rsidR="0077250E" w:rsidRPr="0077250E" w:rsidRDefault="0077250E" w:rsidP="0077250E">
      <w:r w:rsidRPr="0077250E">
        <w:rPr>
          <w:b/>
          <w:bCs/>
        </w:rPr>
        <w:t>B. Standardize the Mapping Logic</w:t>
      </w:r>
    </w:p>
    <w:p w14:paraId="10B79C32" w14:textId="77777777" w:rsidR="0077250E" w:rsidRPr="0077250E" w:rsidRDefault="0077250E" w:rsidP="0077250E">
      <w:r w:rsidRPr="0077250E">
        <w:t>Ensure that the "Department ID" in the HR system is identical to the "Cost Center" in the Finance system. When HR creates a new department without telling Finance, the GL interface will fail (often called a "mapping error"), delaying the monthly close.</w:t>
      </w:r>
    </w:p>
    <w:p w14:paraId="6EEFEA13" w14:textId="77777777" w:rsidR="0077250E" w:rsidRPr="0077250E" w:rsidRDefault="0077250E" w:rsidP="0077250E">
      <w:r w:rsidRPr="0077250E">
        <w:rPr>
          <w:b/>
          <w:bCs/>
        </w:rPr>
        <w:t>C. Automate Accruals</w:t>
      </w:r>
    </w:p>
    <w:p w14:paraId="04F3D8C9" w14:textId="77777777" w:rsidR="0077250E" w:rsidRPr="0077250E" w:rsidRDefault="0077250E" w:rsidP="0077250E">
      <w:r w:rsidRPr="0077250E">
        <w:lastRenderedPageBreak/>
        <w:t xml:space="preserve">Payroll cycles rarely align perfectly with the end of the month (e.g., a pay period ends on the 27th, but the month ends on the 30th). Work with HR to automate </w:t>
      </w:r>
      <w:r w:rsidRPr="0077250E">
        <w:rPr>
          <w:b/>
          <w:bCs/>
        </w:rPr>
        <w:t>Labor Accruals</w:t>
      </w:r>
      <w:r w:rsidRPr="0077250E">
        <w:t>—where the system estimates the cost of those final 3 days and posts it to the GL so that your monthly expenses are not understated.</w:t>
      </w:r>
    </w:p>
    <w:p w14:paraId="19D0507E" w14:textId="77777777" w:rsidR="0077250E" w:rsidRPr="0077250E" w:rsidRDefault="0077250E" w:rsidP="0077250E">
      <w:r w:rsidRPr="0077250E">
        <w:rPr>
          <w:b/>
          <w:bCs/>
        </w:rPr>
        <w:t>D. Regular Reconciliation of Clearing Accounts</w:t>
      </w:r>
    </w:p>
    <w:p w14:paraId="67ACB176" w14:textId="77777777" w:rsidR="0077250E" w:rsidRPr="0077250E" w:rsidRDefault="0077250E" w:rsidP="0077250E">
      <w:r w:rsidRPr="0077250E">
        <w:t>The "Payroll Clearing" account should ideally hit zero every month. If a balance remains, it usually means there is a "ghost" transaction—money left the bank but wasn't recorded as an expense, or vice versa. Monthly reconciliation between HR and Finance is mandatory for SOX/Audit compliance.</w:t>
      </w:r>
    </w:p>
    <w:p w14:paraId="5C2B5CB3" w14:textId="77777777" w:rsidR="000429BF" w:rsidRDefault="000429BF"/>
    <w:sectPr w:rsidR="000429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13284"/>
    <w:multiLevelType w:val="multilevel"/>
    <w:tmpl w:val="74DEF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381308"/>
    <w:multiLevelType w:val="multilevel"/>
    <w:tmpl w:val="B6B61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313504">
    <w:abstractNumId w:val="1"/>
  </w:num>
  <w:num w:numId="2" w16cid:durableId="32378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50E"/>
    <w:rsid w:val="000429BF"/>
    <w:rsid w:val="005C3E6A"/>
    <w:rsid w:val="00747119"/>
    <w:rsid w:val="0077250E"/>
    <w:rsid w:val="007D48D9"/>
    <w:rsid w:val="00D17104"/>
    <w:rsid w:val="00D33822"/>
    <w:rsid w:val="00ED3C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7DD77"/>
  <w15:chartTrackingRefBased/>
  <w15:docId w15:val="{82280F7C-5836-4CA9-8152-25C660170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5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5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5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5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5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5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5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5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5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5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5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5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5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5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5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5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5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50E"/>
    <w:rPr>
      <w:rFonts w:eastAsiaTheme="majorEastAsia" w:cstheme="majorBidi"/>
      <w:color w:val="272727" w:themeColor="text1" w:themeTint="D8"/>
    </w:rPr>
  </w:style>
  <w:style w:type="paragraph" w:styleId="Title">
    <w:name w:val="Title"/>
    <w:basedOn w:val="Normal"/>
    <w:next w:val="Normal"/>
    <w:link w:val="TitleChar"/>
    <w:uiPriority w:val="10"/>
    <w:qFormat/>
    <w:rsid w:val="007725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5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5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5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50E"/>
    <w:pPr>
      <w:spacing w:before="160"/>
      <w:jc w:val="center"/>
    </w:pPr>
    <w:rPr>
      <w:i/>
      <w:iCs/>
      <w:color w:val="404040" w:themeColor="text1" w:themeTint="BF"/>
    </w:rPr>
  </w:style>
  <w:style w:type="character" w:customStyle="1" w:styleId="QuoteChar">
    <w:name w:val="Quote Char"/>
    <w:basedOn w:val="DefaultParagraphFont"/>
    <w:link w:val="Quote"/>
    <w:uiPriority w:val="29"/>
    <w:rsid w:val="0077250E"/>
    <w:rPr>
      <w:i/>
      <w:iCs/>
      <w:color w:val="404040" w:themeColor="text1" w:themeTint="BF"/>
    </w:rPr>
  </w:style>
  <w:style w:type="paragraph" w:styleId="ListParagraph">
    <w:name w:val="List Paragraph"/>
    <w:basedOn w:val="Normal"/>
    <w:uiPriority w:val="34"/>
    <w:qFormat/>
    <w:rsid w:val="0077250E"/>
    <w:pPr>
      <w:ind w:left="720"/>
      <w:contextualSpacing/>
    </w:pPr>
  </w:style>
  <w:style w:type="character" w:styleId="IntenseEmphasis">
    <w:name w:val="Intense Emphasis"/>
    <w:basedOn w:val="DefaultParagraphFont"/>
    <w:uiPriority w:val="21"/>
    <w:qFormat/>
    <w:rsid w:val="0077250E"/>
    <w:rPr>
      <w:i/>
      <w:iCs/>
      <w:color w:val="2F5496" w:themeColor="accent1" w:themeShade="BF"/>
    </w:rPr>
  </w:style>
  <w:style w:type="paragraph" w:styleId="IntenseQuote">
    <w:name w:val="Intense Quote"/>
    <w:basedOn w:val="Normal"/>
    <w:next w:val="Normal"/>
    <w:link w:val="IntenseQuoteChar"/>
    <w:uiPriority w:val="30"/>
    <w:qFormat/>
    <w:rsid w:val="007725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50E"/>
    <w:rPr>
      <w:i/>
      <w:iCs/>
      <w:color w:val="2F5496" w:themeColor="accent1" w:themeShade="BF"/>
    </w:rPr>
  </w:style>
  <w:style w:type="character" w:styleId="IntenseReference">
    <w:name w:val="Intense Reference"/>
    <w:basedOn w:val="DefaultParagraphFont"/>
    <w:uiPriority w:val="32"/>
    <w:qFormat/>
    <w:rsid w:val="007725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557</Words>
  <Characters>3181</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Ehab Harb</dc:creator>
  <cp:keywords/>
  <dc:description/>
  <cp:lastModifiedBy>Ehab Harb</cp:lastModifiedBy>
  <cp:revision>1</cp:revision>
  <dcterms:created xsi:type="dcterms:W3CDTF">2026-02-27T17:59:00Z</dcterms:created>
  <dcterms:modified xsi:type="dcterms:W3CDTF">2026-02-27T17:59:00Z</dcterms:modified>
</cp:coreProperties>
</file>