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36"/>
        </w:rPr>
        <w:t>ATLAS — Sprint 1 Evaluation Summary</w:t>
      </w:r>
    </w:p>
    <w:p>
      <w:pPr>
        <w:spacing w:before="0" w:after="80"/>
        <w:pBdr>
          <w:bottom w:val="single" w:sz="12" w:space="1" w:color="1F3864"/>
        </w:pBdr>
      </w:pPr>
      <w:r>
        <w:rPr>
          <w:color w:val="666666"/>
          <w:sz w:val="18"/>
        </w:rPr>
        <w:t>AI Product Intelligence Platform  ·  Ifra Aijaz  · 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OVERALL</w:t>
            </w:r>
          </w:p>
        </w:tc>
        <w:tc>
          <w:tcPr>
            <w:tcW w:type="dxa" w:w="195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MODAL (30)</w:t>
            </w:r>
          </w:p>
        </w:tc>
        <w:tc>
          <w:tcPr>
            <w:tcW w:type="dxa" w:w="195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EDGE (12)</w:t>
            </w:r>
          </w:p>
        </w:tc>
        <w:tc>
          <w:tcPr>
            <w:tcW w:type="dxa" w:w="195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OUT-OF-SCOPE (5)</w:t>
            </w:r>
          </w:p>
        </w:tc>
        <w:tc>
          <w:tcPr>
            <w:tcW w:type="dxa" w:w="195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ADVERSARIAL (3)</w:t>
            </w:r>
          </w:p>
        </w:tc>
      </w:tr>
      <w:tr>
        <w:tc>
          <w:tcPr>
            <w:tcW w:type="dxa" w:w="1958"/>
            <w:shd w:val="clear" w:color="auto" w:fill="D9EAD3"/>
          </w:tcPr>
          <w:p>
            <w:pPr>
              <w:jc w:val="center"/>
            </w:pPr>
            <w:r>
              <w:rPr>
                <w:b/>
                <w:color w:val="1F3864"/>
                <w:sz w:val="28"/>
              </w:rPr>
              <w:t>90%</w:t>
            </w:r>
          </w:p>
        </w:tc>
        <w:tc>
          <w:tcPr>
            <w:tcW w:type="dxa" w:w="1958"/>
            <w:shd w:val="clear" w:color="auto" w:fill="EBF3FB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92%</w:t>
            </w:r>
          </w:p>
        </w:tc>
        <w:tc>
          <w:tcPr>
            <w:tcW w:type="dxa" w:w="1958"/>
            <w:shd w:val="clear" w:color="auto" w:fill="EBF3FB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79%</w:t>
            </w:r>
          </w:p>
        </w:tc>
        <w:tc>
          <w:tcPr>
            <w:tcW w:type="dxa" w:w="1958"/>
            <w:shd w:val="clear" w:color="auto" w:fill="EBF3FB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100%</w:t>
            </w:r>
          </w:p>
        </w:tc>
        <w:tc>
          <w:tcPr>
            <w:tcW w:type="dxa" w:w="1958"/>
            <w:shd w:val="clear" w:color="auto" w:fill="EBF3FB"/>
          </w:tcPr>
          <w:p>
            <w:pPr>
              <w:jc w:val="center"/>
            </w:pPr>
            <w:r>
              <w:rPr>
                <w:b/>
                <w:color w:val="1F3864"/>
                <w:sz w:val="22"/>
              </w:rPr>
              <w:t>100%</w:t>
            </w:r>
          </w:p>
        </w:tc>
      </w:tr>
    </w:tbl>
    <w:p>
      <w:pPr>
        <w:spacing w:after="80"/>
      </w:pPr>
    </w:p>
    <w:tbl>
      <w:tblPr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  <w:p>
            <w:pPr>
              <w:spacing w:before="160" w:after="40"/>
              <w:pBdr>
                <w:bottom w:val="single" w:sz="4" w:space="1" w:color="2E75B6"/>
              </w:pBdr>
            </w:pPr>
            <w:r>
              <w:rPr>
                <w:b/>
                <w:color w:val="1F3864"/>
                <w:sz w:val="19"/>
              </w:rPr>
              <w:t>PROTOTYPE OVERVIEW</w:t>
            </w:r>
          </w:p>
          <w:p>
            <w:pPr>
              <w:spacing w:before="20" w:after="40"/>
            </w:pPr>
            <w:r>
              <w:rPr>
                <w:sz w:val="18"/>
              </w:rPr>
              <w:t>Atlas transforms fragmented organizational context into structured, evidence-grounded product artifacts. Sprint 1 delivers the smallest working end-to-end implementation connecting all major components.</w:t>
            </w:r>
          </w:p>
          <w:p>
            <w:pPr>
              <w:spacing w:before="20" w:after="40"/>
            </w:pPr>
            <w:r>
              <w:rPr>
                <w:sz w:val="18"/>
              </w:rPr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Workflow: </w:t>
            </w:r>
            <w:r>
              <w:rPr>
                <w:sz w:val="18"/>
              </w:rPr>
              <w:t>User Input -&gt; Retrieval (JSON KB) -&gt; System Prompt -&gt; GPT-4o Mini -&gt; Output + CSV Log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Frontend: </w:t>
            </w:r>
            <w:r>
              <w:rPr>
                <w:sz w:val="18"/>
              </w:rPr>
              <w:t>Streamlit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Knowledge Base: </w:t>
            </w:r>
            <w:r>
              <w:rPr>
                <w:sz w:val="18"/>
              </w:rPr>
              <w:t>Local JSON (customer feedback, Jira tickets, historical PRDs, competitor intel)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Model: </w:t>
            </w:r>
            <w:r>
              <w:rPr>
                <w:sz w:val="18"/>
              </w:rPr>
              <w:t>gpt-4o-mini  |  temp 0.3  |  max 1500 tokens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Retrieval: </w:t>
            </w:r>
            <w:r>
              <w:rPr>
                <w:sz w:val="18"/>
              </w:rPr>
              <w:t>Keyword-based theme matching -&gt; filtered retrieval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Eval Logging: </w:t>
            </w:r>
            <w:r>
              <w:rPr>
                <w:sz w:val="18"/>
              </w:rPr>
              <w:t>eval_log.csv with prompt version, model, score, and notes</w:t>
            </w:r>
          </w:p>
          <w:p>
            <w:pPr>
              <w:spacing w:before="160" w:after="40"/>
              <w:pBdr>
                <w:bottom w:val="single" w:sz="4" w:space="1" w:color="2E75B6"/>
              </w:pBdr>
            </w:pPr>
            <w:r>
              <w:rPr>
                <w:b/>
                <w:color w:val="1F3864"/>
                <w:sz w:val="19"/>
              </w:rPr>
              <w:t>ITERATIONS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v0.1: </w:t>
            </w:r>
            <w:r>
              <w:rPr>
                <w:sz w:val="18"/>
              </w:rPr>
              <w:t>68% overall. Basic prompt only — no citation rules, no confidence score, no refusal behavior. Edge cases critically weak at 33%. Adversarial at 67% — system partially followed disallowed instructions.</w:t>
            </w:r>
          </w:p>
          <w:p>
            <w:pPr>
              <w:spacing w:before="20" w:after="40"/>
            </w:pPr>
            <w:r>
              <w:rPr>
                <w:sz w:val="18"/>
              </w:rPr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v0.2: </w:t>
            </w:r>
            <w:r>
              <w:rPr>
                <w:sz w:val="18"/>
              </w:rPr>
              <w:t>90% overall (+22 pts). Added: explicit citation constraint (source IDs required per claim), mandatory Confidence: score, structured output format rules, out-of-scope refusal, and adversarial guardrails. Largest gain: Edge +46 pts. Adversarial reached 100%.</w:t>
            </w:r>
          </w:p>
          <w:p>
            <w:pPr>
              <w:spacing w:before="160" w:after="40"/>
              <w:pBdr>
                <w:bottom w:val="single" w:sz="4" w:space="1" w:color="2E75B6"/>
              </w:pBdr>
            </w:pPr>
            <w:r>
              <w:rPr>
                <w:b/>
                <w:color w:val="1F3864"/>
                <w:sz w:val="19"/>
              </w:rPr>
              <w:t>SPRINT 2 PLAN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Vector search </w:t>
            </w:r>
            <w:r>
              <w:rPr>
                <w:sz w:val="18"/>
              </w:rPr>
              <w:t>Replace keyword retrieval with FAISS or Chroma for semantic similarity.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Live integrations </w:t>
            </w:r>
            <w:r>
              <w:rPr>
                <w:sz w:val="18"/>
              </w:rPr>
              <w:t>Connect real Slack and Jira APIs instead of static JSON.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Granular citations </w:t>
            </w:r>
            <w:r>
              <w:rPr>
                <w:sz w:val="18"/>
              </w:rPr>
              <w:t>Require source IDs at sentence level, not just artifact level.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Priority scoring </w:t>
            </w:r>
            <w:r>
              <w:rPr>
                <w:sz w:val="18"/>
              </w:rPr>
              <w:t>Add numeric roadmap priority score (1-10) with evidence weighting.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Eval dashboard </w:t>
            </w:r>
            <w:r>
              <w:rPr>
                <w:sz w:val="18"/>
              </w:rPr>
              <w:t>Automated Streamlit dashboard with version trend charts.</w:t>
            </w:r>
          </w:p>
        </w:tc>
        <w:tc>
          <w:tcPr>
            <w:tcW w:type="dxa" w:w="489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  <w:p>
            <w:pPr>
              <w:spacing w:before="160" w:after="40"/>
              <w:pBdr>
                <w:bottom w:val="single" w:sz="4" w:space="1" w:color="2E75B6"/>
              </w:pBdr>
            </w:pPr>
            <w:r>
              <w:rPr>
                <w:b/>
                <w:color w:val="1F3864"/>
                <w:sz w:val="19"/>
              </w:rPr>
              <w:t>EVALUATION RESULTS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32"/>
              <w:gridCol w:w="1632"/>
              <w:gridCol w:w="1632"/>
            </w:tblGrid>
            <w:tr>
              <w:tc>
                <w:tcPr>
                  <w:tcW w:type="dxa" w:w="1632"/>
                  <w:shd w:val="clear" w:color="auto" w:fill="1F3864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Category</w:t>
                  </w:r>
                </w:p>
              </w:tc>
              <w:tc>
                <w:tcPr>
                  <w:tcW w:type="dxa" w:w="1632"/>
                  <w:shd w:val="clear" w:color="auto" w:fill="1F3864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v0.1</w:t>
                  </w:r>
                </w:p>
              </w:tc>
              <w:tc>
                <w:tcPr>
                  <w:tcW w:type="dxa" w:w="1632"/>
                  <w:shd w:val="clear" w:color="auto" w:fill="1F3864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v0.2 (+delta)</w:t>
                  </w:r>
                </w:p>
              </w:tc>
            </w:tr>
            <w:tr>
              <w:tc>
                <w:tcPr>
                  <w:tcW w:type="dxa" w:w="1632"/>
                  <w:shd w:val="clear" w:color="auto" w:fill="F8F8F8"/>
                </w:tcPr>
                <w:p>
                  <w:pPr>
                    <w:jc w:val="center"/>
                  </w:pPr>
                  <w:r>
                    <w:rPr>
                      <w:sz w:val="17"/>
                    </w:rPr>
                    <w:t>Overall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color w:val="C0392B"/>
                      <w:sz w:val="17"/>
                    </w:rPr>
                    <w:t>68%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b/>
                      <w:color w:val="1E7E34"/>
                      <w:sz w:val="17"/>
                    </w:rPr>
                    <w:t>90%  (+22)</w:t>
                  </w:r>
                </w:p>
              </w:tc>
            </w:tr>
            <w:tr>
              <w:tc>
                <w:tcPr>
                  <w:tcW w:type="dxa" w:w="1632"/>
                  <w:shd w:val="clear" w:color="auto" w:fill="F8F8F8"/>
                </w:tcPr>
                <w:p>
                  <w:pPr>
                    <w:jc w:val="center"/>
                  </w:pPr>
                  <w:r>
                    <w:rPr>
                      <w:sz w:val="17"/>
                    </w:rPr>
                    <w:t>Modal (30)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color w:val="C0392B"/>
                      <w:sz w:val="17"/>
                    </w:rPr>
                    <w:t>78%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b/>
                      <w:color w:val="1E7E34"/>
                      <w:sz w:val="17"/>
                    </w:rPr>
                    <w:t>92%  (+14)</w:t>
                  </w:r>
                </w:p>
              </w:tc>
            </w:tr>
            <w:tr>
              <w:tc>
                <w:tcPr>
                  <w:tcW w:type="dxa" w:w="1632"/>
                  <w:shd w:val="clear" w:color="auto" w:fill="F8F8F8"/>
                </w:tcPr>
                <w:p>
                  <w:pPr>
                    <w:jc w:val="center"/>
                  </w:pPr>
                  <w:r>
                    <w:rPr>
                      <w:sz w:val="17"/>
                    </w:rPr>
                    <w:t>Edge (12)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color w:val="C0392B"/>
                      <w:sz w:val="17"/>
                    </w:rPr>
                    <w:t>33%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b/>
                      <w:color w:val="1E7E34"/>
                      <w:sz w:val="17"/>
                    </w:rPr>
                    <w:t>79%  (+46)</w:t>
                  </w:r>
                </w:p>
              </w:tc>
            </w:tr>
            <w:tr>
              <w:tc>
                <w:tcPr>
                  <w:tcW w:type="dxa" w:w="1632"/>
                  <w:shd w:val="clear" w:color="auto" w:fill="F8F8F8"/>
                </w:tcPr>
                <w:p>
                  <w:pPr>
                    <w:jc w:val="center"/>
                  </w:pPr>
                  <w:r>
                    <w:rPr>
                      <w:sz w:val="17"/>
                    </w:rPr>
                    <w:t>Out-of-Scope (5)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color w:val="C0392B"/>
                      <w:sz w:val="17"/>
                    </w:rPr>
                    <w:t>90%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b/>
                      <w:color w:val="1E7E34"/>
                      <w:sz w:val="17"/>
                    </w:rPr>
                    <w:t>100%  (+10)</w:t>
                  </w:r>
                </w:p>
              </w:tc>
            </w:tr>
            <w:tr>
              <w:tc>
                <w:tcPr>
                  <w:tcW w:type="dxa" w:w="1632"/>
                  <w:shd w:val="clear" w:color="auto" w:fill="F8F8F8"/>
                </w:tcPr>
                <w:p>
                  <w:pPr>
                    <w:jc w:val="center"/>
                  </w:pPr>
                  <w:r>
                    <w:rPr>
                      <w:sz w:val="17"/>
                    </w:rPr>
                    <w:t>Adversarial (3)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color w:val="C0392B"/>
                      <w:sz w:val="17"/>
                    </w:rPr>
                    <w:t>67%</w:t>
                  </w:r>
                </w:p>
              </w:tc>
              <w:tc>
                <w:tcPr>
                  <w:tcW w:type="dxa" w:w="1632"/>
                </w:tcPr>
                <w:p>
                  <w:pPr>
                    <w:jc w:val="center"/>
                  </w:pPr>
                  <w:r>
                    <w:rPr>
                      <w:b/>
                      <w:color w:val="1E7E34"/>
                      <w:sz w:val="17"/>
                    </w:rPr>
                    <w:t>100%  (+33)</w:t>
                  </w:r>
                </w:p>
              </w:tc>
            </w:tr>
          </w:tbl>
          <w:p/>
          <w:p>
            <w:pPr>
              <w:spacing w:before="20" w:after="40"/>
            </w:pPr>
            <w:r>
              <w:rPr>
                <w:sz w:val="18"/>
              </w:rPr>
            </w:r>
          </w:p>
          <w:p>
            <w:pPr>
              <w:spacing w:before="20" w:after="40"/>
            </w:pPr>
            <w:r>
              <w:rPr>
                <w:sz w:val="16"/>
              </w:rPr>
              <w:t>Eval set: 50 examples (30 Modal, 12 Edge, 5 Out-of-Scope, 3 Adversarial). Scoring: Pass=1.0, Partial=0.5, Fail=0. Auto-scored by eval_harness.py using citation detection, confidence score presence, structure check, and refusal phrase matching.</w:t>
            </w:r>
          </w:p>
          <w:p>
            <w:pPr>
              <w:spacing w:before="160" w:after="40"/>
              <w:pBdr>
                <w:bottom w:val="single" w:sz="4" w:space="1" w:color="2E75B6"/>
              </w:pBdr>
            </w:pPr>
            <w:r>
              <w:rPr>
                <w:b/>
                <w:color w:val="1F3864"/>
                <w:sz w:val="19"/>
              </w:rPr>
              <w:t>FAILURE MODES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Conflicting sources (Edge): </w:t>
            </w:r>
            <w:r>
              <w:rPr>
                <w:sz w:val="18"/>
              </w:rPr>
              <w:t>When Jira tickets and Slack threads contradicted each other, v0.1 produced inconsistent recommendations without flagging the conflict. Fixed in v0.2 via edge-case uncertainty flagging rules.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Sparse retrieval (Modal): </w:t>
            </w:r>
            <w:r>
              <w:rPr>
                <w:sz w:val="18"/>
              </w:rPr>
              <w:t>PRDs for low-signal topics (dark mode, profile management) lacked substantive evidence because theme-matching failed to find relevant KB entries — falling back to generic roadmap context.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Competitive analysis gaps (Modal): </w:t>
            </w:r>
            <w:r>
              <w:rPr>
                <w:sz w:val="18"/>
              </w:rPr>
              <w:t>Competitor comparisons cited only one data point per competitor. KB has shallow coverage and no pricing update mechanism.</w:t>
            </w:r>
          </w:p>
          <w:p>
            <w:pPr>
              <w:spacing w:before="20" w:after="40"/>
            </w:pPr>
            <w:r>
              <w:rPr>
                <w:b/>
                <w:color w:val="2E75B6"/>
                <w:sz w:val="18"/>
              </w:rPr>
              <w:t xml:space="preserve">Adversarial failure (v0.1): </w:t>
            </w:r>
            <w:r>
              <w:rPr>
                <w:sz w:val="18"/>
              </w:rPr>
              <w:t>v0.1 partially followed adversarial prompts that asked it to invent roadmap decisions. Root cause: no explicit refusal instruction in the system prompt.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