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240"/>
      </w:pPr>
      <w:r>
        <w:drawing>
          <wp:inline xmlns:a="http://schemas.openxmlformats.org/drawingml/2006/main" xmlns:pic="http://schemas.openxmlformats.org/drawingml/2006/picture">
            <wp:extent cx="1440000" cy="475983"/>
            <wp:docPr id="1" name="Picture 1"/>
            <wp:cNvGraphicFramePr>
              <a:graphicFrameLocks noChangeAspect="1"/>
            </wp:cNvGraphicFramePr>
            <a:graphic>
              <a:graphicData uri="http://schemas.openxmlformats.org/drawingml/2006/picture">
                <pic:pic>
                  <pic:nvPicPr>
                    <pic:cNvPr id="0" name="logo.png"/>
                    <pic:cNvPicPr/>
                  </pic:nvPicPr>
                  <pic:blipFill>
                    <a:blip r:embed="rId12"/>
                    <a:stretch>
                      <a:fillRect/>
                    </a:stretch>
                  </pic:blipFill>
                  <pic:spPr>
                    <a:xfrm>
                      <a:off x="0" y="0"/>
                      <a:ext cx="1440000" cy="475983"/>
                    </a:xfrm>
                    <a:prstGeom prst="rect"/>
                  </pic:spPr>
                </pic:pic>
              </a:graphicData>
            </a:graphic>
          </wp:inline>
        </w:drawing>
      </w:r>
    </w:p>
    <w:p>
      <w:pPr>
        <w:pageBreakBefore w:val="0"/>
        <w:spacing w:after="40" w:before="0" w:line="264" w:lineRule="auto"/>
      </w:pPr>
      <w:r>
        <w:rPr>
          <w:rFonts w:ascii="Helvetica Neue" w:hAnsi="Helvetica Neue" w:cs="Helvetica Neue" w:eastAsia="Helvetica Neue"/>
          <w:b/>
          <w:color w:val="6B6B6B"/>
          <w:sz w:val="22"/>
          <w:spacing w:val="40"/>
        </w:rPr>
        <w:t>COVERING LETTER</w:t>
      </w:r>
    </w:p>
    <w:p>
      <w:pPr>
        <w:pageBreakBefore w:val="0"/>
        <w:spacing w:after="40" w:before="0" w:line="240" w:lineRule="auto"/>
      </w:pPr>
      <w:r>
        <w:rPr>
          <w:rFonts w:ascii="Helvetica Neue" w:hAnsi="Helvetica Neue" w:cs="Helvetica Neue" w:eastAsia="Helvetica Neue"/>
          <w:b/>
          <w:color w:val="111111"/>
          <w:sz w:val="22"/>
        </w:rPr>
        <w:t>Creative Industries Impact Study</w:t>
      </w:r>
    </w:p>
    <w:p>
      <w:pPr>
        <w:pageBreakBefore w:val="0"/>
        <w:spacing w:after="240" w:before="0" w:line="264" w:lineRule="auto"/>
      </w:pPr>
      <w:r>
        <w:rPr>
          <w:rFonts w:ascii="Helvetica Neue" w:hAnsi="Helvetica Neue" w:cs="Helvetica Neue" w:eastAsia="Helvetica Neue"/>
          <w:b w:val="0"/>
          <w:color w:val="6B6B6B"/>
          <w:sz w:val="22"/>
        </w:rPr>
        <w:t>V&amp;A VA/CON/F26/33  |  Tender return, Monday 19 October 2026</w:t>
      </w:r>
    </w:p>
    <w:p>
      <w:pPr>
        <w:pageBreakBefore w:val="0"/>
        <w:spacing w:after="140" w:before="0" w:line="264" w:lineRule="auto"/>
      </w:pPr>
      <w:r>
        <w:rPr>
          <w:rFonts w:ascii="Helvetica Neue" w:hAnsi="Helvetica Neue" w:cs="Helvetica Neue" w:eastAsia="Helvetica Neue"/>
          <w:b w:val="0"/>
          <w:color w:val="333333"/>
          <w:sz w:val="22"/>
        </w:rPr>
        <w:t>Dear evaluation panel,</w:t>
      </w:r>
    </w:p>
    <w:p>
      <w:pPr>
        <w:pageBreakBefore w:val="0"/>
        <w:spacing w:after="140" w:before="0" w:line="264" w:lineRule="auto"/>
      </w:pPr>
      <w:r>
        <w:rPr>
          <w:rFonts w:ascii="Helvetica Neue" w:hAnsi="Helvetica Neue" w:cs="Helvetica Neue" w:eastAsia="Helvetica Neue"/>
          <w:b w:val="0"/>
          <w:color w:val="333333"/>
          <w:sz w:val="22"/>
        </w:rPr>
        <w:t>The Fifth Sector Limited submits this tender. We lead a team of five associates: Obsolete.com Ltd, Morra Limited, Dr Brian Condon, Nikolas Kunesch and FACT Liverpool. The Fifth Sector contracts each of them and answers to the V&amp;A for their work.</w:t>
      </w:r>
    </w:p>
    <w:p>
      <w:pPr>
        <w:pageBreakBefore w:val="0"/>
        <w:spacing w:after="140" w:before="0" w:line="264" w:lineRule="auto"/>
      </w:pPr>
      <w:r>
        <w:rPr>
          <w:rFonts w:ascii="Helvetica Neue" w:hAnsi="Helvetica Neue" w:cs="Helvetica Neue" w:eastAsia="Helvetica Neue"/>
          <w:b w:val="0"/>
          <w:color w:val="333333"/>
          <w:sz w:val="22"/>
        </w:rPr>
        <w:t>You have asked for a defensible account of what the V&amp;A's collections, expertise and commissioning set in motion for the creative industries. We will tell you, with evidence, where the V&amp;A makes a creative difference that would not have happened without it, where the effect is emerging or limited, and where effort buys little.</w:t>
      </w:r>
    </w:p>
    <w:p>
      <w:pPr>
        <w:pageBreakBefore w:val="0"/>
        <w:spacing w:after="140" w:before="0" w:line="264" w:lineRule="auto"/>
      </w:pPr>
      <w:r>
        <w:rPr>
          <w:rFonts w:ascii="Helvetica Neue" w:hAnsi="Helvetica Neue" w:cs="Helvetica Neue" w:eastAsia="Helvetica Neue"/>
          <w:b w:val="0"/>
          <w:color w:val="333333"/>
          <w:sz w:val="22"/>
        </w:rPr>
        <w:t>We will use Places, our evidence platform for creative economies, to frame the question, collect evidence, analyse results, check findings and produce the final report. Every finding carries its sources and assumptions, and the V&amp;A can accept, challenge or reject it. The attached presentation introduces the platform.</w:t>
      </w:r>
    </w:p>
    <w:p>
      <w:pPr>
        <w:pageBreakBefore w:val="0"/>
        <w:spacing w:after="140" w:before="0" w:line="264" w:lineRule="auto"/>
      </w:pPr>
      <w:r>
        <w:rPr>
          <w:rFonts w:ascii="Helvetica Neue" w:hAnsi="Helvetica Neue" w:cs="Helvetica Neue" w:eastAsia="Helvetica Neue"/>
          <w:b w:val="0"/>
          <w:color w:val="333333"/>
          <w:sz w:val="22"/>
        </w:rPr>
        <w:t>Our team combines creative economy research, completed programme evaluations, business cases on Queen Elizabeth Olympic Park, including pilots built around V&amp;A East Storehouse, and direct experience of creative production.</w:t>
      </w:r>
    </w:p>
    <w:p>
      <w:pPr>
        <w:pageBreakBefore w:val="0"/>
        <w:spacing w:after="180" w:before="0" w:line="264" w:lineRule="auto"/>
      </w:pPr>
      <w:r>
        <w:rPr>
          <w:rFonts w:ascii="Helvetica Neue" w:hAnsi="Helvetica Neue" w:cs="Helvetica Neue" w:eastAsia="Helvetica Neue"/>
          <w:b w:val="0"/>
          <w:color w:val="333333"/>
          <w:sz w:val="22"/>
        </w:rPr>
        <w:t>Work runs from December 2026 to a final report, executive summary and presentation by 28 May 2027, with an April interim presentation. The fixed fee, which includes all expenses, and the payment schedule are in the fee section, with the Price and Resource Schedule. The response follows the tender return order: comparable work, proposal, team, fee and compliance.</w:t>
      </w:r>
    </w:p>
    <w:tbl>
      <w:tblPr>
        <w:tblW w:type="auto" w:w="0"/>
        <w:tblLayout w:type="fixed"/>
        <w:tblLook w:firstColumn="1" w:firstRow="1" w:lastColumn="0" w:lastRow="0" w:noHBand="0" w:noVBand="1" w:val="04A0"/>
        <w:tblW w:w="9066" w:type="dxa"/>
      </w:tblPr>
      <w:tblGrid>
        <w:gridCol w:w="9066"/>
      </w:tblGrid>
      <w:tr>
        <w:tc>
          <w:tcPr>
            <w:tcW w:type="dxa" w:w="9066"/>
            <w:shd w:val="clear" w:color="auto" w:fill="F0F0F0"/>
            <w:tcMar>
              <w:top w:w="120" w:type="dxa"/>
              <w:left w:w="200" w:type="dxa"/>
              <w:bottom w:w="120" w:type="dxa"/>
              <w:right w:w="200" w:type="dxa"/>
            </w:tcMar>
            <w:tcBorders>
              <w:left w:val="single" w:sz="36" w:color="111111" w:space="0"/>
            </w:tcBorders>
          </w:tcPr>
          <w:p>
            <w:pPr>
              <w:spacing w:after="40" w:line="264" w:lineRule="auto"/>
            </w:pPr>
            <w:r>
              <w:rPr>
                <w:rFonts w:ascii="Helvetica Neue" w:hAnsi="Helvetica Neue" w:cs="Helvetica Neue" w:eastAsia="Helvetica Neue"/>
                <w:b/>
                <w:color w:val="6B6B6B"/>
                <w:sz w:val="22"/>
                <w:spacing w:val="40"/>
              </w:rPr>
              <w:t>ATTACHED</w:t>
            </w:r>
          </w:p>
          <w:p>
            <w:pPr>
              <w:spacing w:after="0" w:line="264" w:lineRule="auto"/>
            </w:pPr>
            <w:r>
              <w:rPr>
                <w:rFonts w:ascii="Helvetica Neue" w:hAnsi="Helvetica Neue" w:cs="Helvetica Neue" w:eastAsia="Helvetica Neue"/>
                <w:b/>
                <w:color w:val="111111"/>
                <w:sz w:val="22"/>
              </w:rPr>
              <w:t>Places: an evidence platform for understanding creative economies</w:t>
            </w:r>
            <w:r>
              <w:rPr>
                <w:rFonts w:ascii="Helvetica Neue" w:hAnsi="Helvetica Neue" w:cs="Helvetica Neue" w:eastAsia="Helvetica Neue"/>
                <w:b w:val="0"/>
                <w:color w:val="333333"/>
                <w:sz w:val="22"/>
              </w:rPr>
              <w:t>. The Fifth Sector, 2026. See the place. Follow the evidence. Act on it.</w:t>
            </w:r>
          </w:p>
        </w:tc>
      </w:tr>
    </w:tbl>
    <w:p>
      <w:pPr>
        <w:pageBreakBefore w:val="0"/>
        <w:spacing w:after="200" w:before="200" w:line="264" w:lineRule="auto"/>
      </w:pPr>
      <w:r>
        <w:rPr>
          <w:rFonts w:ascii="Helvetica Neue" w:hAnsi="Helvetica Neue" w:cs="Helvetica Neue" w:eastAsia="Helvetica Neue"/>
          <w:b w:val="0"/>
          <w:color w:val="333333"/>
          <w:sz w:val="22"/>
        </w:rPr>
        <w:t>We would welcome the chance to present to the panel on 2 or 3 November.</w:t>
      </w:r>
    </w:p>
    <w:p>
      <w:pPr>
        <w:pageBreakBefore w:val="0"/>
        <w:spacing w:after="400" w:before="0" w:line="264" w:lineRule="auto"/>
      </w:pPr>
      <w:r>
        <w:rPr>
          <w:rFonts w:ascii="Helvetica Neue" w:hAnsi="Helvetica Neue" w:cs="Helvetica Neue" w:eastAsia="Helvetica Neue"/>
          <w:b w:val="0"/>
          <w:color w:val="333333"/>
          <w:sz w:val="22"/>
        </w:rPr>
        <w:t>Yours sincerely,</w:t>
      </w:r>
    </w:p>
    <w:p>
      <w:pPr>
        <w:pageBreakBefore w:val="0"/>
        <w:spacing w:after="0" w:before="0" w:line="240" w:lineRule="auto"/>
      </w:pPr>
      <w:r>
        <w:rPr>
          <w:rFonts w:ascii="Helvetica Neue" w:hAnsi="Helvetica Neue" w:cs="Helvetica Neue" w:eastAsia="Helvetica Neue"/>
          <w:b/>
          <w:color w:val="111111"/>
          <w:sz w:val="22"/>
        </w:rPr>
        <w:t>Iain Bennett</w:t>
      </w:r>
    </w:p>
    <w:p>
      <w:pPr>
        <w:pageBreakBefore w:val="0"/>
        <w:spacing w:after="0" w:before="0" w:line="240" w:lineRule="auto"/>
      </w:pPr>
      <w:r>
        <w:rPr>
          <w:rFonts w:ascii="Helvetica Neue" w:hAnsi="Helvetica Neue" w:cs="Helvetica Neue" w:eastAsia="Helvetica Neue"/>
          <w:b w:val="0"/>
          <w:color w:val="333333"/>
          <w:sz w:val="22"/>
        </w:rPr>
        <w:t>Director, The Fifth Sector Limited</w:t>
      </w:r>
    </w:p>
    <w:p>
      <w:pPr>
        <w:pageBreakBefore w:val="0"/>
        <w:spacing w:after="0" w:before="0" w:line="240" w:lineRule="auto"/>
      </w:pPr>
      <w:r>
        <w:rPr>
          <w:rFonts w:ascii="Helvetica Neue" w:hAnsi="Helvetica Neue" w:cs="Helvetica Neue" w:eastAsia="Helvetica Neue"/>
          <w:b w:val="0"/>
          <w:color w:val="333333"/>
          <w:sz w:val="22"/>
        </w:rPr>
        <w:t>Edward Pavilion, Albert Dock, Liverpool L3 4AF</w:t>
      </w:r>
    </w:p>
    <w:p>
      <w:pPr>
        <w:pageBreakBefore w:val="0"/>
        <w:spacing w:after="200" w:before="0" w:line="240" w:lineRule="auto"/>
      </w:pPr>
      <w:r>
        <w:rPr>
          <w:rFonts w:ascii="Helvetica Neue" w:hAnsi="Helvetica Neue" w:cs="Helvetica Neue" w:eastAsia="Helvetica Neue"/>
          <w:b w:val="0"/>
          <w:color w:val="333333"/>
          <w:sz w:val="22"/>
        </w:rPr>
        <w:t>iain@thefifthsector.co.uk  |  0151 203 3004</w:t>
      </w:r>
    </w:p>
    <w:p>
      <w:pPr>
        <w:pageBreakBefore w:val="0"/>
        <w:spacing w:after="0" w:before="0" w:line="240" w:lineRule="auto"/>
      </w:pPr>
      <w:r>
        <w:rPr>
          <w:rFonts w:ascii="Helvetica Neue" w:hAnsi="Helvetica Neue" w:cs="Helvetica Neue" w:eastAsia="Helvetica Neue"/>
          <w:b w:val="0"/>
          <w:color w:val="6B6B6B"/>
          <w:sz w:val="22"/>
          <w:spacing w:val="10"/>
        </w:rPr>
        <w:t>THE FIFTH SECTOR LIMITED  |  NO. 07539809  |  VAT 116 5537 20</w:t>
      </w:r>
    </w:p>
    <w:p w14:paraId="4267D004" w14:textId="77777777" w:rsidR="00C14C5A" w:rsidRPr="007948B8" w:rsidRDefault="00000000">
      <w:pPr>
        <w:pStyle w:val="Heading1"/>
        <w:pageBreakBefore/>
        <w:rPr>
          <w:sz w:val="22"/>
          <w:szCs w:val="22"/>
        </w:rPr>
      </w:pPr>
      <w:r w:rsidRPr="007948B8">
        <w:rPr>
          <w:sz w:val="22"/>
          <w:szCs w:val="22"/>
        </w:rPr>
        <w:lastRenderedPageBreak/>
        <w:t>Case studies of comparable work</w:t>
      </w:r>
    </w:p>
    <w:p w14:paraId="23A40CF6" w14:textId="77777777" w:rsidR="00C14C5A" w:rsidRPr="007948B8" w:rsidRDefault="00000000">
      <w:pPr>
        <w:pStyle w:val="Heading2"/>
        <w:rPr>
          <w:sz w:val="22"/>
          <w:szCs w:val="22"/>
        </w:rPr>
      </w:pPr>
      <w:r w:rsidRPr="007948B8">
        <w:rPr>
          <w:sz w:val="22"/>
          <w:szCs w:val="22"/>
        </w:rPr>
        <w:t>1. Creative Experience Lab London (CELL): experience economy mapping and business case, 2025–2026</w:t>
      </w:r>
    </w:p>
    <w:p w14:paraId="6791F53C" w14:textId="34E4B967" w:rsidR="00C14C5A" w:rsidRPr="007948B8" w:rsidRDefault="00000000">
      <w:r w:rsidRPr="007948B8">
        <w:t>The Fifth Sector and Obsolete.com developed the strategic business case and London experience economy mapping, built on Places, for CELL, a collaborative initiative of Loughborough University London and UCL with the London Legacy Development Corporation (LLDC) on Queen Elizabeth Olympic Park. The business case evaluated the 2024–25 Creative Experience Futures Lab pilots, whose first Lab partnered with V&amp;A East around the V&amp;A East Storehouse, Order an Object and the Collections API, funding V'N'A Test and East End Edit. We modelled V&amp;A East Storehouse and V&amp;A East Museum as Stage 1 anchor commissioners and argued that pilot grants disperse learning unless a standing register tracks how collection access converts into sustained creative work. Relevance: our closest work on how collection access might convert into creative work. Referee: Professor Graham Hitchen, Loughborough University, client contact for CELL.</w:t>
      </w:r>
    </w:p>
    <w:p w14:paraId="6579DDA7" w14:textId="26DF382C" w:rsidR="00C14C5A" w:rsidRPr="007948B8" w:rsidRDefault="00000000">
      <w:pPr>
        <w:pStyle w:val="Heading2"/>
        <w:rPr>
          <w:sz w:val="22"/>
          <w:szCs w:val="22"/>
        </w:rPr>
      </w:pPr>
      <w:r w:rsidRPr="007948B8">
        <w:rPr>
          <w:sz w:val="22"/>
          <w:szCs w:val="22"/>
        </w:rPr>
        <w:t xml:space="preserve">2. Wakefield Council: Cultural Development Fund and Our Year </w:t>
      </w:r>
      <w:r w:rsidR="00352A82" w:rsidRPr="007948B8">
        <w:rPr>
          <w:sz w:val="22"/>
          <w:szCs w:val="22"/>
        </w:rPr>
        <w:t xml:space="preserve">2024 </w:t>
      </w:r>
      <w:r w:rsidRPr="007948B8">
        <w:rPr>
          <w:sz w:val="22"/>
          <w:szCs w:val="22"/>
        </w:rPr>
        <w:t>evaluations, 2024–2025</w:t>
      </w:r>
    </w:p>
    <w:p w14:paraId="0F394E3A" w14:textId="0433C87A" w:rsidR="00C14C5A" w:rsidRPr="007948B8" w:rsidRDefault="00000000">
      <w:r w:rsidRPr="007948B8">
        <w:t xml:space="preserve">Wakefield Council asked us to evaluate its £4.38 million Cultural Development Fund and Our Year 2024. We reported £22.03 million total programme value (the Fund plus other funding), creative employment growth of 32% (ONS, 2020–23; context, not attributed to the Fund) and network growth of 458% (150 to 837 members). 15 Creative Leadership participants produced 12 new collaborations. </w:t>
      </w:r>
      <w:r w:rsidR="00352A82" w:rsidRPr="007948B8">
        <w:t>The Council drew on our evaluation in making its case for investment in Our Year 2024, aided by a business case we wrote for West Yorkshire Combined Authority investment. Both</w:t>
      </w:r>
      <w:r w:rsidRPr="007948B8">
        <w:t xml:space="preserve"> evaluations flagged where evidence was limited</w:t>
      </w:r>
      <w:r w:rsidR="00352A82" w:rsidRPr="007948B8">
        <w:t>;</w:t>
      </w:r>
      <w:r w:rsidRPr="007948B8">
        <w:t xml:space="preserve"> and found that the Our Year model offers a template for West Yorkshire investment. Relevance: public investment traced into creative employment and networks, with evidence limits stated. Referee: Ben Cook, Wakefield Council.</w:t>
      </w:r>
    </w:p>
    <w:p w14:paraId="247AB288" w14:textId="77777777" w:rsidR="00C14C5A" w:rsidRPr="007948B8" w:rsidRDefault="00000000">
      <w:pPr>
        <w:pStyle w:val="Heading2"/>
        <w:rPr>
          <w:sz w:val="22"/>
          <w:szCs w:val="22"/>
        </w:rPr>
      </w:pPr>
      <w:r w:rsidRPr="007948B8">
        <w:rPr>
          <w:sz w:val="22"/>
          <w:szCs w:val="22"/>
        </w:rPr>
        <w:t>3. South Yorkshire Mayoral Combined Authority: Culture Additional Restrictions Grant evaluation, 2022–24</w:t>
      </w:r>
    </w:p>
    <w:p w14:paraId="121FCC5F" w14:textId="05BBE943" w:rsidR="00C14C5A" w:rsidRPr="007948B8" w:rsidRDefault="00000000">
      <w:r w:rsidRPr="007948B8">
        <w:t>We won a competed tender to evaluate South Yorkshire's emergency COVID-19 grant for culture, arts and heritage, administered by the Combined Authority with its four local authorities. We produced the evaluation report, an impact framework and per-authority analysis, used change in recipient organisations' net assets as a proxy for impact, and were explicit about its limits. The findings were incorporated into the Combined Authority’s Culture, Arts and Heritage engagement report (https://www.southyorkshire-ca.gov.uk/getmedia/5f45f74b-9778-4295-83dc-9a76bff2d729/SYMCA-Culture-Arts-and-Heritage-Engagement-Report-20-06.pdf). Separately, our Cultural and Creative Industries data research and mapping for the Combined Authority is published (https://www.southyorkshire-ca.gov.uk/getmedia/5f8d8b74-4f1c-4086-9332-c668f93ab149/MCA-Fifth-Sector-Report-v5-(1).pdf). Relevance: evaluating support for creative organisations, and what a small emergency programme can show (Key Questions 5 and 7). Referee: Andrew Gates, Director of Strategy, Collaboration and Culture, SYMCA.</w:t>
      </w:r>
    </w:p>
    <w:p w14:paraId="68F01E7E" w14:textId="77777777" w:rsidR="00C14C5A" w:rsidRPr="007948B8" w:rsidRDefault="00000000">
      <w:pPr>
        <w:pStyle w:val="Heading2"/>
        <w:rPr>
          <w:sz w:val="22"/>
          <w:szCs w:val="22"/>
        </w:rPr>
      </w:pPr>
      <w:r w:rsidRPr="007948B8">
        <w:rPr>
          <w:sz w:val="22"/>
          <w:szCs w:val="22"/>
        </w:rPr>
        <w:t>4. Liverpool City Region music economy, 2026</w:t>
      </w:r>
    </w:p>
    <w:p w14:paraId="5ECEBAA3" w14:textId="1E22E3E7" w:rsidR="00C14C5A" w:rsidRPr="007948B8" w:rsidRDefault="00000000">
      <w:r w:rsidRPr="007948B8">
        <w:t>The Liverpool City Region music economy study maps registered businesses, freelancers and the portfolio workforce alongside venues, production services and IP businesses, using a four-tier workforce model and social network analysis of 272 businesses. Its modelled baseline estimates £405.9 million direct GVA (£779.8 million total) and more than 7,200 FTE roles not recorded in payroll data. Produced by The Fifth Sector with the University of Liverpool IPM; Bennett devised and developed the methodology, Bains was contributing researcher</w:t>
      </w:r>
      <w:r w:rsidR="00352A82" w:rsidRPr="007948B8">
        <w:t>, with evidence collated and reconciled through Places</w:t>
      </w:r>
      <w:r w:rsidRPr="007948B8">
        <w:t>. Relevance: how we reach the freelancers and portfolio workers that official statistics miss, the people a V&amp;A study must also reach (Key Questions 2 and 4). Referee: Dr Mathew Flynn, Music Futures and Institute of Popular Music, University of Liverpool.</w:t>
      </w:r>
    </w:p>
    <w:p w14:paraId="3BDAEA83" w14:textId="77777777" w:rsidR="00C14C5A" w:rsidRPr="007948B8" w:rsidRDefault="00000000">
      <w:pPr>
        <w:pStyle w:val="Heading2"/>
        <w:rPr>
          <w:sz w:val="22"/>
          <w:szCs w:val="22"/>
        </w:rPr>
      </w:pPr>
      <w:r w:rsidRPr="007948B8">
        <w:rPr>
          <w:sz w:val="22"/>
          <w:szCs w:val="22"/>
        </w:rPr>
        <w:lastRenderedPageBreak/>
        <w:t xml:space="preserve">5. North East Scotland creative industries mapping, Aberdeen City Council and Aberdeenshire Council, 2025–26 </w:t>
      </w:r>
    </w:p>
    <w:p w14:paraId="586381A0" w14:textId="7DB0DEA7" w:rsidR="00C14C5A" w:rsidRPr="007948B8" w:rsidRDefault="00000000">
      <w:r w:rsidRPr="007948B8">
        <w:t>We mapped the creative economy of Aberdeen and Aberdeenshire using Places, with job</w:t>
      </w:r>
      <w:r w:rsidR="00352A82" w:rsidRPr="007948B8">
        <w:t xml:space="preserve"> posting</w:t>
      </w:r>
      <w:r w:rsidRPr="007948B8">
        <w:t xml:space="preserve"> and LinkedIn workflow analysis. The question of where the region's “missing” graduates in screen, software and design go was examined by analysing 3D visualisation and immersive production workflows: th</w:t>
      </w:r>
      <w:r w:rsidR="00352A82" w:rsidRPr="007948B8">
        <w:t>is found that the</w:t>
      </w:r>
      <w:r w:rsidRPr="007948B8">
        <w:t xml:space="preserve"> energy sector employed more people with those skills than the creative industries did, and the skills were transferable, a spillover into another sector that creative industry statistics do not show. The report was agreed at an Aberdeen City Council Finance and Resources Committee, and the Creative Industries Working Group of the Regional Economic Partnership will use it to guide its work. Full report: https://aberdeen.moderngov.co.uk/mgConvert2PDF.aspx?ID=181729. Its findings and recommendations were taken up in the North East Culture Connects Regional Framework (https://aberdeen.moderngov.co.uk/documents/s181728/Appendix_2_North%20East%20Culture%20Connects_Summary.pdf). The model, a Places evidence base with workflow analysis, can be run for any region or institution to show where its people and skills go. Relevance: tracing where creative skills and people go beyond the sector (Key Questions 3 and 4). Referee: David Officer, Cultural Planning Officer, Aberdeen City Council.</w:t>
      </w:r>
    </w:p>
    <w:p w14:paraId="0A05681F" w14:textId="77777777" w:rsidR="00C14C5A" w:rsidRPr="007948B8" w:rsidRDefault="00000000">
      <w:pPr>
        <w:pStyle w:val="Heading1"/>
        <w:pageBreakBefore/>
        <w:rPr>
          <w:sz w:val="22"/>
          <w:szCs w:val="22"/>
        </w:rPr>
      </w:pPr>
      <w:r w:rsidRPr="007948B8">
        <w:rPr>
          <w:sz w:val="22"/>
          <w:szCs w:val="22"/>
        </w:rPr>
        <w:lastRenderedPageBreak/>
        <w:t>Proposal to deliver the study</w:t>
      </w:r>
    </w:p>
    <w:p w14:paraId="0C782A2F" w14:textId="2FC67201" w:rsidR="00C14C5A" w:rsidRPr="007948B8" w:rsidRDefault="00000000">
      <w:r w:rsidRPr="007948B8">
        <w:t xml:space="preserve">The V&amp;A needs a defensible account of what its collections, expertise and commissioning set in motion beyond its own visitors. We will identify each kind of spillover (knowledge and skills, networks, creative output, careers, economic value, option value, and cases where nothing followed) and quantify each where the evidence allows, otherwise bounding it, using Places, our creative economy evidence platform. Its map locates the creatives, businesses and venues the V&amp;A touches, including outside central business districts; its graph shows who works with whom, from project credits and partnerships; its dynamics view follows the same people and firms over time against comparison groups. Every finding </w:t>
      </w:r>
      <w:r w:rsidR="00614A65" w:rsidRPr="007948B8">
        <w:t>shows</w:t>
      </w:r>
      <w:r w:rsidRPr="007948B8">
        <w:t xml:space="preserve"> its sources and assumptions and can be accepted, challenged or rejected on review; values are labelled observed, descriptive estimate, modelled or scenario, with their denominators. Proximity to the V&amp;A is context</w:t>
      </w:r>
      <w:r w:rsidR="00614A65" w:rsidRPr="007948B8">
        <w:t xml:space="preserve"> only</w:t>
      </w:r>
      <w:r w:rsidRPr="007948B8">
        <w:t xml:space="preserve">: involvement and effect need direct evidence. Our approach is </w:t>
      </w:r>
      <w:r w:rsidR="00614A65" w:rsidRPr="007948B8">
        <w:t xml:space="preserve">both </w:t>
      </w:r>
      <w:r w:rsidRPr="007948B8">
        <w:t xml:space="preserve">innovative and tested: Places has been used in London, the English regions, Scotland and Wales, and clients use it for exactly this kind of </w:t>
      </w:r>
      <w:r w:rsidR="00614A65" w:rsidRPr="007948B8">
        <w:t xml:space="preserve">scrutiny of </w:t>
      </w:r>
      <w:r w:rsidRPr="007948B8">
        <w:t>evidence</w:t>
      </w:r>
      <w:r w:rsidR="00614A65" w:rsidRPr="007948B8">
        <w:t xml:space="preserve"> and claims</w:t>
      </w:r>
      <w:r w:rsidRPr="007948B8">
        <w:t>. It holds ten years of Companies House records, ONS and other open data</w:t>
      </w:r>
      <w:r w:rsidR="00614A65" w:rsidRPr="007948B8">
        <w:t xml:space="preserve">. Our project </w:t>
      </w:r>
      <w:r w:rsidRPr="007948B8">
        <w:t xml:space="preserve">register logs 595 </w:t>
      </w:r>
      <w:r w:rsidR="00614A65" w:rsidRPr="007948B8">
        <w:t>outcomes</w:t>
      </w:r>
      <w:r w:rsidRPr="007948B8">
        <w:t xml:space="preserve"> from 69 previous projects across 15 years of specialist creative economy and workforce mapping. For each part of the V&amp;A's work we will say plainly whether the effect is strong, emerging or limited, and why, and where the evidence shows contribution rather than proof, following named creatives from first V&amp;A contact to changed work and later income. Following the IIPP analysis of the BBC, we treat the V&amp;A as an ecosystem builder, testing effects on others’ capacity (networks, reuse, talent pipelines) as well as those it directly engages, and report activity, outputs and impact separately.</w:t>
      </w:r>
    </w:p>
    <w:p w14:paraId="78F6F409" w14:textId="24ABA35A" w:rsidR="00C14C5A" w:rsidRPr="007948B8" w:rsidRDefault="006D4668">
      <w:pPr>
        <w:pStyle w:val="Heading2"/>
        <w:rPr>
          <w:sz w:val="22"/>
          <w:szCs w:val="22"/>
        </w:rPr>
      </w:pPr>
      <w:r>
        <w:rPr>
          <w:sz w:val="22"/>
          <w:szCs w:val="22"/>
        </w:rPr>
        <w:t>Deliverables</w:t>
      </w:r>
    </w:p>
    <w:p w14:paraId="34FCE87E" w14:textId="77777777" w:rsidR="00C14C5A" w:rsidRPr="007948B8" w:rsidRDefault="00000000">
      <w:r w:rsidRPr="007948B8">
        <w:t>(1) The calculation workbook, indicator schedule and evidence register, which the V&amp;A can rerun without Places and which are a first step towards its own impact model; (2) a final report with qualified headline economic measures and longitudinal insight; (3) eight case studies of material difference over time (six converting journeys, two non-converting), each rated strong, emerging or limited and why; (4) an impact narrative with proof points for practitioners, industry leaders, funders and policymakers; (5) a register of gaps and low-impact activity, and prioritised options to focus, redesign or reduce, each with a decision owner; (6) interim and final presentations and an executive summary. Places provides the analytics engine, and is strongest used longitudinally to measure consistent results; if the V&amp;A prefers a simpler, no-dependency output, every deliverable is also provided in standard spreadsheet and document formats.</w:t>
      </w:r>
    </w:p>
    <w:p w14:paraId="657000EA" w14:textId="77777777" w:rsidR="00C14C5A" w:rsidRPr="007948B8" w:rsidRDefault="00000000">
      <w:pPr>
        <w:pStyle w:val="Heading2"/>
        <w:rPr>
          <w:sz w:val="22"/>
          <w:szCs w:val="22"/>
        </w:rPr>
      </w:pPr>
      <w:r w:rsidRPr="007948B8">
        <w:rPr>
          <w:sz w:val="22"/>
          <w:szCs w:val="22"/>
        </w:rPr>
        <w:t>Measuring impact beyond traditional metrics: outcomes, additional value, unique contribution</w:t>
      </w:r>
    </w:p>
    <w:p w14:paraId="14DFF45E" w14:textId="400158A1" w:rsidR="00C14C5A" w:rsidRPr="007948B8" w:rsidRDefault="00000000">
      <w:r w:rsidRPr="007948B8">
        <w:t xml:space="preserve">Beyond visits, loans and reach, we add four things. Outcomes: dated chains from V&amp;A contact to a changed decision, completed work and later commissions or income, corroborated by briefs, credits and invoices. Additional value: every participant answers the same three questions (what would you have done without the V&amp;A, what did you use instead, what was lost?), and the economic ledgers adjust for deadweight, displacement and leakage. We structure the economic account with the Cultural Heritage Capital framework (collections and expertise as assets, the services they provide, who benefits) and cross-check estimates against published values: it frames value, while additionality comes from comparison groups and deadweight adjustments. Unique contribution: a distinctiveness test against named substitute archives and services. Spillovers: seven channels, each with a named instrument (table). Each claim in our evidence-graded register is coded as context, programme output, measured effect or option value, graded for strength of attribution, and checked against rival explanations and what would disconfirm it. The Liverpool Film Office used our evaluations of the LCR Production Fund to support its 2025 business case for an additional £2 </w:t>
      </w:r>
      <w:proofErr w:type="spellStart"/>
      <w:r w:rsidRPr="007948B8">
        <w:t>million</w:t>
      </w:r>
      <w:proofErr w:type="spellEnd"/>
      <w:r w:rsidRPr="007948B8">
        <w:t xml:space="preserve"> of recapitalisation (see its five-year impact report, liverpoolfilmoffice.tv/home/its-official-5-year-impact-report). Every claim in the narrative carries its proof point and confidence rating.</w:t>
      </w:r>
    </w:p>
    <w:p w14:paraId="2F8CF768" w14:textId="77777777" w:rsidR="00614A65" w:rsidRPr="007948B8" w:rsidRDefault="00614A65"/>
    <w:tbl>
      <w:tblPr>
        <w:tblStyle w:val="TableGrid"/>
        <w:tblW w:w="0" w:type="auto"/>
        <w:jc w:val="center"/>
        <w:tblLook w:val="04A0" w:firstRow="1" w:lastRow="0" w:firstColumn="1" w:lastColumn="0" w:noHBand="0" w:noVBand="1"/>
      </w:tblPr>
      <w:tblGrid>
        <w:gridCol w:w="2154"/>
        <w:gridCol w:w="3742"/>
        <w:gridCol w:w="3175"/>
      </w:tblGrid>
      <w:tr w:rsidR="00C14C5A" w:rsidRPr="007948B8" w14:paraId="2C0B30B9" w14:textId="77777777">
        <w:trPr>
          <w:jc w:val="center"/>
        </w:trPr>
        <w:tc>
          <w:tcPr>
            <w:tcW w:w="2154" w:type="dxa"/>
          </w:tcPr>
          <w:p w14:paraId="6EAE6814" w14:textId="7A8A1283" w:rsidR="00C14C5A" w:rsidRPr="007948B8" w:rsidRDefault="00000000">
            <w:pPr>
              <w:spacing w:after="0"/>
            </w:pPr>
            <w:r w:rsidRPr="007948B8">
              <w:rPr>
                <w:b/>
              </w:rPr>
              <w:lastRenderedPageBreak/>
              <w:t xml:space="preserve">Spillover channel </w:t>
            </w:r>
          </w:p>
        </w:tc>
        <w:tc>
          <w:tcPr>
            <w:tcW w:w="3742" w:type="dxa"/>
          </w:tcPr>
          <w:p w14:paraId="33DBAE5E" w14:textId="77777777" w:rsidR="00C14C5A" w:rsidRPr="007948B8" w:rsidRDefault="00000000">
            <w:pPr>
              <w:spacing w:after="0"/>
            </w:pPr>
            <w:r w:rsidRPr="007948B8">
              <w:rPr>
                <w:b/>
              </w:rPr>
              <w:t>Instrument and lead</w:t>
            </w:r>
          </w:p>
        </w:tc>
        <w:tc>
          <w:tcPr>
            <w:tcW w:w="3175" w:type="dxa"/>
          </w:tcPr>
          <w:p w14:paraId="0DBD2398" w14:textId="77777777" w:rsidR="00C14C5A" w:rsidRPr="007948B8" w:rsidRDefault="00000000">
            <w:pPr>
              <w:spacing w:after="0"/>
            </w:pPr>
            <w:r w:rsidRPr="007948B8">
              <w:rPr>
                <w:b/>
              </w:rPr>
              <w:t>What it shows, and its limits</w:t>
            </w:r>
          </w:p>
        </w:tc>
      </w:tr>
      <w:tr w:rsidR="00C14C5A" w:rsidRPr="007948B8" w14:paraId="7F8B8F38" w14:textId="77777777">
        <w:trPr>
          <w:jc w:val="center"/>
        </w:trPr>
        <w:tc>
          <w:tcPr>
            <w:tcW w:w="2154" w:type="dxa"/>
          </w:tcPr>
          <w:p w14:paraId="4458ED04" w14:textId="4D4F695E" w:rsidR="00C14C5A" w:rsidRPr="007948B8" w:rsidRDefault="00000000">
            <w:pPr>
              <w:spacing w:after="0"/>
            </w:pPr>
            <w:r w:rsidRPr="007948B8">
              <w:t>Knowledge and skills (</w:t>
            </w:r>
            <w:r w:rsidR="00614A65" w:rsidRPr="007948B8">
              <w:t xml:space="preserve">Key questions </w:t>
            </w:r>
            <w:r w:rsidRPr="007948B8">
              <w:t>2, 3)</w:t>
            </w:r>
          </w:p>
        </w:tc>
        <w:tc>
          <w:tcPr>
            <w:tcW w:w="3742" w:type="dxa"/>
          </w:tcPr>
          <w:p w14:paraId="22899B0E" w14:textId="77777777" w:rsidR="00C14C5A" w:rsidRPr="007948B8" w:rsidRDefault="00000000">
            <w:pPr>
              <w:spacing w:after="0"/>
            </w:pPr>
            <w:r w:rsidRPr="007948B8">
              <w:t xml:space="preserve">Episode chains; the same three questions to every participant (McCadden, </w:t>
            </w:r>
            <w:proofErr w:type="spellStart"/>
            <w:r w:rsidRPr="007948B8">
              <w:t>Kunesch</w:t>
            </w:r>
            <w:proofErr w:type="spellEnd"/>
            <w:r w:rsidRPr="007948B8">
              <w:t>)</w:t>
            </w:r>
          </w:p>
        </w:tc>
        <w:tc>
          <w:tcPr>
            <w:tcW w:w="3175" w:type="dxa"/>
          </w:tcPr>
          <w:p w14:paraId="140E3172" w14:textId="77777777" w:rsidR="00C14C5A" w:rsidRPr="007948B8" w:rsidRDefault="00000000">
            <w:pPr>
              <w:spacing w:after="0"/>
            </w:pPr>
            <w:r w:rsidRPr="007948B8">
              <w:t>Capability absorbed from collections or expertise; stated additionality graded by corroboration, not a counterfactual</w:t>
            </w:r>
          </w:p>
        </w:tc>
      </w:tr>
      <w:tr w:rsidR="00C14C5A" w:rsidRPr="007948B8" w14:paraId="1973F3E4" w14:textId="77777777">
        <w:trPr>
          <w:jc w:val="center"/>
        </w:trPr>
        <w:tc>
          <w:tcPr>
            <w:tcW w:w="2154" w:type="dxa"/>
          </w:tcPr>
          <w:p w14:paraId="28024903" w14:textId="606D2A33" w:rsidR="00C14C5A" w:rsidRPr="007948B8" w:rsidRDefault="00000000">
            <w:pPr>
              <w:spacing w:after="0"/>
            </w:pPr>
            <w:r w:rsidRPr="007948B8">
              <w:t>Networks and collaboration (</w:t>
            </w:r>
            <w:r w:rsidR="00614A65" w:rsidRPr="007948B8">
              <w:t>KQ</w:t>
            </w:r>
            <w:r w:rsidRPr="007948B8">
              <w:t>4)</w:t>
            </w:r>
          </w:p>
        </w:tc>
        <w:tc>
          <w:tcPr>
            <w:tcW w:w="3742" w:type="dxa"/>
          </w:tcPr>
          <w:p w14:paraId="7AB7C0B1" w14:textId="64CE152E" w:rsidR="00C14C5A" w:rsidRPr="007948B8" w:rsidRDefault="00000000">
            <w:pPr>
              <w:spacing w:after="0"/>
            </w:pPr>
            <w:r w:rsidRPr="007948B8">
              <w:t>Places: tie analysis of credits, co-commissions and reuse (Bains)</w:t>
            </w:r>
          </w:p>
        </w:tc>
        <w:tc>
          <w:tcPr>
            <w:tcW w:w="3175" w:type="dxa"/>
          </w:tcPr>
          <w:p w14:paraId="766846E0" w14:textId="77777777" w:rsidR="00C14C5A" w:rsidRPr="007948B8" w:rsidRDefault="00000000">
            <w:pPr>
              <w:spacing w:after="0"/>
            </w:pPr>
            <w:r w:rsidRPr="007948B8">
              <w:t>Downstream collaboration; not effects on people with no V&amp;A contact</w:t>
            </w:r>
          </w:p>
        </w:tc>
      </w:tr>
      <w:tr w:rsidR="00C14C5A" w:rsidRPr="007948B8" w14:paraId="29A5952B" w14:textId="77777777">
        <w:trPr>
          <w:jc w:val="center"/>
        </w:trPr>
        <w:tc>
          <w:tcPr>
            <w:tcW w:w="2154" w:type="dxa"/>
          </w:tcPr>
          <w:p w14:paraId="106036B1" w14:textId="232BE2F7" w:rsidR="00C14C5A" w:rsidRPr="007948B8" w:rsidRDefault="00000000">
            <w:pPr>
              <w:spacing w:after="0"/>
            </w:pPr>
            <w:r w:rsidRPr="007948B8">
              <w:t>Product and creative output (</w:t>
            </w:r>
            <w:r w:rsidR="00614A65" w:rsidRPr="007948B8">
              <w:t>KQ</w:t>
            </w:r>
            <w:r w:rsidRPr="007948B8">
              <w:t>3, 5)</w:t>
            </w:r>
          </w:p>
        </w:tc>
        <w:tc>
          <w:tcPr>
            <w:tcW w:w="3742" w:type="dxa"/>
          </w:tcPr>
          <w:p w14:paraId="561ED501" w14:textId="77777777" w:rsidR="00C14C5A" w:rsidRPr="007948B8" w:rsidRDefault="00000000">
            <w:pPr>
              <w:spacing w:after="0"/>
            </w:pPr>
            <w:r w:rsidRPr="007948B8">
              <w:t>Artefact and record matching; API and partner reuse; a partner-distributed survey arm reaching non-users (Bains)</w:t>
            </w:r>
          </w:p>
        </w:tc>
        <w:tc>
          <w:tcPr>
            <w:tcW w:w="3175" w:type="dxa"/>
          </w:tcPr>
          <w:p w14:paraId="77DE63BF" w14:textId="77777777" w:rsidR="00C14C5A" w:rsidRPr="007948B8" w:rsidRDefault="00000000">
            <w:pPr>
              <w:spacing w:after="0"/>
            </w:pPr>
            <w:r w:rsidRPr="007948B8">
              <w:t>Traceable work and reuse; the opt-in survey gives indicative profiles, not prevalence</w:t>
            </w:r>
          </w:p>
        </w:tc>
      </w:tr>
      <w:tr w:rsidR="00C14C5A" w:rsidRPr="007948B8" w14:paraId="088B04F8" w14:textId="77777777">
        <w:trPr>
          <w:jc w:val="center"/>
        </w:trPr>
        <w:tc>
          <w:tcPr>
            <w:tcW w:w="2154" w:type="dxa"/>
          </w:tcPr>
          <w:p w14:paraId="505852FC" w14:textId="00C1B73B" w:rsidR="00C14C5A" w:rsidRPr="007948B8" w:rsidRDefault="00000000">
            <w:pPr>
              <w:spacing w:after="0"/>
            </w:pPr>
            <w:r w:rsidRPr="007948B8">
              <w:t>Careers and opportunity (</w:t>
            </w:r>
            <w:r w:rsidR="00614A65" w:rsidRPr="007948B8">
              <w:t>KQ</w:t>
            </w:r>
            <w:r w:rsidRPr="007948B8">
              <w:t>3)</w:t>
            </w:r>
          </w:p>
        </w:tc>
        <w:tc>
          <w:tcPr>
            <w:tcW w:w="3742" w:type="dxa"/>
          </w:tcPr>
          <w:p w14:paraId="67746882" w14:textId="77777777" w:rsidR="00C14C5A" w:rsidRPr="007948B8" w:rsidRDefault="00000000">
            <w:pPr>
              <w:spacing w:after="0"/>
            </w:pPr>
            <w:r w:rsidRPr="007948B8">
              <w:t>Dated 2016–26 chains from about 50 interviews; consent to recontact (McCadden)</w:t>
            </w:r>
          </w:p>
        </w:tc>
        <w:tc>
          <w:tcPr>
            <w:tcW w:w="3175" w:type="dxa"/>
          </w:tcPr>
          <w:p w14:paraId="77DA30B2" w14:textId="77777777" w:rsidR="00C14C5A" w:rsidRPr="007948B8" w:rsidRDefault="00000000">
            <w:pPr>
              <w:spacing w:after="0"/>
            </w:pPr>
            <w:r w:rsidRPr="007948B8">
              <w:t>Retrospective timelines; recontact lets the V&amp;A follow the same people</w:t>
            </w:r>
          </w:p>
        </w:tc>
      </w:tr>
      <w:tr w:rsidR="00C14C5A" w:rsidRPr="007948B8" w14:paraId="2AD7D33B" w14:textId="77777777">
        <w:trPr>
          <w:jc w:val="center"/>
        </w:trPr>
        <w:tc>
          <w:tcPr>
            <w:tcW w:w="2154" w:type="dxa"/>
          </w:tcPr>
          <w:p w14:paraId="584A4B93" w14:textId="46A7905D" w:rsidR="00C14C5A" w:rsidRPr="007948B8" w:rsidRDefault="00000000">
            <w:pPr>
              <w:spacing w:after="0"/>
            </w:pPr>
            <w:r w:rsidRPr="007948B8">
              <w:t>Economic (</w:t>
            </w:r>
            <w:r w:rsidR="00614A65" w:rsidRPr="007948B8">
              <w:t>KQ</w:t>
            </w:r>
            <w:r w:rsidRPr="007948B8">
              <w:t>1, 7)</w:t>
            </w:r>
          </w:p>
        </w:tc>
        <w:tc>
          <w:tcPr>
            <w:tcW w:w="3742" w:type="dxa"/>
          </w:tcPr>
          <w:p w14:paraId="35422A0F" w14:textId="77777777" w:rsidR="00C14C5A" w:rsidRPr="007948B8" w:rsidRDefault="00000000">
            <w:pPr>
              <w:spacing w:after="0"/>
            </w:pPr>
            <w:r w:rsidRPr="007948B8">
              <w:t>Three-ledger Green Book and Cultural Heritage Capital protocol (Bennett, reviewed by Condon)</w:t>
            </w:r>
          </w:p>
        </w:tc>
        <w:tc>
          <w:tcPr>
            <w:tcW w:w="3175" w:type="dxa"/>
          </w:tcPr>
          <w:p w14:paraId="46544B41" w14:textId="77777777" w:rsidR="00C14C5A" w:rsidRPr="007948B8" w:rsidRDefault="00000000">
            <w:pPr>
              <w:spacing w:after="0"/>
            </w:pPr>
            <w:r w:rsidRPr="007948B8">
              <w:t>Bounded scenarios on service-record counts, never grossed up from opt-in responses</w:t>
            </w:r>
          </w:p>
        </w:tc>
      </w:tr>
      <w:tr w:rsidR="00C14C5A" w:rsidRPr="007948B8" w14:paraId="3D4EE289" w14:textId="77777777">
        <w:trPr>
          <w:jc w:val="center"/>
        </w:trPr>
        <w:tc>
          <w:tcPr>
            <w:tcW w:w="2154" w:type="dxa"/>
          </w:tcPr>
          <w:p w14:paraId="34CF5760" w14:textId="0EE1B664" w:rsidR="00C14C5A" w:rsidRPr="007948B8" w:rsidRDefault="00000000">
            <w:pPr>
              <w:spacing w:after="0"/>
            </w:pPr>
            <w:r w:rsidRPr="007948B8">
              <w:t>Option value (</w:t>
            </w:r>
            <w:r w:rsidR="00614A65" w:rsidRPr="007948B8">
              <w:t>KQ</w:t>
            </w:r>
            <w:r w:rsidRPr="007948B8">
              <w:t>6)</w:t>
            </w:r>
          </w:p>
        </w:tc>
        <w:tc>
          <w:tcPr>
            <w:tcW w:w="3742" w:type="dxa"/>
          </w:tcPr>
          <w:p w14:paraId="1157C8A8" w14:textId="0516E2E5" w:rsidR="00C14C5A" w:rsidRPr="007948B8" w:rsidRDefault="00000000">
            <w:pPr>
              <w:spacing w:after="0"/>
            </w:pPr>
            <w:r w:rsidRPr="007948B8">
              <w:t>Standing register of preserved capability, relationships and evidence (B</w:t>
            </w:r>
            <w:r w:rsidR="0075082E" w:rsidRPr="007948B8">
              <w:t>ains</w:t>
            </w:r>
            <w:r w:rsidRPr="007948B8">
              <w:t>)</w:t>
            </w:r>
          </w:p>
        </w:tc>
        <w:tc>
          <w:tcPr>
            <w:tcW w:w="3175" w:type="dxa"/>
          </w:tcPr>
          <w:p w14:paraId="6FB99325" w14:textId="77777777" w:rsidR="00C14C5A" w:rsidRPr="007948B8" w:rsidRDefault="00000000">
            <w:pPr>
              <w:spacing w:after="0"/>
            </w:pPr>
            <w:r w:rsidRPr="007948B8">
              <w:t>What keeps future choices open; tracked proposed, created, exercised</w:t>
            </w:r>
          </w:p>
        </w:tc>
      </w:tr>
      <w:tr w:rsidR="00C14C5A" w:rsidRPr="007948B8" w14:paraId="7F73EA11" w14:textId="77777777">
        <w:trPr>
          <w:jc w:val="center"/>
        </w:trPr>
        <w:tc>
          <w:tcPr>
            <w:tcW w:w="2154" w:type="dxa"/>
          </w:tcPr>
          <w:p w14:paraId="1655716C" w14:textId="2D6E0223" w:rsidR="00C14C5A" w:rsidRPr="007948B8" w:rsidRDefault="00000000">
            <w:pPr>
              <w:spacing w:after="0"/>
            </w:pPr>
            <w:r w:rsidRPr="007948B8">
              <w:t>Null and non-converting (</w:t>
            </w:r>
            <w:r w:rsidR="00614A65" w:rsidRPr="007948B8">
              <w:t>KQ</w:t>
            </w:r>
            <w:r w:rsidRPr="007948B8">
              <w:t>5, 7)</w:t>
            </w:r>
          </w:p>
        </w:tc>
        <w:tc>
          <w:tcPr>
            <w:tcW w:w="3742" w:type="dxa"/>
          </w:tcPr>
          <w:p w14:paraId="66ECF2EE" w14:textId="77777777" w:rsidR="00C14C5A" w:rsidRPr="007948B8" w:rsidRDefault="00000000">
            <w:pPr>
              <w:spacing w:after="0"/>
            </w:pPr>
            <w:r w:rsidRPr="007948B8">
              <w:t>Sampled one-off, lapsed and paused cases, reported as findings (</w:t>
            </w:r>
            <w:proofErr w:type="spellStart"/>
            <w:r w:rsidRPr="007948B8">
              <w:t>Kunesch</w:t>
            </w:r>
            <w:proofErr w:type="spellEnd"/>
            <w:r w:rsidRPr="007948B8">
              <w:t>)</w:t>
            </w:r>
          </w:p>
        </w:tc>
        <w:tc>
          <w:tcPr>
            <w:tcW w:w="3175" w:type="dxa"/>
          </w:tcPr>
          <w:p w14:paraId="2B30853B" w14:textId="77777777" w:rsidR="00C14C5A" w:rsidRPr="007948B8" w:rsidRDefault="00000000">
            <w:pPr>
              <w:spacing w:after="0"/>
            </w:pPr>
            <w:r w:rsidRPr="007948B8">
              <w:t>Candidate conditions for non-benefit, not how common it is</w:t>
            </w:r>
          </w:p>
        </w:tc>
      </w:tr>
    </w:tbl>
    <w:p w14:paraId="7AFA6939" w14:textId="77777777" w:rsidR="00C14C5A" w:rsidRPr="007948B8" w:rsidRDefault="00000000">
      <w:pPr>
        <w:pStyle w:val="Heading2"/>
        <w:rPr>
          <w:sz w:val="22"/>
          <w:szCs w:val="22"/>
        </w:rPr>
      </w:pPr>
      <w:r w:rsidRPr="007948B8">
        <w:rPr>
          <w:sz w:val="22"/>
          <w:szCs w:val="22"/>
        </w:rPr>
        <w:t>Scope and sampling</w:t>
      </w:r>
    </w:p>
    <w:p w14:paraId="73A3A557" w14:textId="66AB322B" w:rsidR="00C14C5A" w:rsidRPr="007948B8" w:rsidRDefault="00000000">
      <w:r w:rsidRPr="007948B8">
        <w:t xml:space="preserve">At the December </w:t>
      </w:r>
      <w:r w:rsidR="00614A65" w:rsidRPr="007948B8">
        <w:t>inception</w:t>
      </w:r>
      <w:r w:rsidRPr="007948B8">
        <w:t xml:space="preserve"> in </w:t>
      </w:r>
      <w:proofErr w:type="gramStart"/>
      <w:r w:rsidRPr="007948B8">
        <w:t>London</w:t>
      </w:r>
      <w:proofErr w:type="gramEnd"/>
      <w:r w:rsidRPr="007948B8">
        <w:t xml:space="preserve"> we will agree questions, decisions and outputs with Lizzie Hines, Lindsey Brown and the V&amp;A researcher, and map provision across all six sites and the online collection and API (Key Question 1). Our population is UK professional and academic creatives aged 18 and over, 2016–2026, a period we recommend because it spans the pre-pandemic baseline, recovery and the opening of V&amp;A East, and confirm at inception; with no consolidated practitioner database, exit surveys are harmonised only across London sites and the practitioner survey runs through V&amp;A channels plus a partner-distributed arm, with confidence intervals only where a probability frame exists. Dundee and Wedgwood rely more on documentary and case evidence. International activity is included only where it benefits UK careers, businesses or reputation; we favour depth where impact is strongest over exhaustive reporting. Every finding is reported by nation and English region, and by career stage, ethnicity, disability and socio-economic background where numbers allow, with a stated minimum cell size; McCadden leads the equity analysis.</w:t>
      </w:r>
    </w:p>
    <w:p w14:paraId="680B018D" w14:textId="6873D400" w:rsidR="00C14C5A" w:rsidRPr="007948B8" w:rsidRDefault="00000000">
      <w:pPr>
        <w:pStyle w:val="Heading2"/>
        <w:rPr>
          <w:sz w:val="22"/>
          <w:szCs w:val="22"/>
        </w:rPr>
      </w:pPr>
      <w:r w:rsidRPr="007948B8">
        <w:rPr>
          <w:sz w:val="22"/>
          <w:szCs w:val="22"/>
        </w:rPr>
        <w:t xml:space="preserve">Qualitative </w:t>
      </w:r>
      <w:r w:rsidR="00614A65" w:rsidRPr="007948B8">
        <w:rPr>
          <w:sz w:val="22"/>
          <w:szCs w:val="22"/>
        </w:rPr>
        <w:t xml:space="preserve">research </w:t>
      </w:r>
      <w:r w:rsidRPr="007948B8">
        <w:rPr>
          <w:sz w:val="22"/>
          <w:szCs w:val="22"/>
        </w:rPr>
        <w:t>programme</w:t>
      </w:r>
    </w:p>
    <w:p w14:paraId="1E2E2000" w14:textId="4BC57A90" w:rsidR="00C14C5A" w:rsidRPr="007948B8" w:rsidRDefault="00614A65">
      <w:r w:rsidRPr="007948B8">
        <w:t xml:space="preserve">We anticipate that the V&amp;A researcher will work with internal datasets and a cohort of between 15 and 30 practitioners contactable through the V&amp;A. To that, </w:t>
      </w:r>
      <w:proofErr w:type="spellStart"/>
      <w:r w:rsidRPr="007948B8">
        <w:t>Kunesch</w:t>
      </w:r>
      <w:proofErr w:type="spellEnd"/>
      <w:r w:rsidRPr="007948B8">
        <w:t xml:space="preserve"> will address external cohorts: paused pilots, partner networks, CELL, LLDC and UCL contacts, lapsed or one-off users the V&amp;A invites, around 20 interviews in total. McCadden will carry out depth interviews with 8-10 ecosystem gatekeepers, educators, buyers and commissioners. Together. The qualitative programme will consist of about 50 individual responses. McCadden will design an overarching guide and coding framework, pilot it in January once consent is fixed and calibrate the other interviewers after their first six transcripts; each interviewer first-codes their own transcripts, </w:t>
      </w:r>
      <w:proofErr w:type="spellStart"/>
      <w:r w:rsidRPr="007948B8">
        <w:t>Kunesch</w:t>
      </w:r>
      <w:proofErr w:type="spellEnd"/>
      <w:r w:rsidRPr="007948B8">
        <w:t xml:space="preserve"> second-codes a sample and McCadden reviews a further sample, and we report agreement. </w:t>
      </w:r>
      <w:r w:rsidR="00E97BE4" w:rsidRPr="007948B8">
        <w:t xml:space="preserve">To limit selection bias, we recruit interviewees and report every finding by one of three routes: people the V&amp;A invites; people reached through partner networks and organisations; and people we find ourselves in public records such as credits and Companies House filings, including people who used the V&amp;A once or stopped. People the V&amp;A invites are </w:t>
      </w:r>
      <w:r w:rsidR="00E97BE4" w:rsidRPr="007948B8">
        <w:lastRenderedPageBreak/>
        <w:t xml:space="preserve">likelier to have had a good experience, so we read their accounts as the best case, not the typical one. </w:t>
      </w:r>
      <w:r w:rsidR="0047304F" w:rsidRPr="007948B8">
        <w:t xml:space="preserve">We pay a £50 honorarium to up to 30 freelance participants without institutional support, disclosed and independent of answers. </w:t>
      </w:r>
      <w:r w:rsidRPr="007948B8">
        <w:t>Places then builds comparison groups of similar creatives and businesses with no V&amp;A contact, and compares trajectories from public records, so additionality does not rest on self-report alone</w:t>
      </w:r>
      <w:r w:rsidR="007948B8" w:rsidRPr="007948B8">
        <w:t xml:space="preserve">. We reach freelancers outside institutions with methods proven in </w:t>
      </w:r>
      <w:r w:rsidR="007948B8">
        <w:t>practice: e.g., i</w:t>
      </w:r>
      <w:r w:rsidRPr="007948B8">
        <w:t>n North East Scotland, energy</w:t>
      </w:r>
      <w:r w:rsidR="007948B8">
        <w:t xml:space="preserve"> </w:t>
      </w:r>
      <w:r w:rsidRPr="007948B8">
        <w:t>sector digital workers, found through LinkedIn analysis of regional creative</w:t>
      </w:r>
      <w:r w:rsidR="007948B8">
        <w:t xml:space="preserve"> </w:t>
      </w:r>
      <w:r w:rsidRPr="007948B8">
        <w:t>course alumni, were a comparison group with no creative-sector contact</w:t>
      </w:r>
      <w:r w:rsidR="007948B8">
        <w:t xml:space="preserve">; </w:t>
      </w:r>
      <w:r w:rsidRPr="007948B8">
        <w:t xml:space="preserve"> </w:t>
      </w:r>
      <w:r w:rsidR="007948B8">
        <w:t xml:space="preserve">in Liverpool, findings were </w:t>
      </w:r>
      <w:r w:rsidRPr="007948B8">
        <w:t>normalised against quantitative surveys and employer records of contractor work</w:t>
      </w:r>
      <w:r w:rsidR="007948B8">
        <w:t xml:space="preserve">. </w:t>
      </w:r>
      <w:r w:rsidR="005A4055">
        <w:t>A</w:t>
      </w:r>
      <w:r w:rsidR="007948B8">
        <w:t xml:space="preserve">nalysis of </w:t>
      </w:r>
      <w:r w:rsidRPr="007948B8">
        <w:t>job</w:t>
      </w:r>
      <w:r w:rsidR="007948B8">
        <w:t xml:space="preserve"> postings</w:t>
      </w:r>
      <w:r w:rsidRPr="007948B8">
        <w:t xml:space="preserve"> identif</w:t>
      </w:r>
      <w:r w:rsidR="005A4055">
        <w:t>ies</w:t>
      </w:r>
      <w:r w:rsidRPr="007948B8">
        <w:t xml:space="preserve"> workflows; and Companies House accounts where turnover far exceeds what headcount suggests</w:t>
      </w:r>
      <w:r w:rsidR="005A4055">
        <w:t xml:space="preserve"> </w:t>
      </w:r>
      <w:r w:rsidRPr="007948B8">
        <w:t>point to freelancers and contractors in the supply chain, or to software-driven productivity gains. Residential</w:t>
      </w:r>
      <w:r w:rsidR="007948B8" w:rsidRPr="007948B8">
        <w:t xml:space="preserve"> </w:t>
      </w:r>
      <w:r w:rsidRPr="007948B8">
        <w:t>address</w:t>
      </w:r>
      <w:r w:rsidR="007948B8" w:rsidRPr="007948B8">
        <w:t xml:space="preserve">es </w:t>
      </w:r>
      <w:r w:rsidR="005A4055">
        <w:t xml:space="preserve">of company directors are mapped to </w:t>
      </w:r>
      <w:r w:rsidR="007948B8" w:rsidRPr="007948B8">
        <w:t>suggest</w:t>
      </w:r>
      <w:r w:rsidRPr="007948B8">
        <w:t xml:space="preserve"> whe</w:t>
      </w:r>
      <w:r w:rsidR="005A4055">
        <w:t>ther</w:t>
      </w:r>
      <w:r w:rsidRPr="007948B8">
        <w:t xml:space="preserve"> creative professionals cluster outside business districts, and whether that </w:t>
      </w:r>
      <w:r w:rsidR="005A4055">
        <w:t xml:space="preserve">pattern </w:t>
      </w:r>
      <w:r w:rsidRPr="007948B8">
        <w:t xml:space="preserve">matches the supply chains the turnover gaps suggest. </w:t>
      </w:r>
      <w:r w:rsidR="005A4055" w:rsidRPr="007948B8">
        <w:t xml:space="preserve">We have </w:t>
      </w:r>
      <w:r w:rsidR="005A4055">
        <w:t xml:space="preserve">conducted </w:t>
      </w:r>
      <w:r w:rsidR="005A4055" w:rsidRPr="007948B8">
        <w:t>prior work on V&amp;A East pilots for LLDC</w:t>
      </w:r>
      <w:r w:rsidR="005A4055">
        <w:t xml:space="preserve"> (CELL)</w:t>
      </w:r>
      <w:r w:rsidR="005A4055" w:rsidRPr="007948B8">
        <w:t xml:space="preserve">; we </w:t>
      </w:r>
      <w:r w:rsidR="005A4055">
        <w:t>propose to</w:t>
      </w:r>
      <w:r w:rsidR="005A4055" w:rsidRPr="007948B8">
        <w:t xml:space="preserve"> test scaling the Storehouse model against the other options under the same evidence rules.</w:t>
      </w:r>
    </w:p>
    <w:p w14:paraId="6A8E60E3" w14:textId="77777777" w:rsidR="00C14C5A" w:rsidRPr="007948B8" w:rsidRDefault="00000000">
      <w:pPr>
        <w:pStyle w:val="Heading2"/>
        <w:rPr>
          <w:sz w:val="22"/>
          <w:szCs w:val="22"/>
        </w:rPr>
      </w:pPr>
      <w:r w:rsidRPr="007948B8">
        <w:rPr>
          <w:sz w:val="22"/>
          <w:szCs w:val="22"/>
        </w:rPr>
        <w:t>Creative and participatory methods, including storytelling</w:t>
      </w:r>
    </w:p>
    <w:p w14:paraId="7327C9D7" w14:textId="133FABFD" w:rsidR="00C14C5A" w:rsidRPr="007948B8" w:rsidRDefault="00000000">
      <w:r w:rsidRPr="007948B8">
        <w:t xml:space="preserve">The brief asks for rigour with imagination, not economic analysis alone. McCadden, a former BBC radio journalist, leads story gathering: her interviews are </w:t>
      </w:r>
      <w:r w:rsidR="005A4055">
        <w:t xml:space="preserve">both coded and </w:t>
      </w:r>
      <w:r w:rsidRPr="007948B8">
        <w:t>conducted and edited as testimony. Bains, who has made documentary and campaign films, directs how the evidence is told in sound and image, and Condon's experience launching and managing the Centre for Creative Collaboration (C4CC) shapes our sense-making sessions. Each of the eight case studies is a short evidence-checked story, co-reviewed by the creative and linked to the proof register so every claim can be traced</w:t>
      </w:r>
      <w:r w:rsidR="007948B8">
        <w:t>; u</w:t>
      </w:r>
      <w:r w:rsidRPr="007948B8">
        <w:t>p to four will be</w:t>
      </w:r>
      <w:r w:rsidR="00614A65" w:rsidRPr="007948B8">
        <w:t xml:space="preserve"> rendered as</w:t>
      </w:r>
      <w:r w:rsidRPr="007948B8">
        <w:t xml:space="preserve"> short audio or film portraits, made with consent </w:t>
      </w:r>
      <w:r w:rsidR="007948B8">
        <w:t xml:space="preserve">of the participants, </w:t>
      </w:r>
      <w:r w:rsidRPr="007948B8">
        <w:t>within the fixed fee.</w:t>
      </w:r>
    </w:p>
    <w:p w14:paraId="58773417" w14:textId="7381BD3B" w:rsidR="00C14C5A" w:rsidRPr="007948B8" w:rsidRDefault="00614A65">
      <w:pPr>
        <w:pStyle w:val="Heading2"/>
        <w:rPr>
          <w:sz w:val="22"/>
          <w:szCs w:val="22"/>
        </w:rPr>
      </w:pPr>
      <w:r w:rsidRPr="007948B8">
        <w:rPr>
          <w:sz w:val="22"/>
          <w:szCs w:val="22"/>
        </w:rPr>
        <w:t>Project management</w:t>
      </w:r>
    </w:p>
    <w:p w14:paraId="70164147" w14:textId="1DBD63AF" w:rsidR="00C14C5A" w:rsidRPr="007948B8" w:rsidRDefault="00000000">
      <w:r w:rsidRPr="007948B8">
        <w:t xml:space="preserve">Bennett and Bains attend key meetings in person at V&amp;A London sites, including </w:t>
      </w:r>
      <w:r w:rsidR="007948B8" w:rsidRPr="007948B8">
        <w:t>inception</w:t>
      </w:r>
      <w:r w:rsidRPr="007948B8">
        <w:t xml:space="preserve">, the April interim </w:t>
      </w:r>
      <w:r w:rsidR="007948B8" w:rsidRPr="007948B8">
        <w:t xml:space="preserve">report </w:t>
      </w:r>
      <w:r w:rsidRPr="007948B8">
        <w:t xml:space="preserve">and the final presentation. Weekly check-ins and show-and-tells (January, March, April) are costed in lead days, with joint sense-making alongside Hines, Brown and the V&amp;A researcher. Bennett is lead author; Bains and McCadden author named sections. </w:t>
      </w:r>
    </w:p>
    <w:p w14:paraId="20D3225A" w14:textId="77777777" w:rsidR="00C14C5A" w:rsidRPr="007948B8" w:rsidRDefault="00000000">
      <w:pPr>
        <w:pStyle w:val="Heading2"/>
        <w:rPr>
          <w:sz w:val="22"/>
          <w:szCs w:val="22"/>
        </w:rPr>
      </w:pPr>
      <w:r w:rsidRPr="007948B8">
        <w:rPr>
          <w:sz w:val="22"/>
          <w:szCs w:val="22"/>
        </w:rPr>
        <w:t>Programme and risks</w:t>
      </w:r>
    </w:p>
    <w:tbl>
      <w:tblPr>
        <w:tblStyle w:val="TableGrid"/>
        <w:tblW w:w="0" w:type="auto"/>
        <w:jc w:val="center"/>
        <w:tblLook w:val="04A0" w:firstRow="1" w:lastRow="0" w:firstColumn="1" w:lastColumn="0" w:noHBand="0" w:noVBand="1"/>
      </w:tblPr>
      <w:tblGrid>
        <w:gridCol w:w="1928"/>
        <w:gridCol w:w="907"/>
        <w:gridCol w:w="6236"/>
      </w:tblGrid>
      <w:tr w:rsidR="00C14C5A" w:rsidRPr="007948B8" w14:paraId="465595A6" w14:textId="77777777">
        <w:trPr>
          <w:jc w:val="center"/>
        </w:trPr>
        <w:tc>
          <w:tcPr>
            <w:tcW w:w="1928" w:type="dxa"/>
          </w:tcPr>
          <w:p w14:paraId="5ED99D34" w14:textId="77777777" w:rsidR="00C14C5A" w:rsidRPr="007948B8" w:rsidRDefault="00000000">
            <w:pPr>
              <w:spacing w:after="0"/>
            </w:pPr>
            <w:r w:rsidRPr="007948B8">
              <w:rPr>
                <w:b/>
              </w:rPr>
              <w:t>Period</w:t>
            </w:r>
          </w:p>
        </w:tc>
        <w:tc>
          <w:tcPr>
            <w:tcW w:w="7143" w:type="dxa"/>
            <w:gridSpan w:val="2"/>
          </w:tcPr>
          <w:p w14:paraId="5D70AACE" w14:textId="77777777" w:rsidR="00C14C5A" w:rsidRPr="007948B8" w:rsidRDefault="00000000">
            <w:pPr>
              <w:spacing w:after="0"/>
            </w:pPr>
            <w:r w:rsidRPr="007948B8">
              <w:rPr>
                <w:b/>
              </w:rPr>
              <w:t>Work and output</w:t>
            </w:r>
          </w:p>
        </w:tc>
      </w:tr>
      <w:tr w:rsidR="00C14C5A" w:rsidRPr="007948B8" w14:paraId="599791F9" w14:textId="77777777">
        <w:trPr>
          <w:jc w:val="center"/>
        </w:trPr>
        <w:tc>
          <w:tcPr>
            <w:tcW w:w="1928" w:type="dxa"/>
          </w:tcPr>
          <w:p w14:paraId="5C5AE1F6" w14:textId="77777777" w:rsidR="00C14C5A" w:rsidRPr="007948B8" w:rsidRDefault="00000000">
            <w:pPr>
              <w:spacing w:after="0"/>
            </w:pPr>
            <w:r w:rsidRPr="007948B8">
              <w:t>December</w:t>
            </w:r>
          </w:p>
        </w:tc>
        <w:tc>
          <w:tcPr>
            <w:tcW w:w="7143" w:type="dxa"/>
            <w:gridSpan w:val="2"/>
          </w:tcPr>
          <w:p w14:paraId="259B8059" w14:textId="61AFFBF5" w:rsidR="00C14C5A" w:rsidRPr="007948B8" w:rsidRDefault="0047304F">
            <w:pPr>
              <w:spacing w:after="0"/>
            </w:pPr>
            <w:r w:rsidRPr="007948B8">
              <w:t>Project inception; six-site map; programme theory; data and permissions audit; guide design; V&amp;A inputs and activity-level cost and staffing data (Key Question 7) agreed by 11 December</w:t>
            </w:r>
          </w:p>
        </w:tc>
      </w:tr>
      <w:tr w:rsidR="00C14C5A" w:rsidRPr="007948B8" w14:paraId="2AE7CABF" w14:textId="77777777">
        <w:trPr>
          <w:jc w:val="center"/>
        </w:trPr>
        <w:tc>
          <w:tcPr>
            <w:tcW w:w="1928" w:type="dxa"/>
          </w:tcPr>
          <w:p w14:paraId="26C7EDC7" w14:textId="77777777" w:rsidR="00C14C5A" w:rsidRPr="007948B8" w:rsidRDefault="00000000">
            <w:pPr>
              <w:spacing w:after="0"/>
            </w:pPr>
            <w:r w:rsidRPr="007948B8">
              <w:t>January</w:t>
            </w:r>
          </w:p>
        </w:tc>
        <w:tc>
          <w:tcPr>
            <w:tcW w:w="7143" w:type="dxa"/>
            <w:gridSpan w:val="2"/>
          </w:tcPr>
          <w:p w14:paraId="5EF9A97B" w14:textId="77777777" w:rsidR="00C14C5A" w:rsidRPr="007948B8" w:rsidRDefault="00000000">
            <w:pPr>
              <w:spacing w:after="0"/>
            </w:pPr>
            <w:r w:rsidRPr="007948B8">
              <w:t>Inception pack; pilot interviews; first show-and-tell</w:t>
            </w:r>
          </w:p>
        </w:tc>
      </w:tr>
      <w:tr w:rsidR="00C14C5A" w:rsidRPr="007948B8" w14:paraId="7FF87E4B" w14:textId="77777777">
        <w:trPr>
          <w:jc w:val="center"/>
        </w:trPr>
        <w:tc>
          <w:tcPr>
            <w:tcW w:w="1928" w:type="dxa"/>
          </w:tcPr>
          <w:p w14:paraId="1959CCEB" w14:textId="77777777" w:rsidR="00C14C5A" w:rsidRPr="007948B8" w:rsidRDefault="00000000">
            <w:pPr>
              <w:spacing w:after="0"/>
            </w:pPr>
            <w:r w:rsidRPr="007948B8">
              <w:t>Mid-Feb to April</w:t>
            </w:r>
          </w:p>
        </w:tc>
        <w:tc>
          <w:tcPr>
            <w:tcW w:w="7143" w:type="dxa"/>
            <w:gridSpan w:val="2"/>
          </w:tcPr>
          <w:p w14:paraId="25170A72" w14:textId="12C2FA15" w:rsidR="00C14C5A" w:rsidRPr="007948B8" w:rsidRDefault="00000000">
            <w:pPr>
              <w:spacing w:after="0"/>
            </w:pPr>
            <w:r w:rsidRPr="007948B8">
              <w:t>Fieldwork closes 10 April for the interim</w:t>
            </w:r>
            <w:r w:rsidR="00E60E5B" w:rsidRPr="007948B8">
              <w:t xml:space="preserve">; </w:t>
            </w:r>
            <w:r w:rsidRPr="007948B8">
              <w:t>survey; March show-and-tell; interim presentation in London, options tested with decision owners; V&amp;A interim comments within 10 working days</w:t>
            </w:r>
          </w:p>
        </w:tc>
      </w:tr>
      <w:tr w:rsidR="00C14C5A" w:rsidRPr="007948B8" w14:paraId="09AD7685" w14:textId="77777777">
        <w:trPr>
          <w:jc w:val="center"/>
        </w:trPr>
        <w:tc>
          <w:tcPr>
            <w:tcW w:w="1928" w:type="dxa"/>
          </w:tcPr>
          <w:p w14:paraId="7B11FD00" w14:textId="77777777" w:rsidR="00C14C5A" w:rsidRPr="007948B8" w:rsidRDefault="00000000">
            <w:pPr>
              <w:spacing w:after="0"/>
            </w:pPr>
            <w:r w:rsidRPr="007948B8">
              <w:t>May</w:t>
            </w:r>
          </w:p>
        </w:tc>
        <w:tc>
          <w:tcPr>
            <w:tcW w:w="7143" w:type="dxa"/>
            <w:gridSpan w:val="2"/>
          </w:tcPr>
          <w:p w14:paraId="7C23EFA5" w14:textId="1B7A7F45" w:rsidR="00C14C5A" w:rsidRPr="007948B8" w:rsidRDefault="00000000">
            <w:pPr>
              <w:spacing w:after="0"/>
            </w:pPr>
            <w:r w:rsidRPr="007948B8">
              <w:t>Draft final report 7 May; V&amp;A comments by 14 May; final report, executive summary, presentation, workbook and register by 28 May 2027</w:t>
            </w:r>
          </w:p>
        </w:tc>
      </w:tr>
      <w:tr w:rsidR="00C14C5A" w:rsidRPr="007948B8" w14:paraId="3B7CABAC" w14:textId="77777777">
        <w:trPr>
          <w:jc w:val="center"/>
        </w:trPr>
        <w:tc>
          <w:tcPr>
            <w:tcW w:w="2835" w:type="dxa"/>
            <w:gridSpan w:val="2"/>
          </w:tcPr>
          <w:p w14:paraId="00D9A4D2" w14:textId="77777777" w:rsidR="00C14C5A" w:rsidRPr="007948B8" w:rsidRDefault="00000000">
            <w:pPr>
              <w:spacing w:after="0"/>
            </w:pPr>
            <w:r w:rsidRPr="007948B8">
              <w:rPr>
                <w:b/>
              </w:rPr>
              <w:t>Risk</w:t>
            </w:r>
          </w:p>
        </w:tc>
        <w:tc>
          <w:tcPr>
            <w:tcW w:w="6236" w:type="dxa"/>
          </w:tcPr>
          <w:p w14:paraId="3894B1FB" w14:textId="2D8E7859" w:rsidR="00C14C5A" w:rsidRPr="007948B8" w:rsidRDefault="00000000">
            <w:pPr>
              <w:spacing w:after="0"/>
            </w:pPr>
            <w:r w:rsidRPr="007948B8">
              <w:rPr>
                <w:b/>
              </w:rPr>
              <w:t>Mitigation (owner</w:t>
            </w:r>
            <w:r w:rsidR="0047304F" w:rsidRPr="007948B8">
              <w:rPr>
                <w:b/>
              </w:rPr>
              <w:t xml:space="preserve"> Bennett unless stated</w:t>
            </w:r>
            <w:r w:rsidRPr="007948B8">
              <w:rPr>
                <w:b/>
              </w:rPr>
              <w:t>)</w:t>
            </w:r>
          </w:p>
        </w:tc>
      </w:tr>
      <w:tr w:rsidR="00C14C5A" w:rsidRPr="007948B8" w14:paraId="7D2B1751" w14:textId="77777777">
        <w:trPr>
          <w:jc w:val="center"/>
        </w:trPr>
        <w:tc>
          <w:tcPr>
            <w:tcW w:w="2835" w:type="dxa"/>
            <w:gridSpan w:val="2"/>
          </w:tcPr>
          <w:p w14:paraId="063945B3" w14:textId="77777777" w:rsidR="00C14C5A" w:rsidRPr="007948B8" w:rsidRDefault="00000000">
            <w:pPr>
              <w:spacing w:after="0"/>
            </w:pPr>
            <w:r w:rsidRPr="007948B8">
              <w:t>Low response from non-converters</w:t>
            </w:r>
          </w:p>
        </w:tc>
        <w:tc>
          <w:tcPr>
            <w:tcW w:w="6236" w:type="dxa"/>
          </w:tcPr>
          <w:p w14:paraId="5E339D6C" w14:textId="77777777" w:rsidR="00C14C5A" w:rsidRPr="007948B8" w:rsidRDefault="00000000">
            <w:pPr>
              <w:spacing w:after="0"/>
            </w:pPr>
            <w:r w:rsidRPr="007948B8">
              <w:t>Partner routes, V&amp;A opt-in invitations, non-response reported (McCadden)</w:t>
            </w:r>
          </w:p>
        </w:tc>
      </w:tr>
      <w:tr w:rsidR="00C14C5A" w:rsidRPr="007948B8" w14:paraId="77F28792" w14:textId="77777777">
        <w:trPr>
          <w:jc w:val="center"/>
        </w:trPr>
        <w:tc>
          <w:tcPr>
            <w:tcW w:w="2835" w:type="dxa"/>
            <w:gridSpan w:val="2"/>
          </w:tcPr>
          <w:p w14:paraId="19DAA69F" w14:textId="77777777" w:rsidR="00C14C5A" w:rsidRPr="007948B8" w:rsidRDefault="00000000">
            <w:pPr>
              <w:spacing w:after="0"/>
            </w:pPr>
            <w:r w:rsidRPr="007948B8">
              <w:t>V&amp;A researcher late or short</w:t>
            </w:r>
          </w:p>
        </w:tc>
        <w:tc>
          <w:tcPr>
            <w:tcW w:w="6236" w:type="dxa"/>
          </w:tcPr>
          <w:p w14:paraId="7436DE13" w14:textId="4DABAD32" w:rsidR="00C14C5A" w:rsidRPr="007948B8" w:rsidRDefault="00000000">
            <w:pPr>
              <w:spacing w:after="0"/>
            </w:pPr>
            <w:r w:rsidRPr="007948B8">
              <w:t xml:space="preserve">If not in post by 31 January or short </w:t>
            </w:r>
            <w:r w:rsidR="0047304F" w:rsidRPr="007948B8">
              <w:t xml:space="preserve">of responses </w:t>
            </w:r>
            <w:r w:rsidRPr="007948B8">
              <w:t xml:space="preserve">by 5 March, cohorts </w:t>
            </w:r>
            <w:r w:rsidR="0047304F" w:rsidRPr="007948B8">
              <w:t>will be</w:t>
            </w:r>
            <w:r w:rsidRPr="007948B8">
              <w:t xml:space="preserve"> reprioritised with the V&amp;A</w:t>
            </w:r>
            <w:r w:rsidR="0047304F" w:rsidRPr="007948B8">
              <w:t xml:space="preserve"> </w:t>
            </w:r>
          </w:p>
        </w:tc>
      </w:tr>
      <w:tr w:rsidR="00C14C5A" w:rsidRPr="007948B8" w14:paraId="1D2A15EA" w14:textId="77777777">
        <w:trPr>
          <w:jc w:val="center"/>
        </w:trPr>
        <w:tc>
          <w:tcPr>
            <w:tcW w:w="2835" w:type="dxa"/>
            <w:gridSpan w:val="2"/>
          </w:tcPr>
          <w:p w14:paraId="2E47D1DE" w14:textId="77777777" w:rsidR="00C14C5A" w:rsidRPr="007948B8" w:rsidRDefault="00000000">
            <w:pPr>
              <w:spacing w:after="0"/>
            </w:pPr>
            <w:r w:rsidRPr="007948B8">
              <w:t>Data access (API, exit surveys, permissions)</w:t>
            </w:r>
          </w:p>
        </w:tc>
        <w:tc>
          <w:tcPr>
            <w:tcW w:w="6236" w:type="dxa"/>
          </w:tcPr>
          <w:p w14:paraId="144B05CC" w14:textId="77777777" w:rsidR="00C14C5A" w:rsidRPr="007948B8" w:rsidRDefault="00000000">
            <w:pPr>
              <w:spacing w:after="0"/>
            </w:pPr>
            <w:r w:rsidRPr="007948B8">
              <w:t>Evidence matrix at inception; London surveys harmonised only; qualified ranges where data is thin (Bains)</w:t>
            </w:r>
          </w:p>
        </w:tc>
      </w:tr>
      <w:tr w:rsidR="00C14C5A" w:rsidRPr="007948B8" w14:paraId="51980AB4" w14:textId="77777777">
        <w:trPr>
          <w:jc w:val="center"/>
        </w:trPr>
        <w:tc>
          <w:tcPr>
            <w:tcW w:w="2835" w:type="dxa"/>
            <w:gridSpan w:val="2"/>
          </w:tcPr>
          <w:p w14:paraId="72976B53" w14:textId="77777777" w:rsidR="00C14C5A" w:rsidRPr="007948B8" w:rsidRDefault="00000000">
            <w:pPr>
              <w:spacing w:after="0"/>
            </w:pPr>
            <w:r w:rsidRPr="007948B8">
              <w:t>Places is a small-team tool</w:t>
            </w:r>
          </w:p>
        </w:tc>
        <w:tc>
          <w:tcPr>
            <w:tcW w:w="6236" w:type="dxa"/>
          </w:tcPr>
          <w:p w14:paraId="35FD4DA2" w14:textId="664AFDAF" w:rsidR="00C14C5A" w:rsidRPr="007948B8" w:rsidRDefault="00000000">
            <w:pPr>
              <w:spacing w:after="0"/>
            </w:pPr>
            <w:r w:rsidRPr="007948B8">
              <w:t>Outputs open and rerunnable without it; every figure source- and denominator-tagged; protocol reviewed by Condon</w:t>
            </w:r>
          </w:p>
        </w:tc>
      </w:tr>
      <w:tr w:rsidR="00C14C5A" w:rsidRPr="007948B8" w14:paraId="277C5B81" w14:textId="77777777">
        <w:trPr>
          <w:jc w:val="center"/>
        </w:trPr>
        <w:tc>
          <w:tcPr>
            <w:tcW w:w="2835" w:type="dxa"/>
            <w:gridSpan w:val="2"/>
          </w:tcPr>
          <w:p w14:paraId="50DF86D6" w14:textId="77777777" w:rsidR="00C14C5A" w:rsidRPr="007948B8" w:rsidRDefault="00000000">
            <w:pPr>
              <w:spacing w:after="0"/>
            </w:pPr>
            <w:r w:rsidRPr="007948B8">
              <w:t>Thin comparator data</w:t>
            </w:r>
          </w:p>
        </w:tc>
        <w:tc>
          <w:tcPr>
            <w:tcW w:w="6236" w:type="dxa"/>
          </w:tcPr>
          <w:p w14:paraId="2A44ABB7" w14:textId="65F322ED" w:rsidR="00C14C5A" w:rsidRPr="007948B8" w:rsidRDefault="00000000">
            <w:pPr>
              <w:spacing w:after="0"/>
            </w:pPr>
            <w:r w:rsidRPr="007948B8">
              <w:t xml:space="preserve">Bounded scenarios; limits stated per channel </w:t>
            </w:r>
          </w:p>
        </w:tc>
      </w:tr>
    </w:tbl>
    <w:p w14:paraId="04D58103" w14:textId="77777777" w:rsidR="00C14C5A" w:rsidRPr="007948B8" w:rsidRDefault="00000000">
      <w:pPr>
        <w:pStyle w:val="Heading1"/>
        <w:pageBreakBefore/>
        <w:rPr>
          <w:sz w:val="22"/>
          <w:szCs w:val="22"/>
        </w:rPr>
      </w:pPr>
      <w:r w:rsidRPr="007948B8">
        <w:rPr>
          <w:sz w:val="22"/>
          <w:szCs w:val="22"/>
        </w:rPr>
        <w:lastRenderedPageBreak/>
        <w:t>Team and relevant experience</w:t>
      </w:r>
    </w:p>
    <w:p w14:paraId="0DC2F628" w14:textId="48F67E46" w:rsidR="00C14C5A" w:rsidRPr="007948B8" w:rsidRDefault="00000000">
      <w:pPr>
        <w:pStyle w:val="Heading2"/>
        <w:rPr>
          <w:sz w:val="22"/>
          <w:szCs w:val="22"/>
        </w:rPr>
      </w:pPr>
      <w:r w:rsidRPr="007948B8">
        <w:rPr>
          <w:sz w:val="22"/>
          <w:szCs w:val="22"/>
        </w:rPr>
        <w:t>Iain Bennett</w:t>
      </w:r>
      <w:r w:rsidR="005A4055">
        <w:rPr>
          <w:sz w:val="22"/>
          <w:szCs w:val="22"/>
        </w:rPr>
        <w:t xml:space="preserve"> FRSA</w:t>
      </w:r>
      <w:r w:rsidRPr="007948B8">
        <w:rPr>
          <w:sz w:val="22"/>
          <w:szCs w:val="22"/>
        </w:rPr>
        <w:t>, The Fifth Sector Limited: project director and evaluation lead</w:t>
      </w:r>
    </w:p>
    <w:p w14:paraId="0B6A1A80" w14:textId="617E8229" w:rsidR="00C14C5A" w:rsidRPr="007948B8" w:rsidRDefault="00000000">
      <w:r w:rsidRPr="007948B8">
        <w:t xml:space="preserve">Bennett founded The Fifth Sector in 2011 and brings experience across arts, culture, the creative industries and the digital economy. From 2006 to 2011 he was Sector Leader for Digital and Creative Industries at the Northwest Regional Development Agency, leading regional strategy and public investment supporting MediaCityUK. He authored the MediaCity Createch study and published Liverpool music economy reports, </w:t>
      </w:r>
      <w:r w:rsidR="005A4055">
        <w:t>and conducted</w:t>
      </w:r>
      <w:r w:rsidRPr="007948B8">
        <w:t xml:space="preserve"> </w:t>
      </w:r>
      <w:r w:rsidR="005A4055">
        <w:t>evaluations for</w:t>
      </w:r>
      <w:r w:rsidRPr="007948B8">
        <w:t xml:space="preserve"> Wakefield</w:t>
      </w:r>
      <w:r w:rsidR="005A4055">
        <w:t xml:space="preserve"> Culture Development Fund and Our Year 2024, SYMCA Culture, Arts &amp; Heritage interventions and </w:t>
      </w:r>
      <w:r w:rsidRPr="007948B8">
        <w:t>L</w:t>
      </w:r>
      <w:r w:rsidR="005A4055">
        <w:t xml:space="preserve">iverpool </w:t>
      </w:r>
      <w:r w:rsidRPr="007948B8">
        <w:t>C</w:t>
      </w:r>
      <w:r w:rsidR="005A4055">
        <w:t xml:space="preserve">ity </w:t>
      </w:r>
      <w:r w:rsidRPr="007948B8">
        <w:t>R</w:t>
      </w:r>
      <w:r w:rsidR="005A4055">
        <w:t>egion</w:t>
      </w:r>
      <w:r w:rsidRPr="007948B8">
        <w:t xml:space="preserve"> Production Fund</w:t>
      </w:r>
      <w:r w:rsidR="005A4055">
        <w:t xml:space="preserve">. His many </w:t>
      </w:r>
      <w:r w:rsidRPr="007948B8">
        <w:t xml:space="preserve">sector mapping, production </w:t>
      </w:r>
      <w:r w:rsidR="005A4055">
        <w:t xml:space="preserve">and economic </w:t>
      </w:r>
      <w:r w:rsidRPr="007948B8">
        <w:t xml:space="preserve">analysis and </w:t>
      </w:r>
      <w:r w:rsidR="005A4055">
        <w:t xml:space="preserve">strategic reports include </w:t>
      </w:r>
      <w:r w:rsidRPr="007948B8">
        <w:t>the CELL business case</w:t>
      </w:r>
      <w:r w:rsidR="005A4055">
        <w:t>, sector mapping for Aberdeen Council, Liverpool City Region Combined Authority and Southampton City Council</w:t>
      </w:r>
      <w:r w:rsidRPr="007948B8">
        <w:t xml:space="preserve">. As BOP Associate Director he led development of the East London Fashion Cluster proposal with GLA economists. His evaluations and economic assessments follow HM Treasury Green Book methodology. For the V&amp;A, Bennett </w:t>
      </w:r>
      <w:r w:rsidR="005A4055">
        <w:t>will be</w:t>
      </w:r>
      <w:r w:rsidRPr="007948B8">
        <w:t xml:space="preserve"> lead author and accountable for the final report; he leads evaluation design and the economic and institutional analysis, including the three-ledger account, and connects findings to named decision owners and resource choices.</w:t>
      </w:r>
      <w:r w:rsidR="005A4055">
        <w:t xml:space="preserve"> He is an Honorary Visiting Professor in the School of Communications and Creativity at City St George’s, University of London,</w:t>
      </w:r>
      <w:r w:rsidR="005A4055" w:rsidRPr="007948B8">
        <w:t xml:space="preserve"> a trustee of FACT Liverpool</w:t>
      </w:r>
      <w:r w:rsidR="005A4055">
        <w:t>,</w:t>
      </w:r>
      <w:r w:rsidR="005A4055" w:rsidRPr="007948B8">
        <w:t xml:space="preserve"> and </w:t>
      </w:r>
      <w:r w:rsidR="005A4055">
        <w:t xml:space="preserve">previously </w:t>
      </w:r>
      <w:r w:rsidR="005A4055" w:rsidRPr="007948B8">
        <w:t>served on the boards of Abandon Normal Devices and UP Projects.</w:t>
      </w:r>
    </w:p>
    <w:p w14:paraId="00875C4C" w14:textId="77777777" w:rsidR="00C14C5A" w:rsidRPr="007948B8" w:rsidRDefault="00000000">
      <w:pPr>
        <w:pStyle w:val="Heading2"/>
        <w:rPr>
          <w:sz w:val="22"/>
          <w:szCs w:val="22"/>
        </w:rPr>
      </w:pPr>
      <w:r w:rsidRPr="007948B8">
        <w:rPr>
          <w:sz w:val="22"/>
          <w:szCs w:val="22"/>
        </w:rPr>
        <w:t>Jon Bains, Obsolete.com Ltd: research, data and creative practice lead</w:t>
      </w:r>
    </w:p>
    <w:p w14:paraId="63EC8123" w14:textId="2DE30CEF" w:rsidR="00C14C5A" w:rsidRPr="007948B8" w:rsidRDefault="00000000">
      <w:r w:rsidRPr="007948B8">
        <w:t>Bains combines creative production, strategy and data-led research. He founded Obsolete.com and Lateral, delivering digital projects for BBC Radio 1, Which?, the CIPD and Amnesty International, and founded The Cluster network of independent agencies. He has made documentary and campaign films, including Unwatchable (2011) on conflict minerals and sexual violence in the D.R.C. Through What &amp; Why LLP he led audience insight and empathy research. With Bennett, he developed Places, the creative economy data platform behind our network and evidence methods, and he leads it. Bains contributed to the MediaCity Createch research and is credited as a contributing researcher in the published Liverpool music economy report. For CELL he prepared the business case presentation and developed staged operating models evaluating the East Bank and V&amp;A East Storehouse pilot pathways. His recent work with The Fifth Sector includes regional cluster and network mapping for North East Scotland using Places, a Beatles visitor impact study for Liverpool BID and the data and evidence component of Southampton's mapping and governance review. For the V&amp;A, Bains leads data appraisal, the stratified survey design and the analysis of how access converts into creative work, directs the audio and film portraits, leads the option-value register, and authors named report sections.</w:t>
      </w:r>
    </w:p>
    <w:p w14:paraId="0322F808" w14:textId="77777777" w:rsidR="00C14C5A" w:rsidRPr="007948B8" w:rsidRDefault="00000000">
      <w:pPr>
        <w:pStyle w:val="Heading2"/>
        <w:rPr>
          <w:sz w:val="22"/>
          <w:szCs w:val="22"/>
        </w:rPr>
      </w:pPr>
      <w:r w:rsidRPr="007948B8">
        <w:rPr>
          <w:sz w:val="22"/>
          <w:szCs w:val="22"/>
        </w:rPr>
        <w:t>Lynne McCadden, Morra Limited: creative skills, careers and qualitative lead</w:t>
      </w:r>
    </w:p>
    <w:p w14:paraId="6F920174" w14:textId="73350B3C" w:rsidR="00C14C5A" w:rsidRPr="007948B8" w:rsidRDefault="00000000">
      <w:r w:rsidRPr="007948B8">
        <w:t>McCadden brings more than 20 years' experience in creative skills, careers and programme evaluation. A former BBC radio journalist, she led a £6 million creative skills development programme at Vision+Media. For The Fifth Sector, she was Project Manager of the WY Create freelance skills and business support programme for West Yorkshire Combined Authority (2024–25); co-authored the final evaluation of the LCR Production Fund and the North East Scotland creative industries mapping, which deployed the four-tier workforce model, developed for the Liverpool music economy study, that locates practitioners official statistics miss; and leads on cultural sector and stakeholder consultations for Southampton City Council's strategic review of Cultural &amp; Creative Industries. For the V&amp;A, McCadden will design and pilot the interview guide and coding framework, calibrate the other interviewers, conduct about 8 interviews with gatekeepers, educators, buyers and commissioners, lead story gathering and editing, draw skills, career pathway and equity evidence from the coded set, lead qualitative synthesis and author named report sections.</w:t>
      </w:r>
    </w:p>
    <w:p w14:paraId="4F4EA1F9" w14:textId="77777777" w:rsidR="00C14C5A" w:rsidRPr="007948B8" w:rsidRDefault="00000000">
      <w:pPr>
        <w:pStyle w:val="Heading2"/>
        <w:rPr>
          <w:sz w:val="22"/>
          <w:szCs w:val="22"/>
        </w:rPr>
      </w:pPr>
      <w:r w:rsidRPr="007948B8">
        <w:rPr>
          <w:sz w:val="22"/>
          <w:szCs w:val="22"/>
        </w:rPr>
        <w:lastRenderedPageBreak/>
        <w:t>Nikolas Kunesch: research support, external cohorts</w:t>
      </w:r>
    </w:p>
    <w:p w14:paraId="16A8AE58" w14:textId="6ACD4228" w:rsidR="00C14C5A" w:rsidRPr="007948B8" w:rsidRDefault="00000000">
      <w:proofErr w:type="spellStart"/>
      <w:r w:rsidRPr="007948B8">
        <w:t>Kunesch</w:t>
      </w:r>
      <w:proofErr w:type="spellEnd"/>
      <w:r w:rsidRPr="007948B8">
        <w:t xml:space="preserve"> is a researcher at UCL working towards a PhD. He worked with The Fifth Sector on the Creative Experience Lab London business case, where he conducted interviews for the qualitative primary research. For the V&amp;A he will conduct about 20 interviews with practitioners from external cohorts, first-code his own transcripts, second-code a 20% sample across streams and check transcription quality. </w:t>
      </w:r>
    </w:p>
    <w:p w14:paraId="6035141F" w14:textId="0AA242C1" w:rsidR="00C14C5A" w:rsidRPr="007948B8" w:rsidRDefault="00000000">
      <w:pPr>
        <w:pStyle w:val="Heading2"/>
        <w:rPr>
          <w:sz w:val="22"/>
          <w:szCs w:val="22"/>
        </w:rPr>
      </w:pPr>
      <w:r w:rsidRPr="007948B8">
        <w:rPr>
          <w:sz w:val="22"/>
          <w:szCs w:val="22"/>
        </w:rPr>
        <w:t>Dr Nicola Triscott, FACT: cultural leader</w:t>
      </w:r>
      <w:r w:rsidR="00BF4E47">
        <w:rPr>
          <w:sz w:val="22"/>
          <w:szCs w:val="22"/>
        </w:rPr>
        <w:t>, curator</w:t>
      </w:r>
      <w:r w:rsidRPr="007948B8">
        <w:rPr>
          <w:sz w:val="22"/>
          <w:szCs w:val="22"/>
        </w:rPr>
        <w:t xml:space="preserve"> and researcher</w:t>
      </w:r>
    </w:p>
    <w:p w14:paraId="6F51E544" w14:textId="7843CCE2" w:rsidR="00C14C5A" w:rsidRPr="007948B8" w:rsidRDefault="00000000">
      <w:proofErr w:type="spellStart"/>
      <w:r w:rsidRPr="007948B8">
        <w:t>Triscott</w:t>
      </w:r>
      <w:proofErr w:type="spellEnd"/>
      <w:r w:rsidRPr="007948B8">
        <w:t xml:space="preserve"> is a cultural leader, curator and researcher specialising in the intersections of art, science, technology and society. She is </w:t>
      </w:r>
      <w:r w:rsidR="00BF4E47">
        <w:t xml:space="preserve">Creative </w:t>
      </w:r>
      <w:r w:rsidRPr="007948B8">
        <w:t xml:space="preserve">Director and Chief Executive of FACT Liverpool, a major UK cultural centre for digital and screen arts, internationally recognised for groundbreaking commissions and critically engaged exhibitions. She was founding Director and Chief Executive of Arts Catalyst (1994–2019), a UK arts organisation with international reach dedicated to artists' commissions and cross-disciplinary art and science projects, and Principal Research Fellow for Interdisciplinary Art and Science at the University of Westminster (2017–19). Her research examines how cultural institutions address the societal impacts of technology, and she has edited books on physics culture, Arctic art and technology, art and space, and ecological art, and contributed to Why Technology Needs Artists: 40 International Perspectives (British Council, 2025, eds Andrews and </w:t>
      </w:r>
      <w:proofErr w:type="spellStart"/>
      <w:r w:rsidRPr="007948B8">
        <w:t>Hawcroft</w:t>
      </w:r>
      <w:proofErr w:type="spellEnd"/>
      <w:r w:rsidRPr="007948B8">
        <w:t xml:space="preserve">). She serves on the boards of the Liverpool City Region Creative Industries Cluster and the LCR Culture Network CIC. For the V&amp;A, </w:t>
      </w:r>
      <w:proofErr w:type="spellStart"/>
      <w:r w:rsidRPr="007948B8">
        <w:t>Triscott</w:t>
      </w:r>
      <w:proofErr w:type="spellEnd"/>
      <w:r w:rsidRPr="007948B8">
        <w:t xml:space="preserve"> </w:t>
      </w:r>
      <w:r w:rsidR="00BF4E47">
        <w:t>will act as</w:t>
      </w:r>
      <w:r w:rsidRPr="007948B8">
        <w:t xml:space="preserve"> an expert </w:t>
      </w:r>
      <w:r w:rsidR="00BF4E47">
        <w:t>witness on artists and freelancer behaviours</w:t>
      </w:r>
      <w:r w:rsidRPr="007948B8">
        <w:t xml:space="preserve"> at each stage: </w:t>
      </w:r>
      <w:r w:rsidR="00BF4E47">
        <w:t>advising</w:t>
      </w:r>
      <w:r w:rsidRPr="007948B8">
        <w:t xml:space="preserve"> on practitioner cohorts and the interview guide at inception, </w:t>
      </w:r>
      <w:r w:rsidR="00BF4E47">
        <w:t>scrutinising</w:t>
      </w:r>
      <w:r w:rsidRPr="007948B8">
        <w:t xml:space="preserve"> the </w:t>
      </w:r>
      <w:r w:rsidR="00BF4E47">
        <w:t>validity</w:t>
      </w:r>
      <w:r w:rsidRPr="007948B8">
        <w:t xml:space="preserve"> of interim findings from the standpoint of an institution that commissions and supports artists, and </w:t>
      </w:r>
      <w:r w:rsidR="00BF4E47">
        <w:t xml:space="preserve">providing assurance of </w:t>
      </w:r>
      <w:r w:rsidRPr="007948B8">
        <w:t>how the final narrative describes creative practice</w:t>
      </w:r>
      <w:r w:rsidR="00BF4E47">
        <w:t>, spillovers from engagement with the institution</w:t>
      </w:r>
      <w:r w:rsidRPr="007948B8">
        <w:t xml:space="preserve"> and the institution's role. Her work is contracted through FACT. Bennett is a trustee of FACT; the interest is declared.</w:t>
      </w:r>
    </w:p>
    <w:p w14:paraId="68CF3D67" w14:textId="77777777" w:rsidR="00C14C5A" w:rsidRPr="007948B8" w:rsidRDefault="00000000">
      <w:pPr>
        <w:pStyle w:val="Heading2"/>
        <w:rPr>
          <w:sz w:val="22"/>
          <w:szCs w:val="22"/>
        </w:rPr>
      </w:pPr>
      <w:r w:rsidRPr="007948B8">
        <w:rPr>
          <w:sz w:val="22"/>
          <w:szCs w:val="22"/>
        </w:rPr>
        <w:t>Dr Brian Condon: independent economic and methods reviewer</w:t>
      </w:r>
    </w:p>
    <w:p w14:paraId="71737494" w14:textId="77777777" w:rsidR="00C14C5A" w:rsidRPr="007948B8" w:rsidRDefault="00000000">
      <w:r w:rsidRPr="007948B8">
        <w:t xml:space="preserve">Condon has produced economic impact assessments and business cases for digital and creative infrastructure in Manchester, Greater Exeter, Blackpool, Lancaster and East Sussex, and the Digital Infrastructure Strategy for the Liverpool City Region Combined Authority. He launched and managed the Centre for Creative Collaboration (C4CC), which supported 37 start-ups, and taught business strategy and financial valuation to more than 180 creative businesses. His economic impact assessments and business cases follow HM Treasury Green Book methodology. He has worked with marine charities training young people in seafaring, under the most stringent DBS requirements. He holds a PhD in physics and sits on the Strategic Advisory Board of </w:t>
      </w:r>
      <w:proofErr w:type="spellStart"/>
      <w:r w:rsidRPr="007948B8">
        <w:t>PlaceMUS</w:t>
      </w:r>
      <w:proofErr w:type="spellEnd"/>
      <w:r w:rsidRPr="007948B8">
        <w:t xml:space="preserve"> XR, a Horizon Europe project on heritage interpretation technology, where he is the designated financial</w:t>
      </w:r>
      <w:r w:rsidR="00E35013" w:rsidRPr="007948B8">
        <w:t xml:space="preserve"> </w:t>
      </w:r>
      <w:r w:rsidRPr="007948B8">
        <w:t xml:space="preserve">stakeholder reviewer of its primary research. </w:t>
      </w:r>
      <w:r w:rsidR="00E35013" w:rsidRPr="007948B8">
        <w:t>H</w:t>
      </w:r>
      <w:r w:rsidRPr="007948B8">
        <w:t xml:space="preserve">e </w:t>
      </w:r>
      <w:r w:rsidR="00E35013" w:rsidRPr="007948B8">
        <w:t xml:space="preserve">will </w:t>
      </w:r>
      <w:r w:rsidRPr="007948B8">
        <w:t>review the economic protocol and sampling frame at inception, the contribution evidence and calculations at interim stage, and the final interpretation and calculation handover.</w:t>
      </w:r>
    </w:p>
    <w:p w14:paraId="33D55325" w14:textId="77777777" w:rsidR="00C14C5A" w:rsidRPr="007948B8" w:rsidRDefault="00000000">
      <w:pPr>
        <w:pStyle w:val="Heading2"/>
        <w:rPr>
          <w:sz w:val="22"/>
          <w:szCs w:val="22"/>
        </w:rPr>
      </w:pPr>
      <w:r w:rsidRPr="007948B8">
        <w:rPr>
          <w:sz w:val="22"/>
          <w:szCs w:val="22"/>
        </w:rPr>
        <w:t>Allocation and accountability</w:t>
      </w:r>
    </w:p>
    <w:p w14:paraId="19E38C6F" w14:textId="0139C70A" w:rsidR="00C14C5A" w:rsidRPr="007948B8" w:rsidRDefault="00BF4E47">
      <w:r>
        <w:t xml:space="preserve">Out of a total of 96 days, </w:t>
      </w:r>
      <w:r w:rsidRPr="007948B8">
        <w:t xml:space="preserve">Bennett has 27 days and Bains 30; McCadden 14, </w:t>
      </w:r>
      <w:proofErr w:type="spellStart"/>
      <w:r w:rsidRPr="007948B8">
        <w:t>Kunesch</w:t>
      </w:r>
      <w:proofErr w:type="spellEnd"/>
      <w:r w:rsidRPr="007948B8">
        <w:t xml:space="preserve"> 16, </w:t>
      </w:r>
      <w:proofErr w:type="spellStart"/>
      <w:r w:rsidRPr="007948B8">
        <w:t>Triscott</w:t>
      </w:r>
      <w:proofErr w:type="spellEnd"/>
      <w:r w:rsidRPr="007948B8">
        <w:t xml:space="preserve"> three and Condon six. The Fifth Sector will contract the other five principals and remain responsible to the V&amp;A for their work; Bennett is the accountable contact</w:t>
      </w:r>
      <w:r>
        <w:t xml:space="preserve"> and will include Quality Assurance terms in the contracts of each of the sub-contractors</w:t>
      </w:r>
      <w:r w:rsidRPr="007948B8">
        <w:t xml:space="preserve">. Sector knowledge: </w:t>
      </w:r>
      <w:proofErr w:type="spellStart"/>
      <w:r w:rsidRPr="007948B8">
        <w:t>Triscott</w:t>
      </w:r>
      <w:proofErr w:type="spellEnd"/>
      <w:r w:rsidRPr="007948B8">
        <w:t xml:space="preserve"> brings the standpoint of an institution that commissions and supports artists, and Bennett and Bains worked on the CELL </w:t>
      </w:r>
      <w:r>
        <w:t xml:space="preserve">experience economy </w:t>
      </w:r>
      <w:r w:rsidRPr="007948B8">
        <w:t xml:space="preserve">business case and mapping, which </w:t>
      </w:r>
      <w:r>
        <w:t>including</w:t>
      </w:r>
      <w:r w:rsidRPr="007948B8">
        <w:t xml:space="preserve"> the V&amp;A East pilots. </w:t>
      </w:r>
    </w:p>
    <w:p w14:paraId="1653AD30" w14:textId="77777777" w:rsidR="00C14C5A" w:rsidRPr="007948B8" w:rsidRDefault="00000000">
      <w:pPr>
        <w:pStyle w:val="Heading1"/>
        <w:pageBreakBefore/>
        <w:rPr>
          <w:sz w:val="22"/>
          <w:szCs w:val="22"/>
        </w:rPr>
      </w:pPr>
      <w:r w:rsidRPr="007948B8">
        <w:rPr>
          <w:sz w:val="22"/>
          <w:szCs w:val="22"/>
        </w:rPr>
        <w:lastRenderedPageBreak/>
        <w:t>Fixed fee and payment schedule</w:t>
      </w:r>
    </w:p>
    <w:p w14:paraId="2327D96A" w14:textId="7E18EB02" w:rsidR="00C14C5A" w:rsidRPr="007948B8" w:rsidRDefault="00000000">
      <w:r w:rsidRPr="007948B8">
        <w:t>The fixed sum is £</w:t>
      </w:r>
      <w:r w:rsidR="008F77F2">
        <w:t>59,200</w:t>
      </w:r>
      <w:r w:rsidRPr="007948B8">
        <w:t xml:space="preserve"> excluding VAT, inclusive of all expenses, disbursements, source preparation and delivery costs. On a 7.5-hour day the equivalent hourly rates are £86.67 for Bennett and Bains (£650 per day), £80.00 for McCadden (£600), £66.67 for </w:t>
      </w:r>
      <w:proofErr w:type="spellStart"/>
      <w:r w:rsidRPr="007948B8">
        <w:t>Triscott</w:t>
      </w:r>
      <w:proofErr w:type="spellEnd"/>
      <w:r w:rsidRPr="007948B8">
        <w:t xml:space="preserve"> (£500), £40.00 for </w:t>
      </w:r>
      <w:proofErr w:type="spellStart"/>
      <w:r w:rsidRPr="007948B8">
        <w:t>Kunesch</w:t>
      </w:r>
      <w:proofErr w:type="spellEnd"/>
      <w:r w:rsidRPr="007948B8">
        <w:t xml:space="preserve"> (£300) and £100.00 for </w:t>
      </w:r>
      <w:r w:rsidR="00BF4E47">
        <w:t>Condon</w:t>
      </w:r>
      <w:r w:rsidRPr="007948B8">
        <w:t xml:space="preserve"> (£750). The Price and Resource Schedule accompanies this response.</w:t>
      </w:r>
    </w:p>
    <w:tbl>
      <w:tblPr>
        <w:tblStyle w:val="TableGrid"/>
        <w:tblW w:w="0" w:type="auto"/>
        <w:jc w:val="center"/>
        <w:tblLook w:val="04A0" w:firstRow="1" w:lastRow="0" w:firstColumn="1" w:lastColumn="0" w:noHBand="0" w:noVBand="1"/>
      </w:tblPr>
      <w:tblGrid>
        <w:gridCol w:w="4876"/>
        <w:gridCol w:w="907"/>
        <w:gridCol w:w="1928"/>
        <w:gridCol w:w="1361"/>
      </w:tblGrid>
      <w:tr w:rsidR="00C14C5A" w:rsidRPr="007948B8" w14:paraId="6244894D" w14:textId="77777777" w:rsidTr="00C9594F">
        <w:trPr>
          <w:jc w:val="center"/>
        </w:trPr>
        <w:tc>
          <w:tcPr>
            <w:tcW w:w="4876" w:type="dxa"/>
          </w:tcPr>
          <w:p w14:paraId="4ACC7C37" w14:textId="77777777" w:rsidR="00C14C5A" w:rsidRPr="007948B8" w:rsidRDefault="00000000">
            <w:pPr>
              <w:spacing w:after="0"/>
            </w:pPr>
            <w:r w:rsidRPr="007948B8">
              <w:rPr>
                <w:b/>
              </w:rPr>
              <w:t>Resource</w:t>
            </w:r>
          </w:p>
        </w:tc>
        <w:tc>
          <w:tcPr>
            <w:tcW w:w="907" w:type="dxa"/>
          </w:tcPr>
          <w:p w14:paraId="21C6397A" w14:textId="77777777" w:rsidR="00C14C5A" w:rsidRPr="007948B8" w:rsidRDefault="00000000" w:rsidP="00C9594F">
            <w:pPr>
              <w:spacing w:after="0"/>
              <w:jc w:val="center"/>
            </w:pPr>
            <w:r w:rsidRPr="007948B8">
              <w:rPr>
                <w:b/>
              </w:rPr>
              <w:t>Days</w:t>
            </w:r>
          </w:p>
        </w:tc>
        <w:tc>
          <w:tcPr>
            <w:tcW w:w="1928" w:type="dxa"/>
          </w:tcPr>
          <w:p w14:paraId="4C97BB96" w14:textId="77777777" w:rsidR="00C14C5A" w:rsidRPr="007948B8" w:rsidRDefault="00000000">
            <w:pPr>
              <w:spacing w:after="0"/>
            </w:pPr>
            <w:r w:rsidRPr="007948B8">
              <w:rPr>
                <w:b/>
              </w:rPr>
              <w:t>Day rate excl. VAT</w:t>
            </w:r>
          </w:p>
        </w:tc>
        <w:tc>
          <w:tcPr>
            <w:tcW w:w="1361" w:type="dxa"/>
            <w:vAlign w:val="center"/>
          </w:tcPr>
          <w:p w14:paraId="74044128" w14:textId="77777777" w:rsidR="00C14C5A" w:rsidRPr="007948B8" w:rsidRDefault="00000000" w:rsidP="00C9594F">
            <w:pPr>
              <w:spacing w:after="0"/>
              <w:jc w:val="right"/>
            </w:pPr>
            <w:r w:rsidRPr="007948B8">
              <w:rPr>
                <w:b/>
              </w:rPr>
              <w:t>Fee excl. VAT</w:t>
            </w:r>
          </w:p>
        </w:tc>
      </w:tr>
      <w:tr w:rsidR="00C14C5A" w:rsidRPr="007948B8" w14:paraId="4362BE70" w14:textId="77777777" w:rsidTr="00C9594F">
        <w:trPr>
          <w:jc w:val="center"/>
        </w:trPr>
        <w:tc>
          <w:tcPr>
            <w:tcW w:w="4876" w:type="dxa"/>
          </w:tcPr>
          <w:p w14:paraId="7A542CDB" w14:textId="77777777" w:rsidR="00C14C5A" w:rsidRPr="007948B8" w:rsidRDefault="00000000">
            <w:pPr>
              <w:spacing w:after="0"/>
            </w:pPr>
            <w:r w:rsidRPr="007948B8">
              <w:t>Iain Bennett (The Fifth Sector Limited, Project Director / Economic Lead)</w:t>
            </w:r>
          </w:p>
        </w:tc>
        <w:tc>
          <w:tcPr>
            <w:tcW w:w="907" w:type="dxa"/>
          </w:tcPr>
          <w:p w14:paraId="0A49BE41" w14:textId="6614D586" w:rsidR="00C14C5A" w:rsidRPr="007948B8" w:rsidRDefault="008F77F2" w:rsidP="00C9594F">
            <w:pPr>
              <w:spacing w:after="0"/>
              <w:jc w:val="center"/>
            </w:pPr>
            <w:r>
              <w:t>30</w:t>
            </w:r>
          </w:p>
        </w:tc>
        <w:tc>
          <w:tcPr>
            <w:tcW w:w="1928" w:type="dxa"/>
          </w:tcPr>
          <w:p w14:paraId="4A147E48" w14:textId="77777777" w:rsidR="00C14C5A" w:rsidRPr="007948B8" w:rsidRDefault="00000000">
            <w:pPr>
              <w:spacing w:after="0"/>
            </w:pPr>
            <w:r w:rsidRPr="007948B8">
              <w:t>£650 (£86.67/hr)</w:t>
            </w:r>
          </w:p>
        </w:tc>
        <w:tc>
          <w:tcPr>
            <w:tcW w:w="1361" w:type="dxa"/>
            <w:vAlign w:val="center"/>
          </w:tcPr>
          <w:p w14:paraId="0F3D729E" w14:textId="1C57C381" w:rsidR="00C14C5A" w:rsidRPr="007948B8" w:rsidRDefault="00000000" w:rsidP="00C9594F">
            <w:pPr>
              <w:spacing w:after="0"/>
              <w:jc w:val="right"/>
            </w:pPr>
            <w:r w:rsidRPr="007948B8">
              <w:t>£</w:t>
            </w:r>
            <w:r w:rsidR="008F77F2">
              <w:t>19,500</w:t>
            </w:r>
          </w:p>
        </w:tc>
      </w:tr>
      <w:tr w:rsidR="00C14C5A" w:rsidRPr="007948B8" w14:paraId="1EBEE3EA" w14:textId="77777777" w:rsidTr="00C9594F">
        <w:trPr>
          <w:jc w:val="center"/>
        </w:trPr>
        <w:tc>
          <w:tcPr>
            <w:tcW w:w="4876" w:type="dxa"/>
          </w:tcPr>
          <w:p w14:paraId="3E309A84" w14:textId="77777777" w:rsidR="00C14C5A" w:rsidRPr="007948B8" w:rsidRDefault="00000000">
            <w:pPr>
              <w:spacing w:after="0"/>
            </w:pPr>
            <w:r w:rsidRPr="007948B8">
              <w:t>Jon Bains (Obsolete.com Ltd, Research, Data &amp; Creative Practice Lead)</w:t>
            </w:r>
          </w:p>
        </w:tc>
        <w:tc>
          <w:tcPr>
            <w:tcW w:w="907" w:type="dxa"/>
          </w:tcPr>
          <w:p w14:paraId="69A48CE6" w14:textId="77777777" w:rsidR="00C14C5A" w:rsidRPr="007948B8" w:rsidRDefault="00000000" w:rsidP="00C9594F">
            <w:pPr>
              <w:spacing w:after="0"/>
              <w:jc w:val="center"/>
            </w:pPr>
            <w:r w:rsidRPr="007948B8">
              <w:t>30</w:t>
            </w:r>
          </w:p>
        </w:tc>
        <w:tc>
          <w:tcPr>
            <w:tcW w:w="1928" w:type="dxa"/>
          </w:tcPr>
          <w:p w14:paraId="68BE3050" w14:textId="77777777" w:rsidR="00C14C5A" w:rsidRPr="007948B8" w:rsidRDefault="00000000">
            <w:pPr>
              <w:spacing w:after="0"/>
            </w:pPr>
            <w:r w:rsidRPr="007948B8">
              <w:t>£650 (£86.67/hr)</w:t>
            </w:r>
          </w:p>
        </w:tc>
        <w:tc>
          <w:tcPr>
            <w:tcW w:w="1361" w:type="dxa"/>
            <w:vAlign w:val="center"/>
          </w:tcPr>
          <w:p w14:paraId="63506851" w14:textId="77777777" w:rsidR="00C14C5A" w:rsidRPr="007948B8" w:rsidRDefault="00000000" w:rsidP="00C9594F">
            <w:pPr>
              <w:spacing w:after="0"/>
              <w:jc w:val="right"/>
            </w:pPr>
            <w:r w:rsidRPr="007948B8">
              <w:t>£19,500</w:t>
            </w:r>
          </w:p>
        </w:tc>
      </w:tr>
      <w:tr w:rsidR="00C14C5A" w:rsidRPr="007948B8" w14:paraId="706F7531" w14:textId="77777777" w:rsidTr="00C9594F">
        <w:trPr>
          <w:jc w:val="center"/>
        </w:trPr>
        <w:tc>
          <w:tcPr>
            <w:tcW w:w="4876" w:type="dxa"/>
          </w:tcPr>
          <w:p w14:paraId="1C3A3E7C" w14:textId="2077AAB7" w:rsidR="00C14C5A" w:rsidRPr="007948B8" w:rsidRDefault="00000000">
            <w:pPr>
              <w:spacing w:after="0"/>
            </w:pPr>
            <w:r w:rsidRPr="007948B8">
              <w:t xml:space="preserve">Lynne McCadden (Morra Limited, </w:t>
            </w:r>
            <w:r w:rsidR="008F77F2" w:rsidRPr="007948B8">
              <w:t>Creative Skills, Careers &amp; Qualitative Lead)</w:t>
            </w:r>
          </w:p>
        </w:tc>
        <w:tc>
          <w:tcPr>
            <w:tcW w:w="907" w:type="dxa"/>
          </w:tcPr>
          <w:p w14:paraId="017BD08D" w14:textId="77777777" w:rsidR="00C14C5A" w:rsidRPr="007948B8" w:rsidRDefault="00000000" w:rsidP="00C9594F">
            <w:pPr>
              <w:spacing w:after="0"/>
              <w:jc w:val="center"/>
            </w:pPr>
            <w:r w:rsidRPr="007948B8">
              <w:t>14</w:t>
            </w:r>
          </w:p>
        </w:tc>
        <w:tc>
          <w:tcPr>
            <w:tcW w:w="1928" w:type="dxa"/>
          </w:tcPr>
          <w:p w14:paraId="05FC58DD" w14:textId="77777777" w:rsidR="00C14C5A" w:rsidRPr="007948B8" w:rsidRDefault="00000000">
            <w:pPr>
              <w:spacing w:after="0"/>
            </w:pPr>
            <w:r w:rsidRPr="007948B8">
              <w:t>£600 (£80.00/hr)</w:t>
            </w:r>
          </w:p>
        </w:tc>
        <w:tc>
          <w:tcPr>
            <w:tcW w:w="1361" w:type="dxa"/>
            <w:vAlign w:val="center"/>
          </w:tcPr>
          <w:p w14:paraId="3CE9CD22" w14:textId="77777777" w:rsidR="00C14C5A" w:rsidRPr="007948B8" w:rsidRDefault="00000000" w:rsidP="00C9594F">
            <w:pPr>
              <w:spacing w:after="0"/>
              <w:jc w:val="right"/>
            </w:pPr>
            <w:r w:rsidRPr="007948B8">
              <w:t>£8,400</w:t>
            </w:r>
          </w:p>
        </w:tc>
      </w:tr>
      <w:tr w:rsidR="00C14C5A" w:rsidRPr="007948B8" w14:paraId="4672E6F4" w14:textId="77777777" w:rsidTr="00C9594F">
        <w:trPr>
          <w:jc w:val="center"/>
        </w:trPr>
        <w:tc>
          <w:tcPr>
            <w:tcW w:w="4876" w:type="dxa"/>
          </w:tcPr>
          <w:p w14:paraId="7EEFC73E" w14:textId="77777777" w:rsidR="00C14C5A" w:rsidRPr="007948B8" w:rsidRDefault="00000000">
            <w:pPr>
              <w:spacing w:after="0"/>
            </w:pPr>
            <w:r w:rsidRPr="007948B8">
              <w:t>Nikolas Kunesch (research support, external cohorts)</w:t>
            </w:r>
          </w:p>
        </w:tc>
        <w:tc>
          <w:tcPr>
            <w:tcW w:w="907" w:type="dxa"/>
          </w:tcPr>
          <w:p w14:paraId="4FBB8BAF" w14:textId="77777777" w:rsidR="00C14C5A" w:rsidRPr="007948B8" w:rsidRDefault="00000000" w:rsidP="00C9594F">
            <w:pPr>
              <w:spacing w:after="0"/>
              <w:jc w:val="center"/>
            </w:pPr>
            <w:r w:rsidRPr="007948B8">
              <w:t>16</w:t>
            </w:r>
          </w:p>
        </w:tc>
        <w:tc>
          <w:tcPr>
            <w:tcW w:w="1928" w:type="dxa"/>
          </w:tcPr>
          <w:p w14:paraId="68EAA3A5" w14:textId="77777777" w:rsidR="00C14C5A" w:rsidRPr="007948B8" w:rsidRDefault="00000000">
            <w:pPr>
              <w:spacing w:after="0"/>
            </w:pPr>
            <w:r w:rsidRPr="007948B8">
              <w:t>£300 (£40.00/hr)</w:t>
            </w:r>
          </w:p>
        </w:tc>
        <w:tc>
          <w:tcPr>
            <w:tcW w:w="1361" w:type="dxa"/>
            <w:vAlign w:val="center"/>
          </w:tcPr>
          <w:p w14:paraId="0C94E070" w14:textId="77777777" w:rsidR="00C14C5A" w:rsidRPr="007948B8" w:rsidRDefault="00000000" w:rsidP="00C9594F">
            <w:pPr>
              <w:spacing w:after="0"/>
              <w:jc w:val="right"/>
            </w:pPr>
            <w:r w:rsidRPr="007948B8">
              <w:t>£4,800</w:t>
            </w:r>
          </w:p>
        </w:tc>
      </w:tr>
      <w:tr w:rsidR="00C14C5A" w:rsidRPr="007948B8" w14:paraId="4DF6084C" w14:textId="77777777" w:rsidTr="00C9594F">
        <w:trPr>
          <w:jc w:val="center"/>
        </w:trPr>
        <w:tc>
          <w:tcPr>
            <w:tcW w:w="4876" w:type="dxa"/>
          </w:tcPr>
          <w:p w14:paraId="754C3BA3" w14:textId="77777777" w:rsidR="00C14C5A" w:rsidRPr="007948B8" w:rsidRDefault="00000000">
            <w:pPr>
              <w:spacing w:after="0"/>
            </w:pPr>
            <w:r w:rsidRPr="007948B8">
              <w:t>Dr Nicola Triscott (FACT; cultural leader and researcher, expert member)</w:t>
            </w:r>
          </w:p>
        </w:tc>
        <w:tc>
          <w:tcPr>
            <w:tcW w:w="907" w:type="dxa"/>
          </w:tcPr>
          <w:p w14:paraId="0898CF62" w14:textId="77777777" w:rsidR="00C14C5A" w:rsidRPr="007948B8" w:rsidRDefault="00000000" w:rsidP="00C9594F">
            <w:pPr>
              <w:spacing w:after="0"/>
              <w:jc w:val="center"/>
            </w:pPr>
            <w:r w:rsidRPr="007948B8">
              <w:t>3</w:t>
            </w:r>
          </w:p>
        </w:tc>
        <w:tc>
          <w:tcPr>
            <w:tcW w:w="1928" w:type="dxa"/>
          </w:tcPr>
          <w:p w14:paraId="69589D1E" w14:textId="77777777" w:rsidR="00C14C5A" w:rsidRPr="007948B8" w:rsidRDefault="00000000">
            <w:pPr>
              <w:spacing w:after="0"/>
            </w:pPr>
            <w:r w:rsidRPr="007948B8">
              <w:t>£500 (£66.67/hr)</w:t>
            </w:r>
          </w:p>
        </w:tc>
        <w:tc>
          <w:tcPr>
            <w:tcW w:w="1361" w:type="dxa"/>
            <w:vAlign w:val="center"/>
          </w:tcPr>
          <w:p w14:paraId="079082C9" w14:textId="77777777" w:rsidR="00C14C5A" w:rsidRPr="007948B8" w:rsidRDefault="00000000" w:rsidP="00C9594F">
            <w:pPr>
              <w:spacing w:after="0"/>
              <w:jc w:val="right"/>
            </w:pPr>
            <w:r w:rsidRPr="007948B8">
              <w:t>£1,500</w:t>
            </w:r>
          </w:p>
        </w:tc>
      </w:tr>
      <w:tr w:rsidR="00C14C5A" w:rsidRPr="007948B8" w14:paraId="77724269" w14:textId="77777777" w:rsidTr="00C9594F">
        <w:trPr>
          <w:jc w:val="center"/>
        </w:trPr>
        <w:tc>
          <w:tcPr>
            <w:tcW w:w="4876" w:type="dxa"/>
          </w:tcPr>
          <w:p w14:paraId="4112F64F" w14:textId="77777777" w:rsidR="00C14C5A" w:rsidRPr="007948B8" w:rsidRDefault="00000000">
            <w:pPr>
              <w:spacing w:after="0"/>
            </w:pPr>
            <w:r w:rsidRPr="007948B8">
              <w:t>Dr Brian Condon (independent economic and methods reviewer)</w:t>
            </w:r>
          </w:p>
        </w:tc>
        <w:tc>
          <w:tcPr>
            <w:tcW w:w="907" w:type="dxa"/>
          </w:tcPr>
          <w:p w14:paraId="0F7FFC1C" w14:textId="77777777" w:rsidR="00C14C5A" w:rsidRPr="007948B8" w:rsidRDefault="00000000" w:rsidP="00C9594F">
            <w:pPr>
              <w:spacing w:after="0"/>
              <w:jc w:val="center"/>
            </w:pPr>
            <w:r w:rsidRPr="007948B8">
              <w:t>6</w:t>
            </w:r>
          </w:p>
        </w:tc>
        <w:tc>
          <w:tcPr>
            <w:tcW w:w="1928" w:type="dxa"/>
          </w:tcPr>
          <w:p w14:paraId="3BF7759F" w14:textId="77777777" w:rsidR="00C14C5A" w:rsidRPr="007948B8" w:rsidRDefault="00000000">
            <w:pPr>
              <w:spacing w:after="0"/>
            </w:pPr>
            <w:r w:rsidRPr="007948B8">
              <w:t>£750 (£100.00/hr)</w:t>
            </w:r>
          </w:p>
        </w:tc>
        <w:tc>
          <w:tcPr>
            <w:tcW w:w="1361" w:type="dxa"/>
            <w:vAlign w:val="center"/>
          </w:tcPr>
          <w:p w14:paraId="1F681820" w14:textId="77777777" w:rsidR="00C14C5A" w:rsidRPr="007948B8" w:rsidRDefault="00000000" w:rsidP="00C9594F">
            <w:pPr>
              <w:spacing w:after="0"/>
              <w:jc w:val="right"/>
            </w:pPr>
            <w:r w:rsidRPr="007948B8">
              <w:t>£4,500</w:t>
            </w:r>
          </w:p>
        </w:tc>
      </w:tr>
      <w:tr w:rsidR="00C14C5A" w:rsidRPr="007948B8" w14:paraId="0620410B" w14:textId="77777777" w:rsidTr="00C9594F">
        <w:trPr>
          <w:jc w:val="center"/>
        </w:trPr>
        <w:tc>
          <w:tcPr>
            <w:tcW w:w="4876" w:type="dxa"/>
          </w:tcPr>
          <w:p w14:paraId="756ABE96" w14:textId="77777777" w:rsidR="00C14C5A" w:rsidRPr="007948B8" w:rsidRDefault="00000000">
            <w:pPr>
              <w:spacing w:after="0"/>
            </w:pPr>
            <w:r w:rsidRPr="007948B8">
              <w:t>Participant honorarium: up to 30 freelance participants at £50</w:t>
            </w:r>
          </w:p>
        </w:tc>
        <w:tc>
          <w:tcPr>
            <w:tcW w:w="907" w:type="dxa"/>
          </w:tcPr>
          <w:p w14:paraId="1B1E77DB" w14:textId="77777777" w:rsidR="00C14C5A" w:rsidRPr="007948B8" w:rsidRDefault="00000000" w:rsidP="00C9594F">
            <w:pPr>
              <w:spacing w:after="0"/>
              <w:jc w:val="center"/>
            </w:pPr>
            <w:r w:rsidRPr="007948B8">
              <w:t>N/A</w:t>
            </w:r>
          </w:p>
        </w:tc>
        <w:tc>
          <w:tcPr>
            <w:tcW w:w="1928" w:type="dxa"/>
          </w:tcPr>
          <w:p w14:paraId="7AE8CDAB" w14:textId="77777777" w:rsidR="00C14C5A" w:rsidRPr="007948B8" w:rsidRDefault="00000000">
            <w:pPr>
              <w:spacing w:after="0"/>
            </w:pPr>
            <w:r w:rsidRPr="007948B8">
              <w:t>N/A</w:t>
            </w:r>
          </w:p>
        </w:tc>
        <w:tc>
          <w:tcPr>
            <w:tcW w:w="1361" w:type="dxa"/>
            <w:vAlign w:val="center"/>
          </w:tcPr>
          <w:p w14:paraId="50271367" w14:textId="77777777" w:rsidR="00C14C5A" w:rsidRPr="007948B8" w:rsidRDefault="00000000" w:rsidP="00C9594F">
            <w:pPr>
              <w:spacing w:after="0"/>
              <w:jc w:val="right"/>
            </w:pPr>
            <w:r w:rsidRPr="007948B8">
              <w:t>£1,500</w:t>
            </w:r>
          </w:p>
        </w:tc>
      </w:tr>
      <w:tr w:rsidR="00C14C5A" w:rsidRPr="007948B8" w14:paraId="14EFA527" w14:textId="77777777" w:rsidTr="00C9594F">
        <w:trPr>
          <w:jc w:val="center"/>
        </w:trPr>
        <w:tc>
          <w:tcPr>
            <w:tcW w:w="4876" w:type="dxa"/>
          </w:tcPr>
          <w:p w14:paraId="1E6C08AF" w14:textId="77777777" w:rsidR="00C14C5A" w:rsidRPr="007948B8" w:rsidRDefault="00000000">
            <w:pPr>
              <w:spacing w:after="0"/>
            </w:pPr>
            <w:r w:rsidRPr="007948B8">
              <w:t>Travel and site visits, fixed allowance</w:t>
            </w:r>
          </w:p>
        </w:tc>
        <w:tc>
          <w:tcPr>
            <w:tcW w:w="907" w:type="dxa"/>
          </w:tcPr>
          <w:p w14:paraId="3195D234" w14:textId="77777777" w:rsidR="00C14C5A" w:rsidRPr="007948B8" w:rsidRDefault="00000000" w:rsidP="00C9594F">
            <w:pPr>
              <w:spacing w:after="0"/>
              <w:jc w:val="center"/>
            </w:pPr>
            <w:r w:rsidRPr="007948B8">
              <w:t>N/A</w:t>
            </w:r>
          </w:p>
        </w:tc>
        <w:tc>
          <w:tcPr>
            <w:tcW w:w="1928" w:type="dxa"/>
          </w:tcPr>
          <w:p w14:paraId="5BADEA4F" w14:textId="77777777" w:rsidR="00C14C5A" w:rsidRPr="007948B8" w:rsidRDefault="00000000">
            <w:pPr>
              <w:spacing w:after="0"/>
            </w:pPr>
            <w:r w:rsidRPr="007948B8">
              <w:t>N/A</w:t>
            </w:r>
          </w:p>
        </w:tc>
        <w:tc>
          <w:tcPr>
            <w:tcW w:w="1361" w:type="dxa"/>
            <w:vAlign w:val="center"/>
          </w:tcPr>
          <w:p w14:paraId="3A02B53D" w14:textId="77777777" w:rsidR="00C14C5A" w:rsidRPr="007948B8" w:rsidRDefault="00000000" w:rsidP="00C9594F">
            <w:pPr>
              <w:spacing w:after="0"/>
              <w:jc w:val="right"/>
            </w:pPr>
            <w:r w:rsidRPr="007948B8">
              <w:t>£1,000</w:t>
            </w:r>
          </w:p>
        </w:tc>
      </w:tr>
      <w:tr w:rsidR="00C14C5A" w:rsidRPr="00C9594F" w14:paraId="0FC39D49" w14:textId="77777777" w:rsidTr="00C9594F">
        <w:trPr>
          <w:jc w:val="center"/>
        </w:trPr>
        <w:tc>
          <w:tcPr>
            <w:tcW w:w="4876" w:type="dxa"/>
          </w:tcPr>
          <w:p w14:paraId="489F814A" w14:textId="77777777" w:rsidR="00C14C5A" w:rsidRPr="00C9594F" w:rsidRDefault="00000000">
            <w:pPr>
              <w:spacing w:after="0"/>
              <w:rPr>
                <w:b/>
                <w:bCs/>
              </w:rPr>
            </w:pPr>
            <w:r w:rsidRPr="00C9594F">
              <w:rPr>
                <w:b/>
                <w:bCs/>
              </w:rPr>
              <w:t>Total</w:t>
            </w:r>
          </w:p>
        </w:tc>
        <w:tc>
          <w:tcPr>
            <w:tcW w:w="907" w:type="dxa"/>
          </w:tcPr>
          <w:p w14:paraId="2A2FCF99" w14:textId="1E8C8F5C" w:rsidR="00C14C5A" w:rsidRPr="00C9594F" w:rsidRDefault="00000000" w:rsidP="00C9594F">
            <w:pPr>
              <w:spacing w:after="0"/>
              <w:jc w:val="center"/>
              <w:rPr>
                <w:b/>
                <w:bCs/>
              </w:rPr>
            </w:pPr>
            <w:r w:rsidRPr="00C9594F">
              <w:rPr>
                <w:b/>
                <w:bCs/>
              </w:rPr>
              <w:t>9</w:t>
            </w:r>
            <w:r w:rsidR="008F77F2">
              <w:rPr>
                <w:b/>
                <w:bCs/>
              </w:rPr>
              <w:t>9</w:t>
            </w:r>
          </w:p>
        </w:tc>
        <w:tc>
          <w:tcPr>
            <w:tcW w:w="1928" w:type="dxa"/>
          </w:tcPr>
          <w:p w14:paraId="073BE0A6" w14:textId="77777777" w:rsidR="00C14C5A" w:rsidRPr="00C9594F" w:rsidRDefault="00C14C5A">
            <w:pPr>
              <w:spacing w:after="0"/>
              <w:rPr>
                <w:b/>
                <w:bCs/>
              </w:rPr>
            </w:pPr>
          </w:p>
        </w:tc>
        <w:tc>
          <w:tcPr>
            <w:tcW w:w="1361" w:type="dxa"/>
            <w:vAlign w:val="center"/>
          </w:tcPr>
          <w:p w14:paraId="1F25FF66" w14:textId="77777777" w:rsidR="00C14C5A" w:rsidRPr="00C9594F" w:rsidRDefault="00000000" w:rsidP="00C9594F">
            <w:pPr>
              <w:spacing w:after="0"/>
              <w:jc w:val="right"/>
              <w:rPr>
                <w:b/>
                <w:bCs/>
              </w:rPr>
            </w:pPr>
            <w:r w:rsidRPr="00C9594F">
              <w:rPr>
                <w:b/>
                <w:bCs/>
              </w:rPr>
              <w:t>£58,750</w:t>
            </w:r>
          </w:p>
        </w:tc>
      </w:tr>
    </w:tbl>
    <w:p w14:paraId="656BCDEF" w14:textId="77777777" w:rsidR="00C14C5A" w:rsidRPr="007948B8" w:rsidRDefault="00000000">
      <w:r w:rsidRPr="007948B8">
        <w:t>All 96 days are planned; weekly check-ins and show-and-tells are costed within the lead days and there is no separate reserve. The fixed costs are £2,500: the honorarium (a ceiling; any unspent amount is credited against the final invoice) and £1,000 for travel and site visits. Reasonable adjustments and accessible materials are met within the fixed fee. No software licence or platform build is required from the V&amp;A.</w:t>
      </w:r>
    </w:p>
    <w:tbl>
      <w:tblPr>
        <w:tblStyle w:val="TableGrid"/>
        <w:tblW w:w="8916" w:type="dxa"/>
        <w:jc w:val="center"/>
        <w:tblLayout w:type="fixed"/>
        <w:tblLook w:val="04A0" w:firstRow="1" w:lastRow="0" w:firstColumn="1" w:lastColumn="0" w:noHBand="0" w:noVBand="1"/>
      </w:tblPr>
      <w:tblGrid>
        <w:gridCol w:w="2653"/>
        <w:gridCol w:w="1574"/>
        <w:gridCol w:w="1672"/>
        <w:gridCol w:w="1574"/>
        <w:gridCol w:w="1443"/>
      </w:tblGrid>
      <w:tr w:rsidR="00C14C5A" w:rsidRPr="007948B8" w14:paraId="4A9982D9" w14:textId="77777777" w:rsidTr="00C9594F">
        <w:trPr>
          <w:jc w:val="center"/>
        </w:trPr>
        <w:tc>
          <w:tcPr>
            <w:tcW w:w="2700" w:type="dxa"/>
          </w:tcPr>
          <w:p w14:paraId="73C8332C" w14:textId="77777777" w:rsidR="00C14C5A" w:rsidRPr="007948B8" w:rsidRDefault="00000000">
            <w:pPr>
              <w:spacing w:after="0"/>
            </w:pPr>
            <w:r w:rsidRPr="007948B8">
              <w:rPr>
                <w:b/>
              </w:rPr>
              <w:t>Days by stage</w:t>
            </w:r>
          </w:p>
        </w:tc>
        <w:tc>
          <w:tcPr>
            <w:tcW w:w="1600" w:type="dxa"/>
          </w:tcPr>
          <w:p w14:paraId="626007A8" w14:textId="77777777" w:rsidR="00C14C5A" w:rsidRPr="007948B8" w:rsidRDefault="00000000" w:rsidP="00C9594F">
            <w:pPr>
              <w:spacing w:after="0"/>
              <w:jc w:val="center"/>
            </w:pPr>
            <w:r w:rsidRPr="007948B8">
              <w:rPr>
                <w:b/>
              </w:rPr>
              <w:t>Planning and inception</w:t>
            </w:r>
          </w:p>
        </w:tc>
        <w:tc>
          <w:tcPr>
            <w:tcW w:w="1700" w:type="dxa"/>
          </w:tcPr>
          <w:p w14:paraId="1912AECC" w14:textId="77777777" w:rsidR="00C14C5A" w:rsidRPr="007948B8" w:rsidRDefault="00000000" w:rsidP="00C9594F">
            <w:pPr>
              <w:spacing w:after="0"/>
              <w:jc w:val="center"/>
            </w:pPr>
            <w:r w:rsidRPr="007948B8">
              <w:rPr>
                <w:b/>
              </w:rPr>
              <w:t>Analysis and interim findings</w:t>
            </w:r>
          </w:p>
        </w:tc>
        <w:tc>
          <w:tcPr>
            <w:tcW w:w="1600" w:type="dxa"/>
          </w:tcPr>
          <w:p w14:paraId="7CC877C3" w14:textId="77777777" w:rsidR="00C14C5A" w:rsidRPr="007948B8" w:rsidRDefault="00000000" w:rsidP="00C9594F">
            <w:pPr>
              <w:spacing w:after="0"/>
              <w:jc w:val="center"/>
            </w:pPr>
            <w:r w:rsidRPr="007948B8">
              <w:rPr>
                <w:b/>
              </w:rPr>
              <w:t>Refinement and final outputs</w:t>
            </w:r>
          </w:p>
        </w:tc>
        <w:tc>
          <w:tcPr>
            <w:tcW w:w="1466" w:type="dxa"/>
          </w:tcPr>
          <w:p w14:paraId="31A761C3" w14:textId="77777777" w:rsidR="00C14C5A" w:rsidRPr="007948B8" w:rsidRDefault="00000000" w:rsidP="00C9594F">
            <w:pPr>
              <w:spacing w:after="0"/>
              <w:jc w:val="center"/>
            </w:pPr>
            <w:r w:rsidRPr="007948B8">
              <w:rPr>
                <w:b/>
              </w:rPr>
              <w:t>Total</w:t>
            </w:r>
          </w:p>
        </w:tc>
      </w:tr>
      <w:tr w:rsidR="00C14C5A" w:rsidRPr="007948B8" w14:paraId="495DC9D7" w14:textId="77777777" w:rsidTr="00C9594F">
        <w:trPr>
          <w:jc w:val="center"/>
        </w:trPr>
        <w:tc>
          <w:tcPr>
            <w:tcW w:w="2700" w:type="dxa"/>
          </w:tcPr>
          <w:p w14:paraId="7E3D8962" w14:textId="77777777" w:rsidR="00C14C5A" w:rsidRPr="007948B8" w:rsidRDefault="00000000">
            <w:pPr>
              <w:spacing w:after="0"/>
            </w:pPr>
            <w:r w:rsidRPr="007948B8">
              <w:t>Iain Bennett</w:t>
            </w:r>
          </w:p>
        </w:tc>
        <w:tc>
          <w:tcPr>
            <w:tcW w:w="1600" w:type="dxa"/>
          </w:tcPr>
          <w:p w14:paraId="19CC6A8B" w14:textId="2262B1F9" w:rsidR="00C14C5A" w:rsidRPr="007948B8" w:rsidRDefault="008F77F2" w:rsidP="00C9594F">
            <w:pPr>
              <w:spacing w:after="0"/>
              <w:jc w:val="center"/>
            </w:pPr>
            <w:r>
              <w:t>8</w:t>
            </w:r>
          </w:p>
        </w:tc>
        <w:tc>
          <w:tcPr>
            <w:tcW w:w="1700" w:type="dxa"/>
          </w:tcPr>
          <w:p w14:paraId="5220063A" w14:textId="20274255" w:rsidR="00C14C5A" w:rsidRPr="007948B8" w:rsidRDefault="00000000" w:rsidP="00C9594F">
            <w:pPr>
              <w:spacing w:after="0"/>
              <w:jc w:val="center"/>
            </w:pPr>
            <w:r w:rsidRPr="007948B8">
              <w:t>1</w:t>
            </w:r>
            <w:r w:rsidR="008F77F2">
              <w:t>4</w:t>
            </w:r>
          </w:p>
        </w:tc>
        <w:tc>
          <w:tcPr>
            <w:tcW w:w="1600" w:type="dxa"/>
          </w:tcPr>
          <w:p w14:paraId="319BAD99" w14:textId="3508D9C3" w:rsidR="00C14C5A" w:rsidRPr="007948B8" w:rsidRDefault="008F77F2" w:rsidP="00C9594F">
            <w:pPr>
              <w:spacing w:after="0"/>
              <w:jc w:val="center"/>
            </w:pPr>
            <w:r>
              <w:t>8</w:t>
            </w:r>
          </w:p>
        </w:tc>
        <w:tc>
          <w:tcPr>
            <w:tcW w:w="1466" w:type="dxa"/>
          </w:tcPr>
          <w:p w14:paraId="3C5F87D8" w14:textId="7EBA32A4" w:rsidR="00C14C5A" w:rsidRPr="007948B8" w:rsidRDefault="008F77F2" w:rsidP="00C9594F">
            <w:pPr>
              <w:spacing w:after="0"/>
              <w:jc w:val="center"/>
            </w:pPr>
            <w:r>
              <w:t>30</w:t>
            </w:r>
          </w:p>
        </w:tc>
      </w:tr>
      <w:tr w:rsidR="00C14C5A" w:rsidRPr="007948B8" w14:paraId="4199504E" w14:textId="77777777" w:rsidTr="00C9594F">
        <w:trPr>
          <w:jc w:val="center"/>
        </w:trPr>
        <w:tc>
          <w:tcPr>
            <w:tcW w:w="2700" w:type="dxa"/>
          </w:tcPr>
          <w:p w14:paraId="2E150FAE" w14:textId="77777777" w:rsidR="00C14C5A" w:rsidRPr="007948B8" w:rsidRDefault="00000000">
            <w:pPr>
              <w:spacing w:after="0"/>
            </w:pPr>
            <w:r w:rsidRPr="007948B8">
              <w:t>Jon Bains</w:t>
            </w:r>
          </w:p>
        </w:tc>
        <w:tc>
          <w:tcPr>
            <w:tcW w:w="1600" w:type="dxa"/>
          </w:tcPr>
          <w:p w14:paraId="79074021" w14:textId="77777777" w:rsidR="00C14C5A" w:rsidRPr="007948B8" w:rsidRDefault="00000000" w:rsidP="00C9594F">
            <w:pPr>
              <w:spacing w:after="0"/>
              <w:jc w:val="center"/>
            </w:pPr>
            <w:r w:rsidRPr="007948B8">
              <w:t>8</w:t>
            </w:r>
          </w:p>
        </w:tc>
        <w:tc>
          <w:tcPr>
            <w:tcW w:w="1700" w:type="dxa"/>
          </w:tcPr>
          <w:p w14:paraId="26341B7D" w14:textId="77777777" w:rsidR="00C14C5A" w:rsidRPr="007948B8" w:rsidRDefault="00000000" w:rsidP="00C9594F">
            <w:pPr>
              <w:spacing w:after="0"/>
              <w:jc w:val="center"/>
            </w:pPr>
            <w:r w:rsidRPr="007948B8">
              <w:t>14</w:t>
            </w:r>
          </w:p>
        </w:tc>
        <w:tc>
          <w:tcPr>
            <w:tcW w:w="1600" w:type="dxa"/>
          </w:tcPr>
          <w:p w14:paraId="380F5AA9" w14:textId="77777777" w:rsidR="00C14C5A" w:rsidRPr="007948B8" w:rsidRDefault="00000000" w:rsidP="00C9594F">
            <w:pPr>
              <w:spacing w:after="0"/>
              <w:jc w:val="center"/>
            </w:pPr>
            <w:r w:rsidRPr="007948B8">
              <w:t>8</w:t>
            </w:r>
          </w:p>
        </w:tc>
        <w:tc>
          <w:tcPr>
            <w:tcW w:w="1466" w:type="dxa"/>
          </w:tcPr>
          <w:p w14:paraId="4015CD7A" w14:textId="77777777" w:rsidR="00C14C5A" w:rsidRPr="007948B8" w:rsidRDefault="00000000" w:rsidP="00C9594F">
            <w:pPr>
              <w:spacing w:after="0"/>
              <w:jc w:val="center"/>
            </w:pPr>
            <w:r w:rsidRPr="007948B8">
              <w:t>30</w:t>
            </w:r>
          </w:p>
        </w:tc>
      </w:tr>
      <w:tr w:rsidR="00C14C5A" w:rsidRPr="007948B8" w14:paraId="15833B65" w14:textId="77777777" w:rsidTr="00C9594F">
        <w:trPr>
          <w:jc w:val="center"/>
        </w:trPr>
        <w:tc>
          <w:tcPr>
            <w:tcW w:w="2700" w:type="dxa"/>
          </w:tcPr>
          <w:p w14:paraId="31AA9EAC" w14:textId="77777777" w:rsidR="00C14C5A" w:rsidRPr="007948B8" w:rsidRDefault="00000000">
            <w:pPr>
              <w:spacing w:after="0"/>
            </w:pPr>
            <w:r w:rsidRPr="007948B8">
              <w:t>Lynne McCadden</w:t>
            </w:r>
          </w:p>
        </w:tc>
        <w:tc>
          <w:tcPr>
            <w:tcW w:w="1600" w:type="dxa"/>
          </w:tcPr>
          <w:p w14:paraId="7995FA42" w14:textId="77777777" w:rsidR="00C14C5A" w:rsidRPr="007948B8" w:rsidRDefault="00000000" w:rsidP="00C9594F">
            <w:pPr>
              <w:spacing w:after="0"/>
              <w:jc w:val="center"/>
            </w:pPr>
            <w:r w:rsidRPr="007948B8">
              <w:t>2</w:t>
            </w:r>
          </w:p>
        </w:tc>
        <w:tc>
          <w:tcPr>
            <w:tcW w:w="1700" w:type="dxa"/>
          </w:tcPr>
          <w:p w14:paraId="09AEA4A6" w14:textId="77777777" w:rsidR="00C14C5A" w:rsidRPr="007948B8" w:rsidRDefault="00000000" w:rsidP="00C9594F">
            <w:pPr>
              <w:spacing w:after="0"/>
              <w:jc w:val="center"/>
            </w:pPr>
            <w:r w:rsidRPr="007948B8">
              <w:t>8</w:t>
            </w:r>
          </w:p>
        </w:tc>
        <w:tc>
          <w:tcPr>
            <w:tcW w:w="1600" w:type="dxa"/>
          </w:tcPr>
          <w:p w14:paraId="0BEF32B9" w14:textId="77777777" w:rsidR="00C14C5A" w:rsidRPr="007948B8" w:rsidRDefault="00000000" w:rsidP="00C9594F">
            <w:pPr>
              <w:spacing w:after="0"/>
              <w:jc w:val="center"/>
            </w:pPr>
            <w:r w:rsidRPr="007948B8">
              <w:t>4</w:t>
            </w:r>
          </w:p>
        </w:tc>
        <w:tc>
          <w:tcPr>
            <w:tcW w:w="1466" w:type="dxa"/>
          </w:tcPr>
          <w:p w14:paraId="7279A272" w14:textId="77777777" w:rsidR="00C14C5A" w:rsidRPr="007948B8" w:rsidRDefault="00000000" w:rsidP="00C9594F">
            <w:pPr>
              <w:spacing w:after="0"/>
              <w:jc w:val="center"/>
            </w:pPr>
            <w:r w:rsidRPr="007948B8">
              <w:t>14</w:t>
            </w:r>
          </w:p>
        </w:tc>
      </w:tr>
      <w:tr w:rsidR="00C14C5A" w:rsidRPr="007948B8" w14:paraId="7BBEB833" w14:textId="77777777" w:rsidTr="00C9594F">
        <w:trPr>
          <w:jc w:val="center"/>
        </w:trPr>
        <w:tc>
          <w:tcPr>
            <w:tcW w:w="2700" w:type="dxa"/>
          </w:tcPr>
          <w:p w14:paraId="72A93D0C" w14:textId="77777777" w:rsidR="00C14C5A" w:rsidRPr="007948B8" w:rsidRDefault="00000000">
            <w:pPr>
              <w:spacing w:after="0"/>
            </w:pPr>
            <w:r w:rsidRPr="007948B8">
              <w:t>Nikolas Kunesch</w:t>
            </w:r>
          </w:p>
        </w:tc>
        <w:tc>
          <w:tcPr>
            <w:tcW w:w="1600" w:type="dxa"/>
          </w:tcPr>
          <w:p w14:paraId="6197F5B6" w14:textId="77777777" w:rsidR="00C14C5A" w:rsidRPr="007948B8" w:rsidRDefault="00000000" w:rsidP="00C9594F">
            <w:pPr>
              <w:spacing w:after="0"/>
              <w:jc w:val="center"/>
            </w:pPr>
            <w:r w:rsidRPr="007948B8">
              <w:t>2</w:t>
            </w:r>
          </w:p>
        </w:tc>
        <w:tc>
          <w:tcPr>
            <w:tcW w:w="1700" w:type="dxa"/>
          </w:tcPr>
          <w:p w14:paraId="1DBA26CE" w14:textId="77777777" w:rsidR="00C14C5A" w:rsidRPr="007948B8" w:rsidRDefault="00000000" w:rsidP="00C9594F">
            <w:pPr>
              <w:spacing w:after="0"/>
              <w:jc w:val="center"/>
            </w:pPr>
            <w:r w:rsidRPr="007948B8">
              <w:t>13</w:t>
            </w:r>
          </w:p>
        </w:tc>
        <w:tc>
          <w:tcPr>
            <w:tcW w:w="1600" w:type="dxa"/>
          </w:tcPr>
          <w:p w14:paraId="096F5E98" w14:textId="77777777" w:rsidR="00C14C5A" w:rsidRPr="007948B8" w:rsidRDefault="00000000" w:rsidP="00C9594F">
            <w:pPr>
              <w:spacing w:after="0"/>
              <w:jc w:val="center"/>
            </w:pPr>
            <w:r w:rsidRPr="007948B8">
              <w:t>1</w:t>
            </w:r>
          </w:p>
        </w:tc>
        <w:tc>
          <w:tcPr>
            <w:tcW w:w="1466" w:type="dxa"/>
          </w:tcPr>
          <w:p w14:paraId="108C91B6" w14:textId="77777777" w:rsidR="00C14C5A" w:rsidRPr="007948B8" w:rsidRDefault="00000000" w:rsidP="00C9594F">
            <w:pPr>
              <w:spacing w:after="0"/>
              <w:jc w:val="center"/>
            </w:pPr>
            <w:r w:rsidRPr="007948B8">
              <w:t>16</w:t>
            </w:r>
          </w:p>
        </w:tc>
      </w:tr>
      <w:tr w:rsidR="00C14C5A" w:rsidRPr="007948B8" w14:paraId="587208C1" w14:textId="77777777" w:rsidTr="00C9594F">
        <w:trPr>
          <w:jc w:val="center"/>
        </w:trPr>
        <w:tc>
          <w:tcPr>
            <w:tcW w:w="2700" w:type="dxa"/>
          </w:tcPr>
          <w:p w14:paraId="5EAD687F" w14:textId="77777777" w:rsidR="00C14C5A" w:rsidRPr="007948B8" w:rsidRDefault="00000000">
            <w:pPr>
              <w:spacing w:after="0"/>
            </w:pPr>
            <w:r w:rsidRPr="007948B8">
              <w:t>Dr Nicola Triscott</w:t>
            </w:r>
          </w:p>
        </w:tc>
        <w:tc>
          <w:tcPr>
            <w:tcW w:w="1600" w:type="dxa"/>
          </w:tcPr>
          <w:p w14:paraId="3D8EC699" w14:textId="77777777" w:rsidR="00C14C5A" w:rsidRPr="007948B8" w:rsidRDefault="00000000" w:rsidP="00C9594F">
            <w:pPr>
              <w:spacing w:after="0"/>
              <w:jc w:val="center"/>
            </w:pPr>
            <w:r w:rsidRPr="007948B8">
              <w:t>1</w:t>
            </w:r>
          </w:p>
        </w:tc>
        <w:tc>
          <w:tcPr>
            <w:tcW w:w="1700" w:type="dxa"/>
          </w:tcPr>
          <w:p w14:paraId="2965BC17" w14:textId="77777777" w:rsidR="00C14C5A" w:rsidRPr="007948B8" w:rsidRDefault="00000000" w:rsidP="00C9594F">
            <w:pPr>
              <w:spacing w:after="0"/>
              <w:jc w:val="center"/>
            </w:pPr>
            <w:r w:rsidRPr="007948B8">
              <w:t>1</w:t>
            </w:r>
          </w:p>
        </w:tc>
        <w:tc>
          <w:tcPr>
            <w:tcW w:w="1600" w:type="dxa"/>
          </w:tcPr>
          <w:p w14:paraId="3EED9666" w14:textId="77777777" w:rsidR="00C14C5A" w:rsidRPr="007948B8" w:rsidRDefault="00000000" w:rsidP="00C9594F">
            <w:pPr>
              <w:spacing w:after="0"/>
              <w:jc w:val="center"/>
            </w:pPr>
            <w:r w:rsidRPr="007948B8">
              <w:t>1</w:t>
            </w:r>
          </w:p>
        </w:tc>
        <w:tc>
          <w:tcPr>
            <w:tcW w:w="1466" w:type="dxa"/>
          </w:tcPr>
          <w:p w14:paraId="3BAF8AF1" w14:textId="77777777" w:rsidR="00C14C5A" w:rsidRPr="007948B8" w:rsidRDefault="00000000" w:rsidP="00C9594F">
            <w:pPr>
              <w:spacing w:after="0"/>
              <w:jc w:val="center"/>
            </w:pPr>
            <w:r w:rsidRPr="007948B8">
              <w:t>3</w:t>
            </w:r>
          </w:p>
        </w:tc>
      </w:tr>
      <w:tr w:rsidR="00C14C5A" w:rsidRPr="007948B8" w14:paraId="28910098" w14:textId="77777777" w:rsidTr="00C9594F">
        <w:trPr>
          <w:jc w:val="center"/>
        </w:trPr>
        <w:tc>
          <w:tcPr>
            <w:tcW w:w="2700" w:type="dxa"/>
          </w:tcPr>
          <w:p w14:paraId="29C6BFB6" w14:textId="77777777" w:rsidR="00C14C5A" w:rsidRPr="007948B8" w:rsidRDefault="00000000">
            <w:pPr>
              <w:spacing w:after="0"/>
            </w:pPr>
            <w:r w:rsidRPr="007948B8">
              <w:t>Dr Brian Condon</w:t>
            </w:r>
          </w:p>
        </w:tc>
        <w:tc>
          <w:tcPr>
            <w:tcW w:w="1600" w:type="dxa"/>
          </w:tcPr>
          <w:p w14:paraId="48B57CA9" w14:textId="77777777" w:rsidR="00C14C5A" w:rsidRPr="007948B8" w:rsidRDefault="00000000" w:rsidP="00C9594F">
            <w:pPr>
              <w:spacing w:after="0"/>
              <w:jc w:val="center"/>
            </w:pPr>
            <w:r w:rsidRPr="007948B8">
              <w:t>2</w:t>
            </w:r>
          </w:p>
        </w:tc>
        <w:tc>
          <w:tcPr>
            <w:tcW w:w="1700" w:type="dxa"/>
          </w:tcPr>
          <w:p w14:paraId="757C4D89" w14:textId="77777777" w:rsidR="00C14C5A" w:rsidRPr="007948B8" w:rsidRDefault="00000000" w:rsidP="00C9594F">
            <w:pPr>
              <w:spacing w:after="0"/>
              <w:jc w:val="center"/>
            </w:pPr>
            <w:r w:rsidRPr="007948B8">
              <w:t>2</w:t>
            </w:r>
          </w:p>
        </w:tc>
        <w:tc>
          <w:tcPr>
            <w:tcW w:w="1600" w:type="dxa"/>
          </w:tcPr>
          <w:p w14:paraId="3CB7816C" w14:textId="77777777" w:rsidR="00C14C5A" w:rsidRPr="007948B8" w:rsidRDefault="00000000" w:rsidP="00C9594F">
            <w:pPr>
              <w:spacing w:after="0"/>
              <w:jc w:val="center"/>
            </w:pPr>
            <w:r w:rsidRPr="007948B8">
              <w:t>2</w:t>
            </w:r>
          </w:p>
        </w:tc>
        <w:tc>
          <w:tcPr>
            <w:tcW w:w="1466" w:type="dxa"/>
          </w:tcPr>
          <w:p w14:paraId="66ECE16D" w14:textId="77777777" w:rsidR="00C14C5A" w:rsidRPr="007948B8" w:rsidRDefault="00000000" w:rsidP="00C9594F">
            <w:pPr>
              <w:spacing w:after="0"/>
              <w:jc w:val="center"/>
            </w:pPr>
            <w:r w:rsidRPr="007948B8">
              <w:t>6</w:t>
            </w:r>
          </w:p>
        </w:tc>
      </w:tr>
      <w:tr w:rsidR="00C14C5A" w:rsidRPr="007948B8" w14:paraId="4D1308BB" w14:textId="77777777" w:rsidTr="00C9594F">
        <w:trPr>
          <w:jc w:val="center"/>
        </w:trPr>
        <w:tc>
          <w:tcPr>
            <w:tcW w:w="2700" w:type="dxa"/>
          </w:tcPr>
          <w:p w14:paraId="5DD09392" w14:textId="77777777" w:rsidR="00C14C5A" w:rsidRPr="007948B8" w:rsidRDefault="00000000">
            <w:pPr>
              <w:spacing w:after="0"/>
            </w:pPr>
            <w:r w:rsidRPr="007948B8">
              <w:t>Fixed costs</w:t>
            </w:r>
          </w:p>
        </w:tc>
        <w:tc>
          <w:tcPr>
            <w:tcW w:w="1600" w:type="dxa"/>
          </w:tcPr>
          <w:p w14:paraId="25BA2567" w14:textId="77777777" w:rsidR="00C14C5A" w:rsidRPr="007948B8" w:rsidRDefault="00000000" w:rsidP="00C9594F">
            <w:pPr>
              <w:spacing w:after="0"/>
              <w:jc w:val="center"/>
            </w:pPr>
            <w:r w:rsidRPr="007948B8">
              <w:t>£400</w:t>
            </w:r>
          </w:p>
        </w:tc>
        <w:tc>
          <w:tcPr>
            <w:tcW w:w="1700" w:type="dxa"/>
          </w:tcPr>
          <w:p w14:paraId="7139A054" w14:textId="77777777" w:rsidR="00C14C5A" w:rsidRPr="007948B8" w:rsidRDefault="00000000" w:rsidP="00C9594F">
            <w:pPr>
              <w:spacing w:after="0"/>
              <w:jc w:val="center"/>
            </w:pPr>
            <w:r w:rsidRPr="007948B8">
              <w:t>£1,900</w:t>
            </w:r>
          </w:p>
        </w:tc>
        <w:tc>
          <w:tcPr>
            <w:tcW w:w="1600" w:type="dxa"/>
          </w:tcPr>
          <w:p w14:paraId="4AC8B465" w14:textId="77777777" w:rsidR="00C14C5A" w:rsidRPr="007948B8" w:rsidRDefault="00000000" w:rsidP="00C9594F">
            <w:pPr>
              <w:spacing w:after="0"/>
              <w:jc w:val="center"/>
            </w:pPr>
            <w:r w:rsidRPr="007948B8">
              <w:t>£200</w:t>
            </w:r>
          </w:p>
        </w:tc>
        <w:tc>
          <w:tcPr>
            <w:tcW w:w="1466" w:type="dxa"/>
          </w:tcPr>
          <w:p w14:paraId="10BD6687" w14:textId="77777777" w:rsidR="00C14C5A" w:rsidRPr="007948B8" w:rsidRDefault="00000000" w:rsidP="00C9594F">
            <w:pPr>
              <w:spacing w:after="0"/>
              <w:jc w:val="center"/>
            </w:pPr>
            <w:r w:rsidRPr="007948B8">
              <w:t>£2,500</w:t>
            </w:r>
          </w:p>
        </w:tc>
      </w:tr>
      <w:tr w:rsidR="00C14C5A" w:rsidRPr="00C9594F" w14:paraId="228C8EE9" w14:textId="77777777" w:rsidTr="00C9594F">
        <w:trPr>
          <w:jc w:val="center"/>
        </w:trPr>
        <w:tc>
          <w:tcPr>
            <w:tcW w:w="2700" w:type="dxa"/>
          </w:tcPr>
          <w:p w14:paraId="668A519A" w14:textId="77777777" w:rsidR="00C14C5A" w:rsidRPr="00C9594F" w:rsidRDefault="00000000">
            <w:pPr>
              <w:spacing w:after="0"/>
              <w:rPr>
                <w:b/>
                <w:bCs/>
              </w:rPr>
            </w:pPr>
            <w:r w:rsidRPr="00C9594F">
              <w:rPr>
                <w:b/>
                <w:bCs/>
              </w:rPr>
              <w:t>Stage fee (excl. VAT)</w:t>
            </w:r>
          </w:p>
        </w:tc>
        <w:tc>
          <w:tcPr>
            <w:tcW w:w="1600" w:type="dxa"/>
          </w:tcPr>
          <w:p w14:paraId="63697ED3" w14:textId="529E7DBB" w:rsidR="00C14C5A" w:rsidRPr="00C9594F" w:rsidRDefault="00000000" w:rsidP="00C9594F">
            <w:pPr>
              <w:spacing w:after="0"/>
              <w:jc w:val="center"/>
              <w:rPr>
                <w:b/>
                <w:bCs/>
              </w:rPr>
            </w:pPr>
            <w:r w:rsidRPr="00C9594F">
              <w:rPr>
                <w:b/>
                <w:bCs/>
              </w:rPr>
              <w:t>£</w:t>
            </w:r>
            <w:r w:rsidR="008F77F2">
              <w:rPr>
                <w:b/>
                <w:bCs/>
              </w:rPr>
              <w:t>14,600</w:t>
            </w:r>
          </w:p>
        </w:tc>
        <w:tc>
          <w:tcPr>
            <w:tcW w:w="1700" w:type="dxa"/>
          </w:tcPr>
          <w:p w14:paraId="6133447C" w14:textId="4719C771" w:rsidR="00C14C5A" w:rsidRPr="00C9594F" w:rsidRDefault="00000000" w:rsidP="00C9594F">
            <w:pPr>
              <w:spacing w:after="0"/>
              <w:jc w:val="center"/>
              <w:rPr>
                <w:b/>
                <w:bCs/>
              </w:rPr>
            </w:pPr>
            <w:r w:rsidRPr="00C9594F">
              <w:rPr>
                <w:b/>
                <w:bCs/>
              </w:rPr>
              <w:t>£</w:t>
            </w:r>
            <w:r w:rsidR="008F77F2">
              <w:rPr>
                <w:b/>
                <w:bCs/>
              </w:rPr>
              <w:t>30,800</w:t>
            </w:r>
          </w:p>
        </w:tc>
        <w:tc>
          <w:tcPr>
            <w:tcW w:w="1600" w:type="dxa"/>
          </w:tcPr>
          <w:p w14:paraId="06D72F1A" w14:textId="0EFBD819" w:rsidR="00C14C5A" w:rsidRPr="00C9594F" w:rsidRDefault="00000000" w:rsidP="00C9594F">
            <w:pPr>
              <w:spacing w:after="0"/>
              <w:jc w:val="center"/>
              <w:rPr>
                <w:b/>
                <w:bCs/>
              </w:rPr>
            </w:pPr>
            <w:r w:rsidRPr="00C9594F">
              <w:rPr>
                <w:b/>
                <w:bCs/>
              </w:rPr>
              <w:t>£</w:t>
            </w:r>
            <w:r w:rsidR="008F77F2">
              <w:rPr>
                <w:b/>
                <w:bCs/>
              </w:rPr>
              <w:t>13,800</w:t>
            </w:r>
          </w:p>
        </w:tc>
        <w:tc>
          <w:tcPr>
            <w:tcW w:w="1466" w:type="dxa"/>
          </w:tcPr>
          <w:p w14:paraId="0836BB0F" w14:textId="4B043630" w:rsidR="00C14C5A" w:rsidRPr="00C9594F" w:rsidRDefault="00000000" w:rsidP="00C9594F">
            <w:pPr>
              <w:spacing w:after="0"/>
              <w:jc w:val="center"/>
              <w:rPr>
                <w:b/>
                <w:bCs/>
              </w:rPr>
            </w:pPr>
            <w:r w:rsidRPr="00C9594F">
              <w:rPr>
                <w:b/>
                <w:bCs/>
              </w:rPr>
              <w:t>£</w:t>
            </w:r>
            <w:r w:rsidR="008F77F2">
              <w:rPr>
                <w:b/>
                <w:bCs/>
              </w:rPr>
              <w:t>59,200</w:t>
            </w:r>
          </w:p>
        </w:tc>
      </w:tr>
    </w:tbl>
    <w:p w14:paraId="64D5317E" w14:textId="20438A03" w:rsidR="00C14C5A" w:rsidRPr="007948B8" w:rsidRDefault="00000000">
      <w:r w:rsidRPr="007948B8">
        <w:t>Payments follow completed and accepted work: £</w:t>
      </w:r>
      <w:r w:rsidR="008F77F2">
        <w:t>14,600</w:t>
      </w:r>
      <w:r w:rsidRPr="007948B8">
        <w:t xml:space="preserve"> on the January inception pack, £30,</w:t>
      </w:r>
      <w:r w:rsidR="008F77F2">
        <w:t>80</w:t>
      </w:r>
      <w:r w:rsidRPr="007948B8">
        <w:t>0 on the April interim findings and evidence pack, and £</w:t>
      </w:r>
      <w:r w:rsidR="008F77F2">
        <w:t>13,800</w:t>
      </w:r>
      <w:r w:rsidRPr="007948B8">
        <w:t xml:space="preserve"> on the May final report, executive summary and presentation. The price assumes researcher collection and interview capacity as described in the clarifications, agreed access and December commencement; if capacity or data readiness changes we </w:t>
      </w:r>
      <w:r w:rsidR="00C9594F">
        <w:t xml:space="preserve">will </w:t>
      </w:r>
      <w:r w:rsidRPr="007948B8">
        <w:t>agree priorities and depth within the fixed fee and deadline.</w:t>
      </w:r>
    </w:p>
    <w:p w14:paraId="61D88E3B" w14:textId="77777777" w:rsidR="00C14C5A" w:rsidRPr="007948B8" w:rsidRDefault="00000000">
      <w:pPr>
        <w:pStyle w:val="Heading1"/>
        <w:rPr>
          <w:sz w:val="22"/>
          <w:szCs w:val="22"/>
        </w:rPr>
      </w:pPr>
      <w:r w:rsidRPr="007948B8">
        <w:rPr>
          <w:sz w:val="22"/>
          <w:szCs w:val="22"/>
        </w:rPr>
        <w:t>Terms and Conditions compliance</w:t>
      </w:r>
    </w:p>
    <w:p w14:paraId="4BD55702" w14:textId="1EB35FA8" w:rsidR="00C14C5A" w:rsidRPr="007948B8" w:rsidRDefault="00000000">
      <w:r w:rsidRPr="007948B8">
        <w:t>The Fifth Sector Limited (registered in England &amp; Wales no. 07539809, registered office Edward Pavilion, Albert Dock, Liverpool L3 4AF</w:t>
      </w:r>
      <w:r w:rsidR="00C9594F">
        <w:t>, VAT registration no. 116 5537 20</w:t>
      </w:r>
      <w:r w:rsidRPr="007948B8">
        <w:t xml:space="preserve">) confirms compliance with the V&amp;A Terms and Conditions of Contract for Services 2024 and the procurement requirements, including a fixed fee inclusive of expenses, payment in arrears for completed work, electronic contracting via </w:t>
      </w:r>
      <w:proofErr w:type="spellStart"/>
      <w:r w:rsidRPr="007948B8">
        <w:t>SigningHub</w:t>
      </w:r>
      <w:proofErr w:type="spellEnd"/>
      <w:r w:rsidRPr="007948B8">
        <w:t xml:space="preserve"> and tender validity for 90 days from submission. </w:t>
      </w:r>
    </w:p>
    <w:sectPr w:rsidR="00C14C5A" w:rsidRPr="007948B8" w:rsidSect="00034616">
      <w:footerReference w:type="even" r:id="rId8"/>
      <w:footerReference w:type="default" r:id="rId9"/>
      <w:pgSz w:w="11906" w:h="16838"/>
      <w:pgMar w:top="1420" w:right="1420" w:bottom="1420" w:left="14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A8BFE7" w14:textId="77777777" w:rsidR="00C92D9E" w:rsidRDefault="00C92D9E" w:rsidP="00E35013">
      <w:pPr>
        <w:spacing w:after="0"/>
      </w:pPr>
      <w:r>
        <w:separator/>
      </w:r>
    </w:p>
  </w:endnote>
  <w:endnote w:type="continuationSeparator" w:id="0">
    <w:p w14:paraId="3C301628" w14:textId="77777777" w:rsidR="00C92D9E" w:rsidRDefault="00C92D9E" w:rsidP="00E350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21487746"/>
      <w:docPartObj>
        <w:docPartGallery w:val="Page Numbers (Bottom of Page)"/>
        <w:docPartUnique/>
      </w:docPartObj>
    </w:sdtPr>
    <w:sdtContent>
      <w:p w14:paraId="03E38A85" w14:textId="4DC89C2D" w:rsidR="00E35013" w:rsidRDefault="00E35013" w:rsidP="002804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108C4F" w14:textId="77777777" w:rsidR="00E35013" w:rsidRDefault="00E35013" w:rsidP="00E350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87973402"/>
      <w:docPartObj>
        <w:docPartGallery w:val="Page Numbers (Bottom of Page)"/>
        <w:docPartUnique/>
      </w:docPartObj>
    </w:sdtPr>
    <w:sdtContent>
      <w:p w14:paraId="61BB014C" w14:textId="45E89BE0" w:rsidR="00E35013" w:rsidRDefault="00E35013" w:rsidP="002804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2A322B7C" w14:textId="77777777" w:rsidR="00E35013" w:rsidRDefault="00E35013" w:rsidP="00E350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2D8D34" w14:textId="77777777" w:rsidR="00C92D9E" w:rsidRDefault="00C92D9E" w:rsidP="00E35013">
      <w:pPr>
        <w:spacing w:after="0"/>
      </w:pPr>
      <w:r>
        <w:separator/>
      </w:r>
    </w:p>
  </w:footnote>
  <w:footnote w:type="continuationSeparator" w:id="0">
    <w:p w14:paraId="03A68311" w14:textId="77777777" w:rsidR="00C92D9E" w:rsidRDefault="00C92D9E" w:rsidP="00E350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298116">
    <w:abstractNumId w:val="8"/>
  </w:num>
  <w:num w:numId="2" w16cid:durableId="523901584">
    <w:abstractNumId w:val="6"/>
  </w:num>
  <w:num w:numId="3" w16cid:durableId="1839927180">
    <w:abstractNumId w:val="5"/>
  </w:num>
  <w:num w:numId="4" w16cid:durableId="1033268433">
    <w:abstractNumId w:val="4"/>
  </w:num>
  <w:num w:numId="5" w16cid:durableId="384571791">
    <w:abstractNumId w:val="7"/>
  </w:num>
  <w:num w:numId="6" w16cid:durableId="1367099482">
    <w:abstractNumId w:val="3"/>
  </w:num>
  <w:num w:numId="7" w16cid:durableId="2034456776">
    <w:abstractNumId w:val="2"/>
  </w:num>
  <w:num w:numId="8" w16cid:durableId="2005860982">
    <w:abstractNumId w:val="1"/>
  </w:num>
  <w:num w:numId="9" w16cid:durableId="5066013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F28"/>
    <w:rsid w:val="00326F90"/>
    <w:rsid w:val="00352A82"/>
    <w:rsid w:val="003A3EB9"/>
    <w:rsid w:val="0047304F"/>
    <w:rsid w:val="005A4055"/>
    <w:rsid w:val="00614A65"/>
    <w:rsid w:val="006D4668"/>
    <w:rsid w:val="0075082E"/>
    <w:rsid w:val="007948B8"/>
    <w:rsid w:val="00807C0B"/>
    <w:rsid w:val="008F77F2"/>
    <w:rsid w:val="00AA1D8D"/>
    <w:rsid w:val="00AA5D44"/>
    <w:rsid w:val="00AB147D"/>
    <w:rsid w:val="00B468AD"/>
    <w:rsid w:val="00B47730"/>
    <w:rsid w:val="00BF4E47"/>
    <w:rsid w:val="00C14C5A"/>
    <w:rsid w:val="00C92D9E"/>
    <w:rsid w:val="00C9594F"/>
    <w:rsid w:val="00CB0664"/>
    <w:rsid w:val="00CC0F92"/>
    <w:rsid w:val="00E1334D"/>
    <w:rsid w:val="00E35013"/>
    <w:rsid w:val="00E60E5B"/>
    <w:rsid w:val="00E97B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37E85"/>
  <w14:defaultImageDpi w14:val="300"/>
  <w15:docId w15:val="{74EA09CC-A115-6548-B07A-6D7EE0268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Cambria" w:eastAsia="Cambria" w:hAnsi="Cambria" w:cs="Cambria"/>
      <w:lang w:val="en-GB"/>
    </w:rPr>
  </w:style>
  <w:style w:type="paragraph" w:styleId="Heading1">
    <w:name w:val="heading 1"/>
    <w:basedOn w:val="Normal"/>
    <w:next w:val="Normal"/>
    <w:link w:val="Heading1Char"/>
    <w:uiPriority w:val="9"/>
    <w:qFormat/>
    <w:rsid w:val="00FC693F"/>
    <w:pPr>
      <w:keepNext/>
      <w:keepLines/>
      <w:spacing w:after="60"/>
      <w:outlineLvl w:val="0"/>
    </w:pPr>
    <w:rP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E35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4293</Words>
  <Characters>25201</Characters>
  <Application>Microsoft Office Word</Application>
  <DocSecurity>0</DocSecurity>
  <Lines>504</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Iain Bennett</cp:lastModifiedBy>
  <cp:revision>4</cp:revision>
  <dcterms:created xsi:type="dcterms:W3CDTF">2026-10-18T20:25:00Z</dcterms:created>
  <dcterms:modified xsi:type="dcterms:W3CDTF">2026-10-18T21:07:00Z</dcterms:modified>
  <cp:category/>
</cp:coreProperties>
</file>