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F3ED" w14:textId="77777777" w:rsidR="006A2054" w:rsidRPr="006A2054" w:rsidRDefault="006A2054" w:rsidP="006A2054">
      <w:pPr>
        <w:spacing w:before="100" w:beforeAutospacing="1" w:after="100" w:afterAutospacing="1" w:line="240" w:lineRule="auto"/>
        <w:ind w:left="0"/>
        <w:outlineLvl w:val="2"/>
        <w:rPr>
          <w:rFonts w:ascii="Times New Roman" w:eastAsia="Times New Roman" w:hAnsi="Times New Roman" w:cs="Times New Roman"/>
          <w:b/>
          <w:bCs/>
          <w:color w:val="000000"/>
          <w:kern w:val="0"/>
          <w:sz w:val="27"/>
          <w:szCs w:val="27"/>
          <w:lang w:eastAsia="en-GB"/>
          <w14:ligatures w14:val="none"/>
        </w:rPr>
      </w:pPr>
      <w:r w:rsidRPr="006A2054">
        <w:rPr>
          <w:rFonts w:ascii="Times New Roman" w:eastAsia="Times New Roman" w:hAnsi="Times New Roman" w:cs="Times New Roman"/>
          <w:b/>
          <w:bCs/>
          <w:color w:val="000000"/>
          <w:kern w:val="0"/>
          <w:sz w:val="27"/>
          <w:szCs w:val="27"/>
          <w:lang w:eastAsia="en-GB"/>
          <w14:ligatures w14:val="none"/>
        </w:rPr>
        <w:t>1. Strategic Objective</w:t>
      </w:r>
    </w:p>
    <w:p w14:paraId="1C6C9DF9" w14:textId="77777777" w:rsidR="006A2054" w:rsidRPr="006A2054" w:rsidRDefault="006A2054" w:rsidP="006A2054">
      <w:pPr>
        <w:spacing w:before="100" w:beforeAutospacing="1" w:after="100" w:afterAutospacing="1"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Support Greater Manchester’s creative-digital sectors—specifically animation, audio, and studio production—not as isolated content generators, but as vital connective infrastructure. These capabilities underpin immersive delivery, ecosystem resilience, and innovation across sectors including health, education, and manufacturing.</w:t>
      </w:r>
    </w:p>
    <w:p w14:paraId="0DF508E4" w14:textId="77777777" w:rsidR="006A2054" w:rsidRPr="006A2054" w:rsidRDefault="006A2054" w:rsidP="006A2054">
      <w:pPr>
        <w:spacing w:after="0" w:line="240" w:lineRule="auto"/>
        <w:ind w:left="0"/>
        <w:rPr>
          <w:rFonts w:ascii="Times New Roman" w:eastAsia="Times New Roman" w:hAnsi="Times New Roman" w:cs="Times New Roman"/>
          <w:kern w:val="0"/>
          <w:sz w:val="24"/>
          <w:szCs w:val="24"/>
          <w:lang w:eastAsia="en-GB"/>
          <w14:ligatures w14:val="none"/>
        </w:rPr>
      </w:pPr>
      <w:r w:rsidRPr="006A2054">
        <w:rPr>
          <w:rFonts w:ascii="Times New Roman" w:eastAsia="Times New Roman" w:hAnsi="Times New Roman" w:cs="Times New Roman"/>
          <w:noProof/>
          <w:kern w:val="0"/>
          <w:sz w:val="24"/>
          <w:szCs w:val="24"/>
          <w:lang w:eastAsia="en-GB"/>
          <w14:ligatures w14:val="none"/>
        </w:rPr>
      </w:r>
      <w:r w:rsidR="006A2054" w:rsidRPr="006A2054">
        <w:rPr>
          <w:rFonts w:ascii="Times New Roman" w:eastAsia="Times New Roman" w:hAnsi="Times New Roman" w:cs="Times New Roman"/>
          <w:noProof/>
          <w:kern w:val="0"/>
          <w:sz w:val="24"/>
          <w:szCs w:val="24"/>
          <w:lang w:eastAsia="en-GB"/>
          <w14:ligatures w14:val="none"/>
        </w:rPr>
        <w:pict w14:anchorId="763C5322">
          <v:rect id="_x0000_i1025" alt="" style="width:451.3pt;height:.05pt;mso-width-percent:0;mso-height-percent:0;mso-width-percent:0;mso-height-percent:0" o:hralign="center" o:hrstd="t" o:hr="t" fillcolor="#a0a0a0" stroked="f"/>
        </w:pict>
      </w:r>
    </w:p>
    <w:p w14:paraId="0C62C57C" w14:textId="77777777" w:rsidR="006A2054" w:rsidRPr="006A2054" w:rsidRDefault="006A2054" w:rsidP="006A2054">
      <w:pPr>
        <w:spacing w:before="100" w:beforeAutospacing="1" w:after="100" w:afterAutospacing="1" w:line="240" w:lineRule="auto"/>
        <w:ind w:left="0"/>
        <w:outlineLvl w:val="2"/>
        <w:rPr>
          <w:rFonts w:ascii="Times New Roman" w:eastAsia="Times New Roman" w:hAnsi="Times New Roman" w:cs="Times New Roman"/>
          <w:b/>
          <w:bCs/>
          <w:color w:val="000000"/>
          <w:kern w:val="0"/>
          <w:sz w:val="27"/>
          <w:szCs w:val="27"/>
          <w:lang w:eastAsia="en-GB"/>
          <w14:ligatures w14:val="none"/>
        </w:rPr>
      </w:pPr>
      <w:r w:rsidRPr="006A2054">
        <w:rPr>
          <w:rFonts w:ascii="Times New Roman" w:eastAsia="Times New Roman" w:hAnsi="Times New Roman" w:cs="Times New Roman"/>
          <w:b/>
          <w:bCs/>
          <w:color w:val="000000"/>
          <w:kern w:val="0"/>
          <w:sz w:val="27"/>
          <w:szCs w:val="27"/>
          <w:lang w:eastAsia="en-GB"/>
          <w14:ligatures w14:val="none"/>
        </w:rPr>
        <w:t>2. Action Areas (Aligned to Report Sections 7–14)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577"/>
        <w:gridCol w:w="1058"/>
        <w:gridCol w:w="1164"/>
        <w:gridCol w:w="1703"/>
        <w:gridCol w:w="875"/>
      </w:tblGrid>
      <w:tr w:rsidR="006A2054" w:rsidRPr="006A2054" w14:paraId="4492F585" w14:textId="77777777" w:rsidTr="006A2054">
        <w:trPr>
          <w:tblHeader/>
          <w:tblCellSpacing w:w="15" w:type="dxa"/>
        </w:trPr>
        <w:tc>
          <w:tcPr>
            <w:tcW w:w="0" w:type="auto"/>
            <w:vAlign w:val="center"/>
            <w:hideMark/>
          </w:tcPr>
          <w:p w14:paraId="443ED16E" w14:textId="77777777" w:rsidR="006A2054" w:rsidRPr="006A2054" w:rsidRDefault="006A2054" w:rsidP="006A2054">
            <w:pPr>
              <w:spacing w:after="0" w:line="240" w:lineRule="auto"/>
              <w:ind w:left="0"/>
              <w:jc w:val="center"/>
              <w:rPr>
                <w:rFonts w:ascii="Times New Roman" w:eastAsia="Times New Roman" w:hAnsi="Times New Roman" w:cs="Times New Roman"/>
                <w:b/>
                <w:bCs/>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Area</w:t>
            </w:r>
          </w:p>
        </w:tc>
        <w:tc>
          <w:tcPr>
            <w:tcW w:w="0" w:type="auto"/>
            <w:vAlign w:val="center"/>
            <w:hideMark/>
          </w:tcPr>
          <w:p w14:paraId="38F54952" w14:textId="77777777" w:rsidR="006A2054" w:rsidRPr="006A2054" w:rsidRDefault="006A2054" w:rsidP="006A2054">
            <w:pPr>
              <w:spacing w:after="0" w:line="240" w:lineRule="auto"/>
              <w:ind w:left="0"/>
              <w:jc w:val="center"/>
              <w:rPr>
                <w:rFonts w:ascii="Times New Roman" w:eastAsia="Times New Roman" w:hAnsi="Times New Roman" w:cs="Times New Roman"/>
                <w:b/>
                <w:bCs/>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Recommended Intervention</w:t>
            </w:r>
          </w:p>
        </w:tc>
        <w:tc>
          <w:tcPr>
            <w:tcW w:w="0" w:type="auto"/>
            <w:vAlign w:val="center"/>
            <w:hideMark/>
          </w:tcPr>
          <w:p w14:paraId="350A98E5" w14:textId="77777777" w:rsidR="006A2054" w:rsidRPr="006A2054" w:rsidRDefault="006A2054" w:rsidP="006A2054">
            <w:pPr>
              <w:spacing w:after="0" w:line="240" w:lineRule="auto"/>
              <w:ind w:left="0"/>
              <w:jc w:val="center"/>
              <w:rPr>
                <w:rFonts w:ascii="Times New Roman" w:eastAsia="Times New Roman" w:hAnsi="Times New Roman" w:cs="Times New Roman"/>
                <w:b/>
                <w:bCs/>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Lead Org</w:t>
            </w:r>
          </w:p>
        </w:tc>
        <w:tc>
          <w:tcPr>
            <w:tcW w:w="0" w:type="auto"/>
            <w:vAlign w:val="center"/>
            <w:hideMark/>
          </w:tcPr>
          <w:p w14:paraId="72985551" w14:textId="77777777" w:rsidR="006A2054" w:rsidRPr="006A2054" w:rsidRDefault="006A2054" w:rsidP="006A2054">
            <w:pPr>
              <w:spacing w:after="0" w:line="240" w:lineRule="auto"/>
              <w:ind w:left="0"/>
              <w:jc w:val="center"/>
              <w:rPr>
                <w:rFonts w:ascii="Times New Roman" w:eastAsia="Times New Roman" w:hAnsi="Times New Roman" w:cs="Times New Roman"/>
                <w:b/>
                <w:bCs/>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Cost Range</w:t>
            </w:r>
          </w:p>
        </w:tc>
        <w:tc>
          <w:tcPr>
            <w:tcW w:w="0" w:type="auto"/>
            <w:vAlign w:val="center"/>
            <w:hideMark/>
          </w:tcPr>
          <w:p w14:paraId="590DF33E" w14:textId="77777777" w:rsidR="006A2054" w:rsidRPr="006A2054" w:rsidRDefault="006A2054" w:rsidP="006A2054">
            <w:pPr>
              <w:spacing w:after="0" w:line="240" w:lineRule="auto"/>
              <w:ind w:left="0"/>
              <w:jc w:val="center"/>
              <w:rPr>
                <w:rFonts w:ascii="Times New Roman" w:eastAsia="Times New Roman" w:hAnsi="Times New Roman" w:cs="Times New Roman"/>
                <w:b/>
                <w:bCs/>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Expected Outcome</w:t>
            </w:r>
          </w:p>
        </w:tc>
        <w:tc>
          <w:tcPr>
            <w:tcW w:w="0" w:type="auto"/>
            <w:vAlign w:val="center"/>
            <w:hideMark/>
          </w:tcPr>
          <w:p w14:paraId="0739843E" w14:textId="77777777" w:rsidR="006A2054" w:rsidRPr="006A2054" w:rsidRDefault="006A2054" w:rsidP="006A2054">
            <w:pPr>
              <w:spacing w:after="0" w:line="240" w:lineRule="auto"/>
              <w:ind w:left="0"/>
              <w:jc w:val="center"/>
              <w:rPr>
                <w:rFonts w:ascii="Times New Roman" w:eastAsia="Times New Roman" w:hAnsi="Times New Roman" w:cs="Times New Roman"/>
                <w:b/>
                <w:bCs/>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Time to Impact</w:t>
            </w:r>
          </w:p>
        </w:tc>
      </w:tr>
      <w:tr w:rsidR="006A2054" w:rsidRPr="006A2054" w14:paraId="1DD916FF" w14:textId="77777777" w:rsidTr="006A2054">
        <w:trPr>
          <w:tblCellSpacing w:w="15" w:type="dxa"/>
        </w:trPr>
        <w:tc>
          <w:tcPr>
            <w:tcW w:w="0" w:type="auto"/>
            <w:vAlign w:val="center"/>
            <w:hideMark/>
          </w:tcPr>
          <w:p w14:paraId="54E1D598"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Mesh Capability</w:t>
            </w:r>
          </w:p>
        </w:tc>
        <w:tc>
          <w:tcPr>
            <w:tcW w:w="0" w:type="auto"/>
            <w:vAlign w:val="center"/>
            <w:hideMark/>
          </w:tcPr>
          <w:p w14:paraId="76CBFFBB"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Fund mesh enabler roles (e.g. technical producers, project ops, production integrators) embedded in federated hubs (Section 11.3)</w:t>
            </w:r>
          </w:p>
        </w:tc>
        <w:tc>
          <w:tcPr>
            <w:tcW w:w="0" w:type="auto"/>
            <w:vAlign w:val="center"/>
            <w:hideMark/>
          </w:tcPr>
          <w:p w14:paraId="0B1EAF22"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GMCA + MITIH</w:t>
            </w:r>
          </w:p>
        </w:tc>
        <w:tc>
          <w:tcPr>
            <w:tcW w:w="0" w:type="auto"/>
            <w:vAlign w:val="center"/>
            <w:hideMark/>
          </w:tcPr>
          <w:p w14:paraId="33316B1E"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£10k–£50k per role</w:t>
            </w:r>
          </w:p>
        </w:tc>
        <w:tc>
          <w:tcPr>
            <w:tcW w:w="0" w:type="auto"/>
            <w:vAlign w:val="center"/>
            <w:hideMark/>
          </w:tcPr>
          <w:p w14:paraId="09E7277B"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Cross-sector delivery acceleration and skills transfer</w:t>
            </w:r>
          </w:p>
        </w:tc>
        <w:tc>
          <w:tcPr>
            <w:tcW w:w="0" w:type="auto"/>
            <w:vAlign w:val="center"/>
            <w:hideMark/>
          </w:tcPr>
          <w:p w14:paraId="03E25B66"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3–6 months</w:t>
            </w:r>
          </w:p>
        </w:tc>
      </w:tr>
      <w:tr w:rsidR="006A2054" w:rsidRPr="006A2054" w14:paraId="2FAB70CC" w14:textId="77777777" w:rsidTr="006A2054">
        <w:trPr>
          <w:tblCellSpacing w:w="15" w:type="dxa"/>
        </w:trPr>
        <w:tc>
          <w:tcPr>
            <w:tcW w:w="0" w:type="auto"/>
            <w:vAlign w:val="center"/>
            <w:hideMark/>
          </w:tcPr>
          <w:p w14:paraId="2C53FE4B"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Animation Activation</w:t>
            </w:r>
          </w:p>
        </w:tc>
        <w:tc>
          <w:tcPr>
            <w:tcW w:w="0" w:type="auto"/>
            <w:vAlign w:val="center"/>
            <w:hideMark/>
          </w:tcPr>
          <w:p w14:paraId="2D4F4BEE"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Microgrants that position animation studios as creative leads on XR/health/edtech pilots (Section 10.6)</w:t>
            </w:r>
          </w:p>
        </w:tc>
        <w:tc>
          <w:tcPr>
            <w:tcW w:w="0" w:type="auto"/>
            <w:vAlign w:val="center"/>
            <w:hideMark/>
          </w:tcPr>
          <w:p w14:paraId="5620A447"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MITIH</w:t>
            </w:r>
          </w:p>
        </w:tc>
        <w:tc>
          <w:tcPr>
            <w:tcW w:w="0" w:type="auto"/>
            <w:vAlign w:val="center"/>
            <w:hideMark/>
          </w:tcPr>
          <w:p w14:paraId="3D4B2830"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£20k–£50k per round</w:t>
            </w:r>
          </w:p>
        </w:tc>
        <w:tc>
          <w:tcPr>
            <w:tcW w:w="0" w:type="auto"/>
            <w:vAlign w:val="center"/>
            <w:hideMark/>
          </w:tcPr>
          <w:p w14:paraId="07517E9A"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Bridge animation into strategic growth domains</w:t>
            </w:r>
          </w:p>
        </w:tc>
        <w:tc>
          <w:tcPr>
            <w:tcW w:w="0" w:type="auto"/>
            <w:vAlign w:val="center"/>
            <w:hideMark/>
          </w:tcPr>
          <w:p w14:paraId="5C728028"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3–9 months</w:t>
            </w:r>
          </w:p>
        </w:tc>
      </w:tr>
      <w:tr w:rsidR="006A2054" w:rsidRPr="006A2054" w14:paraId="1FB9F322" w14:textId="77777777" w:rsidTr="006A2054">
        <w:trPr>
          <w:tblCellSpacing w:w="15" w:type="dxa"/>
        </w:trPr>
        <w:tc>
          <w:tcPr>
            <w:tcW w:w="0" w:type="auto"/>
            <w:vAlign w:val="center"/>
            <w:hideMark/>
          </w:tcPr>
          <w:p w14:paraId="5F131C06"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Audio Reattachment</w:t>
            </w:r>
          </w:p>
        </w:tc>
        <w:tc>
          <w:tcPr>
            <w:tcW w:w="0" w:type="auto"/>
            <w:vAlign w:val="center"/>
            <w:hideMark/>
          </w:tcPr>
          <w:p w14:paraId="7B26EAD1"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Immersive sound fellowships and relay placements in non-arts sectors (Section 10.6)</w:t>
            </w:r>
          </w:p>
        </w:tc>
        <w:tc>
          <w:tcPr>
            <w:tcW w:w="0" w:type="auto"/>
            <w:vAlign w:val="center"/>
            <w:hideMark/>
          </w:tcPr>
          <w:p w14:paraId="1F0B4F8F"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MITIH + Salford</w:t>
            </w:r>
          </w:p>
        </w:tc>
        <w:tc>
          <w:tcPr>
            <w:tcW w:w="0" w:type="auto"/>
            <w:vAlign w:val="center"/>
            <w:hideMark/>
          </w:tcPr>
          <w:p w14:paraId="0FF7EF8D"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£30k–£60k each</w:t>
            </w:r>
          </w:p>
        </w:tc>
        <w:tc>
          <w:tcPr>
            <w:tcW w:w="0" w:type="auto"/>
            <w:vAlign w:val="center"/>
            <w:hideMark/>
          </w:tcPr>
          <w:p w14:paraId="35ADBC74"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Reintegrate isolated audio capabilities</w:t>
            </w:r>
          </w:p>
        </w:tc>
        <w:tc>
          <w:tcPr>
            <w:tcW w:w="0" w:type="auto"/>
            <w:vAlign w:val="center"/>
            <w:hideMark/>
          </w:tcPr>
          <w:p w14:paraId="65238BE0"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6–12 months</w:t>
            </w:r>
          </w:p>
        </w:tc>
      </w:tr>
      <w:tr w:rsidR="006A2054" w:rsidRPr="006A2054" w14:paraId="22439EA4" w14:textId="77777777" w:rsidTr="006A2054">
        <w:trPr>
          <w:tblCellSpacing w:w="15" w:type="dxa"/>
        </w:trPr>
        <w:tc>
          <w:tcPr>
            <w:tcW w:w="0" w:type="auto"/>
            <w:vAlign w:val="center"/>
            <w:hideMark/>
          </w:tcPr>
          <w:p w14:paraId="3BB12243"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Studio Production Recognition</w:t>
            </w:r>
          </w:p>
        </w:tc>
        <w:tc>
          <w:tcPr>
            <w:tcW w:w="0" w:type="auto"/>
            <w:vAlign w:val="center"/>
            <w:hideMark/>
          </w:tcPr>
          <w:p w14:paraId="157C460D"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Technician-in-Residence and Mesh Fellowships embedded in innovation hubs and universities (Sections 9.5, 11.3)</w:t>
            </w:r>
          </w:p>
        </w:tc>
        <w:tc>
          <w:tcPr>
            <w:tcW w:w="0" w:type="auto"/>
            <w:vAlign w:val="center"/>
            <w:hideMark/>
          </w:tcPr>
          <w:p w14:paraId="5B980ECD"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GMCA + Unis</w:t>
            </w:r>
          </w:p>
        </w:tc>
        <w:tc>
          <w:tcPr>
            <w:tcW w:w="0" w:type="auto"/>
            <w:vAlign w:val="center"/>
            <w:hideMark/>
          </w:tcPr>
          <w:p w14:paraId="737CC382"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£15k–£45k per placement</w:t>
            </w:r>
          </w:p>
        </w:tc>
        <w:tc>
          <w:tcPr>
            <w:tcW w:w="0" w:type="auto"/>
            <w:vAlign w:val="center"/>
            <w:hideMark/>
          </w:tcPr>
          <w:p w14:paraId="146547CB"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Elevate delivery roles as strategic assets</w:t>
            </w:r>
          </w:p>
        </w:tc>
        <w:tc>
          <w:tcPr>
            <w:tcW w:w="0" w:type="auto"/>
            <w:vAlign w:val="center"/>
            <w:hideMark/>
          </w:tcPr>
          <w:p w14:paraId="0C7FEA13"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6–12 months</w:t>
            </w:r>
          </w:p>
        </w:tc>
      </w:tr>
      <w:tr w:rsidR="006A2054" w:rsidRPr="006A2054" w14:paraId="5C373E9F" w14:textId="77777777" w:rsidTr="006A2054">
        <w:trPr>
          <w:tblCellSpacing w:w="15" w:type="dxa"/>
        </w:trPr>
        <w:tc>
          <w:tcPr>
            <w:tcW w:w="0" w:type="auto"/>
            <w:vAlign w:val="center"/>
            <w:hideMark/>
          </w:tcPr>
          <w:p w14:paraId="1729B4D9"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Skills Realignment</w:t>
            </w:r>
          </w:p>
        </w:tc>
        <w:tc>
          <w:tcPr>
            <w:tcW w:w="0" w:type="auto"/>
            <w:vAlign w:val="center"/>
            <w:hideMark/>
          </w:tcPr>
          <w:p w14:paraId="360BB64F"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Support for curriculum co-design: 'Creative Mesh Minors', agile modules, live briefs (Sections 6.4, 8.3)</w:t>
            </w:r>
          </w:p>
        </w:tc>
        <w:tc>
          <w:tcPr>
            <w:tcW w:w="0" w:type="auto"/>
            <w:vAlign w:val="center"/>
            <w:hideMark/>
          </w:tcPr>
          <w:p w14:paraId="7A5DC77E"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MMU, Uni of Salford, SODA</w:t>
            </w:r>
          </w:p>
        </w:tc>
        <w:tc>
          <w:tcPr>
            <w:tcW w:w="0" w:type="auto"/>
            <w:vAlign w:val="center"/>
            <w:hideMark/>
          </w:tcPr>
          <w:p w14:paraId="7ABB21F5"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£20k–£80k per dept</w:t>
            </w:r>
          </w:p>
        </w:tc>
        <w:tc>
          <w:tcPr>
            <w:tcW w:w="0" w:type="auto"/>
            <w:vAlign w:val="center"/>
            <w:hideMark/>
          </w:tcPr>
          <w:p w14:paraId="7812B780"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Align talent pipeline to mesh fluency demands</w:t>
            </w:r>
          </w:p>
        </w:tc>
        <w:tc>
          <w:tcPr>
            <w:tcW w:w="0" w:type="auto"/>
            <w:vAlign w:val="center"/>
            <w:hideMark/>
          </w:tcPr>
          <w:p w14:paraId="0116A151"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12–18 months</w:t>
            </w:r>
          </w:p>
        </w:tc>
      </w:tr>
      <w:tr w:rsidR="006A2054" w:rsidRPr="006A2054" w14:paraId="6F987EE0" w14:textId="77777777" w:rsidTr="006A2054">
        <w:trPr>
          <w:tblCellSpacing w:w="15" w:type="dxa"/>
        </w:trPr>
        <w:tc>
          <w:tcPr>
            <w:tcW w:w="0" w:type="auto"/>
            <w:vAlign w:val="center"/>
            <w:hideMark/>
          </w:tcPr>
          <w:p w14:paraId="4E6A3B52"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Network Activation</w:t>
            </w:r>
          </w:p>
        </w:tc>
        <w:tc>
          <w:tcPr>
            <w:tcW w:w="0" w:type="auto"/>
            <w:vAlign w:val="center"/>
            <w:hideMark/>
          </w:tcPr>
          <w:p w14:paraId="5C728AC2"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Develop a ‘Trusted Crew Registry’ to surface hidden infrastructure and support project matchmaking (Section 9.5)</w:t>
            </w:r>
          </w:p>
        </w:tc>
        <w:tc>
          <w:tcPr>
            <w:tcW w:w="0" w:type="auto"/>
            <w:vAlign w:val="center"/>
            <w:hideMark/>
          </w:tcPr>
          <w:p w14:paraId="314229BE"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MITIH + Industry Partners</w:t>
            </w:r>
          </w:p>
        </w:tc>
        <w:tc>
          <w:tcPr>
            <w:tcW w:w="0" w:type="auto"/>
            <w:vAlign w:val="center"/>
            <w:hideMark/>
          </w:tcPr>
          <w:p w14:paraId="52481BC3"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£25k setup + ops</w:t>
            </w:r>
          </w:p>
        </w:tc>
        <w:tc>
          <w:tcPr>
            <w:tcW w:w="0" w:type="auto"/>
            <w:vAlign w:val="center"/>
            <w:hideMark/>
          </w:tcPr>
          <w:p w14:paraId="335DFB75"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Improve project continuity and reduce collaboration friction</w:t>
            </w:r>
          </w:p>
        </w:tc>
        <w:tc>
          <w:tcPr>
            <w:tcW w:w="0" w:type="auto"/>
            <w:vAlign w:val="center"/>
            <w:hideMark/>
          </w:tcPr>
          <w:p w14:paraId="37847565"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3–6 months</w:t>
            </w:r>
          </w:p>
        </w:tc>
      </w:tr>
      <w:tr w:rsidR="006A2054" w:rsidRPr="006A2054" w14:paraId="63499A2D" w14:textId="77777777" w:rsidTr="006A2054">
        <w:trPr>
          <w:tblCellSpacing w:w="15" w:type="dxa"/>
        </w:trPr>
        <w:tc>
          <w:tcPr>
            <w:tcW w:w="0" w:type="auto"/>
            <w:vAlign w:val="center"/>
            <w:hideMark/>
          </w:tcPr>
          <w:p w14:paraId="484859C0"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R&amp;D System Reform</w:t>
            </w:r>
          </w:p>
        </w:tc>
        <w:tc>
          <w:tcPr>
            <w:tcW w:w="0" w:type="auto"/>
            <w:vAlign w:val="center"/>
            <w:hideMark/>
          </w:tcPr>
          <w:p w14:paraId="1AA7F6B1"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SME-led innovation pilots with universities as embedded partners, not gatekeepers (Section 4.5)</w:t>
            </w:r>
          </w:p>
        </w:tc>
        <w:tc>
          <w:tcPr>
            <w:tcW w:w="0" w:type="auto"/>
            <w:vAlign w:val="center"/>
            <w:hideMark/>
          </w:tcPr>
          <w:p w14:paraId="38AF92E8"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Innovate UK + MITIH</w:t>
            </w:r>
          </w:p>
        </w:tc>
        <w:tc>
          <w:tcPr>
            <w:tcW w:w="0" w:type="auto"/>
            <w:vAlign w:val="center"/>
            <w:hideMark/>
          </w:tcPr>
          <w:p w14:paraId="42A3A75F"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£50k–£100k per pilot</w:t>
            </w:r>
          </w:p>
        </w:tc>
        <w:tc>
          <w:tcPr>
            <w:tcW w:w="0" w:type="auto"/>
            <w:vAlign w:val="center"/>
            <w:hideMark/>
          </w:tcPr>
          <w:p w14:paraId="1B58C03B"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Increase innovation participation from under-</w:t>
            </w:r>
            <w:r w:rsidRPr="006A2054">
              <w:rPr>
                <w:rFonts w:ascii="Times New Roman" w:eastAsia="Times New Roman" w:hAnsi="Times New Roman" w:cs="Times New Roman"/>
                <w:color w:val="000000"/>
                <w:kern w:val="0"/>
                <w:sz w:val="24"/>
                <w:szCs w:val="24"/>
                <w:lang w:eastAsia="en-GB"/>
                <w14:ligatures w14:val="none"/>
              </w:rPr>
              <w:lastRenderedPageBreak/>
              <w:t>networked sectors</w:t>
            </w:r>
          </w:p>
        </w:tc>
        <w:tc>
          <w:tcPr>
            <w:tcW w:w="0" w:type="auto"/>
            <w:vAlign w:val="center"/>
            <w:hideMark/>
          </w:tcPr>
          <w:p w14:paraId="36D34D4F"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lastRenderedPageBreak/>
              <w:t>6–12 months</w:t>
            </w:r>
          </w:p>
        </w:tc>
      </w:tr>
      <w:tr w:rsidR="006A2054" w:rsidRPr="006A2054" w14:paraId="7DBF327D" w14:textId="77777777" w:rsidTr="006A2054">
        <w:trPr>
          <w:tblCellSpacing w:w="15" w:type="dxa"/>
        </w:trPr>
        <w:tc>
          <w:tcPr>
            <w:tcW w:w="0" w:type="auto"/>
            <w:vAlign w:val="center"/>
            <w:hideMark/>
          </w:tcPr>
          <w:p w14:paraId="19AC9F52"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Immersive as Integration</w:t>
            </w:r>
          </w:p>
        </w:tc>
        <w:tc>
          <w:tcPr>
            <w:tcW w:w="0" w:type="auto"/>
            <w:vAlign w:val="center"/>
            <w:hideMark/>
          </w:tcPr>
          <w:p w14:paraId="0E68C0A5"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Treat immersive not as the ‘future’ but the ‘available middle’—fund cross-sector integration labs (Section 16.3)</w:t>
            </w:r>
          </w:p>
        </w:tc>
        <w:tc>
          <w:tcPr>
            <w:tcW w:w="0" w:type="auto"/>
            <w:vAlign w:val="center"/>
            <w:hideMark/>
          </w:tcPr>
          <w:p w14:paraId="63B321BA"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MITIH</w:t>
            </w:r>
          </w:p>
        </w:tc>
        <w:tc>
          <w:tcPr>
            <w:tcW w:w="0" w:type="auto"/>
            <w:vAlign w:val="center"/>
            <w:hideMark/>
          </w:tcPr>
          <w:p w14:paraId="6A21C7B7"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£50k–£150k</w:t>
            </w:r>
          </w:p>
        </w:tc>
        <w:tc>
          <w:tcPr>
            <w:tcW w:w="0" w:type="auto"/>
            <w:vAlign w:val="center"/>
            <w:hideMark/>
          </w:tcPr>
          <w:p w14:paraId="2CF7ADF2"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Position immersive as connective layer across disciplines</w:t>
            </w:r>
          </w:p>
        </w:tc>
        <w:tc>
          <w:tcPr>
            <w:tcW w:w="0" w:type="auto"/>
            <w:vAlign w:val="center"/>
            <w:hideMark/>
          </w:tcPr>
          <w:p w14:paraId="34D8D70F" w14:textId="77777777" w:rsidR="006A2054" w:rsidRPr="006A2054" w:rsidRDefault="006A2054" w:rsidP="006A2054">
            <w:pPr>
              <w:spacing w:after="0"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6–12 months</w:t>
            </w:r>
          </w:p>
        </w:tc>
      </w:tr>
    </w:tbl>
    <w:p w14:paraId="2B00CFA9" w14:textId="77777777" w:rsidR="006A2054" w:rsidRPr="006A2054" w:rsidRDefault="006A2054" w:rsidP="006A2054">
      <w:pPr>
        <w:spacing w:after="0" w:line="240" w:lineRule="auto"/>
        <w:ind w:left="0"/>
        <w:rPr>
          <w:rFonts w:ascii="Times New Roman" w:eastAsia="Times New Roman" w:hAnsi="Times New Roman" w:cs="Times New Roman"/>
          <w:kern w:val="0"/>
          <w:sz w:val="24"/>
          <w:szCs w:val="24"/>
          <w:lang w:eastAsia="en-GB"/>
          <w14:ligatures w14:val="none"/>
        </w:rPr>
      </w:pPr>
      <w:r w:rsidRPr="006A2054">
        <w:rPr>
          <w:rFonts w:ascii="Times New Roman" w:eastAsia="Times New Roman" w:hAnsi="Times New Roman" w:cs="Times New Roman"/>
          <w:noProof/>
          <w:kern w:val="0"/>
          <w:sz w:val="24"/>
          <w:szCs w:val="24"/>
          <w:lang w:eastAsia="en-GB"/>
          <w14:ligatures w14:val="none"/>
        </w:rPr>
      </w:r>
      <w:r w:rsidR="006A2054" w:rsidRPr="006A2054">
        <w:rPr>
          <w:rFonts w:ascii="Times New Roman" w:eastAsia="Times New Roman" w:hAnsi="Times New Roman" w:cs="Times New Roman"/>
          <w:noProof/>
          <w:kern w:val="0"/>
          <w:sz w:val="24"/>
          <w:szCs w:val="24"/>
          <w:lang w:eastAsia="en-GB"/>
          <w14:ligatures w14:val="none"/>
        </w:rPr>
        <w:pict w14:anchorId="034E4328">
          <v:rect id="_x0000_i1026" alt="" style="width:451.3pt;height:.05pt;mso-width-percent:0;mso-height-percent:0;mso-width-percent:0;mso-height-percent:0" o:hralign="center" o:hrstd="t" o:hr="t" fillcolor="#a0a0a0" stroked="f"/>
        </w:pict>
      </w:r>
    </w:p>
    <w:p w14:paraId="592B4F99" w14:textId="77777777" w:rsidR="006A2054" w:rsidRPr="006A2054" w:rsidRDefault="006A2054" w:rsidP="006A2054">
      <w:pPr>
        <w:spacing w:before="100" w:beforeAutospacing="1" w:after="100" w:afterAutospacing="1" w:line="240" w:lineRule="auto"/>
        <w:ind w:left="0"/>
        <w:outlineLvl w:val="2"/>
        <w:rPr>
          <w:rFonts w:ascii="Times New Roman" w:eastAsia="Times New Roman" w:hAnsi="Times New Roman" w:cs="Times New Roman"/>
          <w:b/>
          <w:bCs/>
          <w:color w:val="000000"/>
          <w:kern w:val="0"/>
          <w:sz w:val="27"/>
          <w:szCs w:val="27"/>
          <w:lang w:eastAsia="en-GB"/>
          <w14:ligatures w14:val="none"/>
        </w:rPr>
      </w:pPr>
      <w:r w:rsidRPr="006A2054">
        <w:rPr>
          <w:rFonts w:ascii="Times New Roman" w:eastAsia="Times New Roman" w:hAnsi="Times New Roman" w:cs="Times New Roman"/>
          <w:b/>
          <w:bCs/>
          <w:color w:val="000000"/>
          <w:kern w:val="0"/>
          <w:sz w:val="27"/>
          <w:szCs w:val="27"/>
          <w:lang w:eastAsia="en-GB"/>
          <w14:ligatures w14:val="none"/>
        </w:rPr>
        <w:t>3. Policy Shifts Required (see Section 4.6)</w:t>
      </w:r>
    </w:p>
    <w:p w14:paraId="6D998C2D" w14:textId="77777777" w:rsidR="006A2054" w:rsidRPr="006A2054" w:rsidRDefault="006A2054" w:rsidP="006A2054">
      <w:pPr>
        <w:numPr>
          <w:ilvl w:val="0"/>
          <w:numId w:val="1"/>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From Output to Infrastructure</w:t>
      </w:r>
      <w:r w:rsidRPr="006A2054">
        <w:rPr>
          <w:rFonts w:ascii="Times New Roman" w:eastAsia="Times New Roman" w:hAnsi="Times New Roman" w:cs="Times New Roman"/>
          <w:color w:val="000000"/>
          <w:kern w:val="0"/>
          <w:sz w:val="24"/>
          <w:szCs w:val="24"/>
          <w:lang w:eastAsia="en-GB"/>
          <w14:ligatures w14:val="none"/>
        </w:rPr>
        <w:t>: Fund the roles and rhythms that make innovation executable, not just the shiny artefacts.</w:t>
      </w:r>
    </w:p>
    <w:p w14:paraId="36A39442" w14:textId="77777777" w:rsidR="006A2054" w:rsidRPr="006A2054" w:rsidRDefault="006A2054" w:rsidP="006A2054">
      <w:pPr>
        <w:numPr>
          <w:ilvl w:val="0"/>
          <w:numId w:val="1"/>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From Gatekeeping to Enablement</w:t>
      </w:r>
      <w:r w:rsidRPr="006A2054">
        <w:rPr>
          <w:rFonts w:ascii="Times New Roman" w:eastAsia="Times New Roman" w:hAnsi="Times New Roman" w:cs="Times New Roman"/>
          <w:color w:val="000000"/>
          <w:kern w:val="0"/>
          <w:sz w:val="24"/>
          <w:szCs w:val="24"/>
          <w:lang w:eastAsia="en-GB"/>
          <w14:ligatures w14:val="none"/>
        </w:rPr>
        <w:t>: Shift universities from central gatekeepers to mesh-aware delivery partners.</w:t>
      </w:r>
    </w:p>
    <w:p w14:paraId="3C7B6FD5" w14:textId="77777777" w:rsidR="006A2054" w:rsidRPr="006A2054" w:rsidRDefault="006A2054" w:rsidP="006A2054">
      <w:pPr>
        <w:numPr>
          <w:ilvl w:val="0"/>
          <w:numId w:val="1"/>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From Growth Rhetoric to Resilience Metrics</w:t>
      </w:r>
      <w:r w:rsidRPr="006A2054">
        <w:rPr>
          <w:rFonts w:ascii="Times New Roman" w:eastAsia="Times New Roman" w:hAnsi="Times New Roman" w:cs="Times New Roman"/>
          <w:color w:val="000000"/>
          <w:kern w:val="0"/>
          <w:sz w:val="24"/>
          <w:szCs w:val="24"/>
          <w:lang w:eastAsia="en-GB"/>
          <w14:ligatures w14:val="none"/>
        </w:rPr>
        <w:t>: Track workforce mobility, project interoperability, and network density.</w:t>
      </w:r>
    </w:p>
    <w:p w14:paraId="667E1FA2" w14:textId="77777777" w:rsidR="006A2054" w:rsidRPr="006A2054" w:rsidRDefault="006A2054" w:rsidP="006A2054">
      <w:pPr>
        <w:numPr>
          <w:ilvl w:val="0"/>
          <w:numId w:val="1"/>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From Digital Hype to Human-Centric Skills</w:t>
      </w:r>
      <w:r w:rsidRPr="006A2054">
        <w:rPr>
          <w:rFonts w:ascii="Times New Roman" w:eastAsia="Times New Roman" w:hAnsi="Times New Roman" w:cs="Times New Roman"/>
          <w:color w:val="000000"/>
          <w:kern w:val="0"/>
          <w:sz w:val="24"/>
          <w:szCs w:val="24"/>
          <w:lang w:eastAsia="en-GB"/>
          <w14:ligatures w14:val="none"/>
        </w:rPr>
        <w:t>: Invest in agile, communicative, and integration-oriented capabilities.</w:t>
      </w:r>
    </w:p>
    <w:p w14:paraId="0F908137" w14:textId="77777777" w:rsidR="006A2054" w:rsidRPr="006A2054" w:rsidRDefault="006A2054" w:rsidP="006A2054">
      <w:pPr>
        <w:numPr>
          <w:ilvl w:val="0"/>
          <w:numId w:val="1"/>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From Legacy Metrics to Ecosystem Intelligence</w:t>
      </w:r>
      <w:r w:rsidRPr="006A2054">
        <w:rPr>
          <w:rFonts w:ascii="Times New Roman" w:eastAsia="Times New Roman" w:hAnsi="Times New Roman" w:cs="Times New Roman"/>
          <w:color w:val="000000"/>
          <w:kern w:val="0"/>
          <w:sz w:val="24"/>
          <w:szCs w:val="24"/>
          <w:lang w:eastAsia="en-GB"/>
          <w14:ligatures w14:val="none"/>
        </w:rPr>
        <w:t>: Use SNA, job data, and live briefs to track real system dynamics.</w:t>
      </w:r>
    </w:p>
    <w:p w14:paraId="35B9DC05" w14:textId="77777777" w:rsidR="006A2054" w:rsidRPr="006A2054" w:rsidRDefault="006A2054" w:rsidP="006A2054">
      <w:pPr>
        <w:spacing w:after="0" w:line="240" w:lineRule="auto"/>
        <w:ind w:left="0"/>
        <w:rPr>
          <w:rFonts w:ascii="Times New Roman" w:eastAsia="Times New Roman" w:hAnsi="Times New Roman" w:cs="Times New Roman"/>
          <w:kern w:val="0"/>
          <w:sz w:val="24"/>
          <w:szCs w:val="24"/>
          <w:lang w:eastAsia="en-GB"/>
          <w14:ligatures w14:val="none"/>
        </w:rPr>
      </w:pPr>
      <w:r w:rsidRPr="006A2054">
        <w:rPr>
          <w:rFonts w:ascii="Times New Roman" w:eastAsia="Times New Roman" w:hAnsi="Times New Roman" w:cs="Times New Roman"/>
          <w:noProof/>
          <w:kern w:val="0"/>
          <w:sz w:val="24"/>
          <w:szCs w:val="24"/>
          <w:lang w:eastAsia="en-GB"/>
          <w14:ligatures w14:val="none"/>
        </w:rPr>
      </w:r>
      <w:r w:rsidR="006A2054" w:rsidRPr="006A2054">
        <w:rPr>
          <w:rFonts w:ascii="Times New Roman" w:eastAsia="Times New Roman" w:hAnsi="Times New Roman" w:cs="Times New Roman"/>
          <w:noProof/>
          <w:kern w:val="0"/>
          <w:sz w:val="24"/>
          <w:szCs w:val="24"/>
          <w:lang w:eastAsia="en-GB"/>
          <w14:ligatures w14:val="none"/>
        </w:rPr>
        <w:pict w14:anchorId="6C72F61F">
          <v:rect id="_x0000_i1027" alt="" style="width:451.3pt;height:.05pt;mso-width-percent:0;mso-height-percent:0;mso-width-percent:0;mso-height-percent:0" o:hralign="center" o:hrstd="t" o:hr="t" fillcolor="#a0a0a0" stroked="f"/>
        </w:pict>
      </w:r>
    </w:p>
    <w:p w14:paraId="363A78C5" w14:textId="77777777" w:rsidR="006A2054" w:rsidRPr="006A2054" w:rsidRDefault="006A2054" w:rsidP="006A2054">
      <w:pPr>
        <w:spacing w:before="100" w:beforeAutospacing="1" w:after="100" w:afterAutospacing="1" w:line="240" w:lineRule="auto"/>
        <w:ind w:left="0"/>
        <w:outlineLvl w:val="2"/>
        <w:rPr>
          <w:rFonts w:ascii="Times New Roman" w:eastAsia="Times New Roman" w:hAnsi="Times New Roman" w:cs="Times New Roman"/>
          <w:b/>
          <w:bCs/>
          <w:color w:val="000000"/>
          <w:kern w:val="0"/>
          <w:sz w:val="27"/>
          <w:szCs w:val="27"/>
          <w:lang w:eastAsia="en-GB"/>
          <w14:ligatures w14:val="none"/>
        </w:rPr>
      </w:pPr>
      <w:r w:rsidRPr="006A2054">
        <w:rPr>
          <w:rFonts w:ascii="Times New Roman" w:eastAsia="Times New Roman" w:hAnsi="Times New Roman" w:cs="Times New Roman"/>
          <w:b/>
          <w:bCs/>
          <w:color w:val="000000"/>
          <w:kern w:val="0"/>
          <w:sz w:val="27"/>
          <w:szCs w:val="27"/>
          <w:lang w:eastAsia="en-GB"/>
          <w14:ligatures w14:val="none"/>
        </w:rPr>
        <w:t>4. Implementation Priorities (2025–2026)</w:t>
      </w:r>
    </w:p>
    <w:p w14:paraId="7C37E5F2" w14:textId="77777777" w:rsidR="006A2054" w:rsidRPr="006A2054" w:rsidRDefault="006A2054" w:rsidP="006A2054">
      <w:pPr>
        <w:numPr>
          <w:ilvl w:val="0"/>
          <w:numId w:val="2"/>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MITIH</w:t>
      </w:r>
      <w:r w:rsidRPr="006A2054">
        <w:rPr>
          <w:rFonts w:ascii="Times New Roman" w:eastAsia="Times New Roman" w:hAnsi="Times New Roman" w:cs="Times New Roman"/>
          <w:color w:val="000000"/>
          <w:kern w:val="0"/>
          <w:sz w:val="24"/>
          <w:szCs w:val="24"/>
          <w:lang w:eastAsia="en-GB"/>
          <w14:ligatures w14:val="none"/>
        </w:rPr>
        <w:t> to act as an operational testbed for mesh-based innovation funding—microgrants, labs, and placement schemes.</w:t>
      </w:r>
    </w:p>
    <w:p w14:paraId="077D6097" w14:textId="77777777" w:rsidR="006A2054" w:rsidRPr="006A2054" w:rsidRDefault="006A2054" w:rsidP="006A2054">
      <w:pPr>
        <w:numPr>
          <w:ilvl w:val="0"/>
          <w:numId w:val="2"/>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GMCA</w:t>
      </w:r>
      <w:r w:rsidRPr="006A2054">
        <w:rPr>
          <w:rFonts w:ascii="Times New Roman" w:eastAsia="Times New Roman" w:hAnsi="Times New Roman" w:cs="Times New Roman"/>
          <w:color w:val="000000"/>
          <w:kern w:val="0"/>
          <w:sz w:val="24"/>
          <w:szCs w:val="24"/>
          <w:lang w:eastAsia="en-GB"/>
          <w14:ligatures w14:val="none"/>
        </w:rPr>
        <w:t> to pilot mesh enabler residencies and cross-sector crew registries across key federated hubs.</w:t>
      </w:r>
    </w:p>
    <w:p w14:paraId="6FEF3514" w14:textId="77777777" w:rsidR="006A2054" w:rsidRPr="006A2054" w:rsidRDefault="006A2054" w:rsidP="006A2054">
      <w:pPr>
        <w:numPr>
          <w:ilvl w:val="0"/>
          <w:numId w:val="2"/>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Funders (UKRI, Innovate UK, AHRC)</w:t>
      </w:r>
      <w:r w:rsidRPr="006A2054">
        <w:rPr>
          <w:rFonts w:ascii="Times New Roman" w:eastAsia="Times New Roman" w:hAnsi="Times New Roman" w:cs="Times New Roman"/>
          <w:color w:val="000000"/>
          <w:kern w:val="0"/>
          <w:sz w:val="24"/>
          <w:szCs w:val="24"/>
          <w:lang w:eastAsia="en-GB"/>
          <w14:ligatures w14:val="none"/>
        </w:rPr>
        <w:t> to ringfence funding for audio, studio, and animation as connective infrastructure.</w:t>
      </w:r>
    </w:p>
    <w:p w14:paraId="46D43142" w14:textId="77777777" w:rsidR="006A2054" w:rsidRPr="006A2054" w:rsidRDefault="006A2054" w:rsidP="006A2054">
      <w:pPr>
        <w:numPr>
          <w:ilvl w:val="0"/>
          <w:numId w:val="2"/>
        </w:numPr>
        <w:spacing w:before="100" w:beforeAutospacing="1" w:after="100" w:afterAutospacing="1" w:line="240" w:lineRule="auto"/>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Universities</w:t>
      </w:r>
      <w:r w:rsidRPr="006A2054">
        <w:rPr>
          <w:rFonts w:ascii="Times New Roman" w:eastAsia="Times New Roman" w:hAnsi="Times New Roman" w:cs="Times New Roman"/>
          <w:color w:val="000000"/>
          <w:kern w:val="0"/>
          <w:sz w:val="24"/>
          <w:szCs w:val="24"/>
          <w:lang w:eastAsia="en-GB"/>
          <w14:ligatures w14:val="none"/>
        </w:rPr>
        <w:t> to adopt mesh fluency frameworks in curriculum reform—using job market and SNA evidence to redesign participation pathways.</w:t>
      </w:r>
    </w:p>
    <w:p w14:paraId="55728785" w14:textId="77777777" w:rsidR="006A2054" w:rsidRPr="006A2054" w:rsidRDefault="006A2054" w:rsidP="006A2054">
      <w:pPr>
        <w:spacing w:after="0" w:line="240" w:lineRule="auto"/>
        <w:ind w:left="0"/>
        <w:rPr>
          <w:rFonts w:ascii="Times New Roman" w:eastAsia="Times New Roman" w:hAnsi="Times New Roman" w:cs="Times New Roman"/>
          <w:kern w:val="0"/>
          <w:sz w:val="24"/>
          <w:szCs w:val="24"/>
          <w:lang w:eastAsia="en-GB"/>
          <w14:ligatures w14:val="none"/>
        </w:rPr>
      </w:pPr>
      <w:r w:rsidRPr="006A2054">
        <w:rPr>
          <w:rFonts w:ascii="Times New Roman" w:eastAsia="Times New Roman" w:hAnsi="Times New Roman" w:cs="Times New Roman"/>
          <w:noProof/>
          <w:kern w:val="0"/>
          <w:sz w:val="24"/>
          <w:szCs w:val="24"/>
          <w:lang w:eastAsia="en-GB"/>
          <w14:ligatures w14:val="none"/>
        </w:rPr>
      </w:r>
      <w:r w:rsidR="006A2054" w:rsidRPr="006A2054">
        <w:rPr>
          <w:rFonts w:ascii="Times New Roman" w:eastAsia="Times New Roman" w:hAnsi="Times New Roman" w:cs="Times New Roman"/>
          <w:noProof/>
          <w:kern w:val="0"/>
          <w:sz w:val="24"/>
          <w:szCs w:val="24"/>
          <w:lang w:eastAsia="en-GB"/>
          <w14:ligatures w14:val="none"/>
        </w:rPr>
        <w:pict w14:anchorId="115903FE">
          <v:rect id="_x0000_i1028" alt="" style="width:451.3pt;height:.05pt;mso-width-percent:0;mso-height-percent:0;mso-width-percent:0;mso-height-percent:0" o:hralign="center" o:hrstd="t" o:hr="t" fillcolor="#a0a0a0" stroked="f"/>
        </w:pict>
      </w:r>
    </w:p>
    <w:p w14:paraId="25C5CB4A" w14:textId="77777777" w:rsidR="006A2054" w:rsidRPr="006A2054" w:rsidRDefault="006A2054" w:rsidP="006A2054">
      <w:pPr>
        <w:spacing w:before="100" w:beforeAutospacing="1" w:after="100" w:afterAutospacing="1"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b/>
          <w:bCs/>
          <w:color w:val="000000"/>
          <w:kern w:val="0"/>
          <w:sz w:val="24"/>
          <w:szCs w:val="24"/>
          <w:lang w:eastAsia="en-GB"/>
          <w14:ligatures w14:val="none"/>
        </w:rPr>
        <w:t>This playbook translates the MITIH Createch Ecosystem Report into an investment and delivery framework.</w:t>
      </w:r>
    </w:p>
    <w:p w14:paraId="3014A4C9" w14:textId="77777777" w:rsidR="006A2054" w:rsidRPr="006A2054" w:rsidRDefault="006A2054" w:rsidP="006A2054">
      <w:pPr>
        <w:spacing w:before="100" w:beforeAutospacing="1" w:after="100" w:afterAutospacing="1" w:line="240" w:lineRule="auto"/>
        <w:ind w:left="0"/>
        <w:rPr>
          <w:rFonts w:ascii="Times New Roman" w:eastAsia="Times New Roman" w:hAnsi="Times New Roman" w:cs="Times New Roman"/>
          <w:color w:val="000000"/>
          <w:kern w:val="0"/>
          <w:sz w:val="24"/>
          <w:szCs w:val="24"/>
          <w:lang w:eastAsia="en-GB"/>
          <w14:ligatures w14:val="none"/>
        </w:rPr>
      </w:pPr>
      <w:r w:rsidRPr="006A2054">
        <w:rPr>
          <w:rFonts w:ascii="Times New Roman" w:eastAsia="Times New Roman" w:hAnsi="Times New Roman" w:cs="Times New Roman"/>
          <w:color w:val="000000"/>
          <w:kern w:val="0"/>
          <w:sz w:val="24"/>
          <w:szCs w:val="24"/>
          <w:lang w:eastAsia="en-GB"/>
          <w14:ligatures w14:val="none"/>
        </w:rPr>
        <w:t>Fund the infrastructure, not just the outputs. Back the connectors, not just the stars.</w:t>
      </w:r>
    </w:p>
    <w:p w14:paraId="6C4D3278" w14:textId="77777777" w:rsidR="00C66A13" w:rsidRDefault="00C66A13"/>
    <w:sectPr w:rsidR="00C66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34143"/>
    <w:multiLevelType w:val="multilevel"/>
    <w:tmpl w:val="CA14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800BC0"/>
    <w:multiLevelType w:val="multilevel"/>
    <w:tmpl w:val="C816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822222">
    <w:abstractNumId w:val="0"/>
  </w:num>
  <w:num w:numId="2" w16cid:durableId="101006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54"/>
    <w:rsid w:val="000E40F7"/>
    <w:rsid w:val="005E1146"/>
    <w:rsid w:val="005F6E6E"/>
    <w:rsid w:val="00633E5B"/>
    <w:rsid w:val="00652579"/>
    <w:rsid w:val="006A2054"/>
    <w:rsid w:val="006B69B6"/>
    <w:rsid w:val="0073441F"/>
    <w:rsid w:val="008629D9"/>
    <w:rsid w:val="008C0783"/>
    <w:rsid w:val="00995586"/>
    <w:rsid w:val="00AB4D34"/>
    <w:rsid w:val="00AF7EBA"/>
    <w:rsid w:val="00C66A13"/>
    <w:rsid w:val="00EE731E"/>
    <w:rsid w:val="00F076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1561"/>
  <w15:chartTrackingRefBased/>
  <w15:docId w15:val="{7AA3BBE8-C144-844A-BDE9-1F9804D0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9D9"/>
    <w:pPr>
      <w:spacing w:after="120" w:line="259" w:lineRule="auto"/>
      <w:ind w:left="357"/>
    </w:pPr>
    <w:rPr>
      <w:rFonts w:ascii="Helvetica Neue" w:hAnsi="Helvetica Neue"/>
      <w:sz w:val="22"/>
      <w:szCs w:val="22"/>
    </w:rPr>
  </w:style>
  <w:style w:type="paragraph" w:styleId="Heading1">
    <w:name w:val="heading 1"/>
    <w:basedOn w:val="Normal"/>
    <w:next w:val="Normal"/>
    <w:link w:val="Heading1Char"/>
    <w:uiPriority w:val="9"/>
    <w:qFormat/>
    <w:rsid w:val="006A2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E6E"/>
    <w:pPr>
      <w:keepNext/>
      <w:keepLines/>
      <w:spacing w:before="12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5F6E6E"/>
    <w:pPr>
      <w:keepNext/>
      <w:keepLines/>
      <w:spacing w:before="2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5F6E6E"/>
    <w:pPr>
      <w:keepNext/>
      <w:keepLines/>
      <w:spacing w:before="12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A20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0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0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0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0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0E40F7"/>
    <w:pPr>
      <w:ind w:left="720"/>
    </w:pPr>
  </w:style>
  <w:style w:type="character" w:customStyle="1" w:styleId="Heading2Char">
    <w:name w:val="Heading 2 Char"/>
    <w:basedOn w:val="DefaultParagraphFont"/>
    <w:link w:val="Heading2"/>
    <w:uiPriority w:val="9"/>
    <w:semiHidden/>
    <w:rsid w:val="005F6E6E"/>
    <w:rPr>
      <w:rFonts w:ascii="Helvetica Neue" w:eastAsiaTheme="majorEastAsia" w:hAnsi="Helvetica Neue" w:cstheme="majorBidi"/>
      <w:b/>
      <w:color w:val="000000" w:themeColor="text1"/>
      <w:sz w:val="28"/>
      <w:szCs w:val="26"/>
    </w:rPr>
  </w:style>
  <w:style w:type="character" w:customStyle="1" w:styleId="Heading3Char">
    <w:name w:val="Heading 3 Char"/>
    <w:basedOn w:val="DefaultParagraphFont"/>
    <w:link w:val="Heading3"/>
    <w:uiPriority w:val="9"/>
    <w:rsid w:val="005F6E6E"/>
    <w:rPr>
      <w:rFonts w:ascii="Helvetica Neue" w:eastAsiaTheme="majorEastAsia" w:hAnsi="Helvetica Neue" w:cstheme="majorBidi"/>
      <w:b/>
      <w:color w:val="000000" w:themeColor="text1"/>
    </w:rPr>
  </w:style>
  <w:style w:type="character" w:customStyle="1" w:styleId="Heading4Char">
    <w:name w:val="Heading 4 Char"/>
    <w:basedOn w:val="DefaultParagraphFont"/>
    <w:link w:val="Heading4"/>
    <w:uiPriority w:val="9"/>
    <w:rsid w:val="005F6E6E"/>
    <w:rPr>
      <w:rFonts w:ascii="Helvetica Neue" w:eastAsiaTheme="majorEastAsia" w:hAnsi="Helvetica Neue" w:cstheme="majorBidi"/>
      <w:i/>
      <w:iCs/>
      <w:color w:val="000000" w:themeColor="text1"/>
    </w:rPr>
  </w:style>
  <w:style w:type="character" w:customStyle="1" w:styleId="Heading1Char">
    <w:name w:val="Heading 1 Char"/>
    <w:basedOn w:val="DefaultParagraphFont"/>
    <w:link w:val="Heading1"/>
    <w:uiPriority w:val="9"/>
    <w:rsid w:val="006A2054"/>
    <w:rPr>
      <w:rFonts w:asciiTheme="majorHAnsi" w:eastAsiaTheme="majorEastAsia" w:hAnsiTheme="majorHAnsi" w:cstheme="majorBidi"/>
      <w:color w:val="0F4761" w:themeColor="accent1" w:themeShade="BF"/>
      <w:sz w:val="40"/>
      <w:szCs w:val="40"/>
    </w:rPr>
  </w:style>
  <w:style w:type="character" w:customStyle="1" w:styleId="Heading5Char">
    <w:name w:val="Heading 5 Char"/>
    <w:basedOn w:val="DefaultParagraphFont"/>
    <w:link w:val="Heading5"/>
    <w:uiPriority w:val="9"/>
    <w:semiHidden/>
    <w:rsid w:val="006A2054"/>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6A2054"/>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6A2054"/>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6A2054"/>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6A2054"/>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6A2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54"/>
    <w:pPr>
      <w:numPr>
        <w:ilvl w:val="1"/>
      </w:numPr>
      <w:spacing w:after="160"/>
      <w:ind w:left="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054"/>
    <w:rPr>
      <w:rFonts w:ascii="Helvetica Neue" w:hAnsi="Helvetica Neue"/>
      <w:i/>
      <w:iCs/>
      <w:color w:val="404040" w:themeColor="text1" w:themeTint="BF"/>
      <w:sz w:val="22"/>
      <w:szCs w:val="22"/>
    </w:rPr>
  </w:style>
  <w:style w:type="character" w:styleId="IntenseEmphasis">
    <w:name w:val="Intense Emphasis"/>
    <w:basedOn w:val="DefaultParagraphFont"/>
    <w:uiPriority w:val="21"/>
    <w:qFormat/>
    <w:rsid w:val="006A2054"/>
    <w:rPr>
      <w:i/>
      <w:iCs/>
      <w:color w:val="0F4761" w:themeColor="accent1" w:themeShade="BF"/>
    </w:rPr>
  </w:style>
  <w:style w:type="paragraph" w:styleId="IntenseQuote">
    <w:name w:val="Intense Quote"/>
    <w:basedOn w:val="Normal"/>
    <w:next w:val="Normal"/>
    <w:link w:val="IntenseQuoteChar"/>
    <w:uiPriority w:val="30"/>
    <w:qFormat/>
    <w:rsid w:val="006A2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54"/>
    <w:rPr>
      <w:rFonts w:ascii="Helvetica Neue" w:hAnsi="Helvetica Neue"/>
      <w:i/>
      <w:iCs/>
      <w:color w:val="0F4761" w:themeColor="accent1" w:themeShade="BF"/>
      <w:sz w:val="22"/>
      <w:szCs w:val="22"/>
    </w:rPr>
  </w:style>
  <w:style w:type="character" w:styleId="IntenseReference">
    <w:name w:val="Intense Reference"/>
    <w:basedOn w:val="DefaultParagraphFont"/>
    <w:uiPriority w:val="32"/>
    <w:qFormat/>
    <w:rsid w:val="006A2054"/>
    <w:rPr>
      <w:b/>
      <w:bCs/>
      <w:smallCaps/>
      <w:color w:val="0F4761" w:themeColor="accent1" w:themeShade="BF"/>
      <w:spacing w:val="5"/>
    </w:rPr>
  </w:style>
  <w:style w:type="paragraph" w:styleId="NormalWeb">
    <w:name w:val="Normal (Web)"/>
    <w:basedOn w:val="Normal"/>
    <w:uiPriority w:val="99"/>
    <w:semiHidden/>
    <w:unhideWhenUsed/>
    <w:rsid w:val="006A2054"/>
    <w:pPr>
      <w:spacing w:before="100" w:beforeAutospacing="1" w:after="100" w:afterAutospacing="1" w:line="240" w:lineRule="auto"/>
      <w:ind w:left="0"/>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6A2054"/>
    <w:rPr>
      <w:b/>
      <w:bCs/>
    </w:rPr>
  </w:style>
  <w:style w:type="character" w:customStyle="1" w:styleId="apple-converted-space">
    <w:name w:val="apple-converted-space"/>
    <w:basedOn w:val="DefaultParagraphFont"/>
    <w:rsid w:val="006A2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81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Props1.xml><?xml version="1.0" encoding="utf-8"?>
<ds:datastoreItem xmlns:ds="http://schemas.openxmlformats.org/officeDocument/2006/customXml" ds:itemID="{3107EC85-8535-48FF-A70D-D99CA3C289D9}"/>
</file>

<file path=customXml/itemProps2.xml><?xml version="1.0" encoding="utf-8"?>
<ds:datastoreItem xmlns:ds="http://schemas.openxmlformats.org/officeDocument/2006/customXml" ds:itemID="{B90CEAA8-D7A3-4AD6-84BC-49A0BCCE5828}"/>
</file>

<file path=customXml/itemProps3.xml><?xml version="1.0" encoding="utf-8"?>
<ds:datastoreItem xmlns:ds="http://schemas.openxmlformats.org/officeDocument/2006/customXml" ds:itemID="{743FD04B-4F65-4769-83ED-549233ABD6A2}"/>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Bennett</dc:creator>
  <cp:keywords/>
  <dc:description/>
  <cp:lastModifiedBy>Iain Bennett</cp:lastModifiedBy>
  <cp:revision>1</cp:revision>
  <dcterms:created xsi:type="dcterms:W3CDTF">2025-03-31T12:41:00Z</dcterms:created>
  <dcterms:modified xsi:type="dcterms:W3CDTF">2025-03-31T12:52:00Z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ies>
</file>