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r>
        <w:rPr>
          <w:rFonts w:ascii="Calibri" w:cs="Calibri" w:eastAsia="Calibri" w:hAnsi="Calibri"/>
          <w:b/>
          <w:bCs/>
          <w:color w:val="1F6FB2"/>
          <w:spacing w:val="40"/>
          <w:sz w:val="18"/>
          <w:szCs w:val="18"/>
        </w:rPr>
        <w:t xml:space="preserve">REFERENCE DOCUMENT · SEPTEMBER 2026</w:t>
      </w:r>
    </w:p>
    <w:p>
      <w:pPr>
        <w:spacing w:before="200"/>
      </w:pPr>
      <w:r>
        <w:rPr>
          <w:rFonts w:ascii="Calibri" w:cs="Calibri" w:eastAsia="Calibri" w:hAnsi="Calibri"/>
          <w:b/>
          <w:bCs/>
          <w:color w:val="12335C"/>
          <w:sz w:val="52"/>
          <w:szCs w:val="52"/>
        </w:rPr>
        <w:t xml:space="preserve">Copyright, Ownership &amp; Licensing</w:t>
      </w:r>
    </w:p>
    <w:p>
      <w:pPr>
        <w:pBdr>
          <w:top w:val="single" w:color="1F6FB2" w:sz="12" w:space="8"/>
        </w:pBdr>
        <w:spacing w:before="200"/>
      </w:pPr>
      <w:r>
        <w:rPr>
          <w:rFonts w:ascii="Calibri" w:cs="Calibri" w:eastAsia="Calibri" w:hAnsi="Calibri"/>
          <w:color w:val="4A5568"/>
          <w:sz w:val="21"/>
          <w:szCs w:val="21"/>
        </w:rPr>
        <w:t xml:space="preserve">Swim &amp; Water Safety Teaching Hub · Licensed CC BY 4.0 · Reviewed September 2026</w:t>
      </w:r>
    </w:p>
    <w:p>
      <w:pPr>
        <w:spacing w:before="300"/>
      </w:pPr>
      <w:r>
        <w:rPr>
          <w:rFonts w:ascii="Calibri" w:cs="Calibri" w:eastAsia="Calibri" w:hAnsi="Calibri"/>
          <w:i/>
          <w:iCs/>
          <w:color w:val="4A5568"/>
          <w:sz w:val="18"/>
          <w:szCs w:val="18"/>
        </w:rPr>
        <w:t xml:space="preserve">© 2026 Emilie Harrison. Licensed CC BY 4.0 — free to copy, adapt and redistribute, including commercially, with attribution. Third-party material is not covered.</w:t>
      </w:r>
    </w:p>
    <w:p>
      <w:r>
        <w:br w:type="page"/>
      </w:r>
    </w:p>
    <w:p>
      <w:pPr>
        <w:pBdr>
          <w:left w:val="single" w:color="1F6FB2" w:sz="18" w:space="10"/>
        </w:pBdr>
        <w:spacing w:after="160" w:before="80"/>
        <w:ind w:left="120"/>
      </w:pPr>
      <w:r>
        <w:rPr>
          <w:rFonts w:ascii="Calibri" w:cs="Calibri" w:eastAsia="Calibri" w:hAnsi="Calibri"/>
          <w:b/>
          <w:bCs/>
          <w:color w:val="12335C"/>
          <w:sz w:val="18"/>
          <w:szCs w:val="18"/>
        </w:rPr>
        <w:t xml:space="preserve">The short version.  </w:t>
      </w:r>
      <w:r>
        <w:rPr>
          <w:rFonts w:ascii="Calibri" w:cs="Calibri" w:eastAsia="Calibri" w:hAnsi="Calibri"/>
          <w:sz w:val="18"/>
          <w:szCs w:val="18"/>
        </w:rPr>
        <w:t xml:space="preserve">You can use this freely. Copy it, print it, edit it, put it in your own unit plan, translate it, hand it to a colleague interstate, use it in paid professional learning. You need to do one thing: say where it came from. What you cannot do is re-license the material that belongs to other organisations. That distinction is the whole point of this document.</w:t>
      </w:r>
    </w:p>
    <w:p>
      <w:pPr>
        <w:pStyle w:val="Heading1"/>
        <w:pBdr>
          <w:bottom w:val="single" w:color="1F6FB2" w:sz="12" w:space="6"/>
        </w:pBdr>
        <w:spacing w:after="160" w:before="340"/>
      </w:pPr>
      <w:r>
        <w:rPr>
          <w:rFonts w:ascii="Calibri" w:cs="Calibri" w:eastAsia="Calibri" w:hAnsi="Calibri"/>
          <w:b/>
          <w:bCs/>
          <w:color w:val="12335C"/>
          <w:sz w:val="30"/>
          <w:szCs w:val="30"/>
        </w:rPr>
        <w:t xml:space="preserve">1. Ownership</w:t>
      </w:r>
    </w:p>
    <w:p>
      <w:pPr>
        <w:spacing w:after="120" w:line="264"/>
      </w:pPr>
      <w:r>
        <w:rPr>
          <w:rFonts w:ascii="Calibri" w:cs="Calibri" w:eastAsia="Calibri" w:hAnsi="Calibri"/>
          <w:sz w:val="20"/>
          <w:szCs w:val="20"/>
        </w:rPr>
        <w:t xml:space="preserve">The Swim &amp; Water Safety Teaching Hub — lesson plans, workbooks, posters, scenario cards, rubrics, slide decks, quizzes and the website — was created by Emilie Harrison, who holds copyright in the original material.</w:t>
      </w:r>
    </w:p>
    <w:p>
      <w:pPr>
        <w:spacing w:after="120" w:line="264"/>
      </w:pPr>
      <w:r>
        <w:rPr>
          <w:rFonts w:ascii="Calibri" w:cs="Calibri" w:eastAsia="Calibri" w:hAnsi="Calibri"/>
          <w:sz w:val="20"/>
          <w:szCs w:val="20"/>
        </w:rPr>
        <w:t xml:space="preserve">The suite was developed as an independent project undertaken through a Life Saving Victoria leadership program. It was not produced in the course of employment duties for any school or employer.</w:t>
      </w:r>
    </w:p>
    <w:p>
      <w:pPr>
        <w:spacing w:after="120" w:line="264"/>
      </w:pPr>
      <w:r>
        <w:rPr>
          <w:rFonts w:ascii="Calibri" w:cs="Calibri" w:eastAsia="Calibri" w:hAnsi="Calibri"/>
          <w:i/>
          <w:iCs/>
          <w:sz w:val="20"/>
          <w:szCs w:val="20"/>
        </w:rPr>
        <w:t xml:space="preserve">Copyright in original literary and artistic works subsists automatically under the Copyright Act 1968 (Cth). No registration is required in Australia.</w:t>
      </w:r>
    </w:p>
    <w:p>
      <w:pPr>
        <w:pStyle w:val="Heading1"/>
        <w:pBdr>
          <w:bottom w:val="single" w:color="1F6FB2" w:sz="12" w:space="6"/>
        </w:pBdr>
        <w:spacing w:after="160" w:before="340"/>
      </w:pPr>
      <w:r>
        <w:rPr>
          <w:rFonts w:ascii="Calibri" w:cs="Calibri" w:eastAsia="Calibri" w:hAnsi="Calibri"/>
          <w:b/>
          <w:bCs/>
          <w:color w:val="12335C"/>
          <w:sz w:val="30"/>
          <w:szCs w:val="30"/>
        </w:rPr>
        <w:t xml:space="preserve">2. Licence — Creative Commons Attribution 4.0 International</w:t>
      </w:r>
    </w:p>
    <w:p>
      <w:pPr>
        <w:spacing w:after="120" w:line="264"/>
      </w:pPr>
      <w:r>
        <w:rPr>
          <w:rFonts w:ascii="Calibri" w:cs="Calibri" w:eastAsia="Calibri" w:hAnsi="Calibri"/>
          <w:sz w:val="20"/>
          <w:szCs w:val="20"/>
        </w:rPr>
        <w:t xml:space="preserve">Adopted September 2026. Under CC BY 4.0 you are free to:</w:t>
      </w:r>
    </w:p>
    <w:p>
      <w:pPr>
        <w:pStyle w:val="ListParagraph"/>
        <w:numPr>
          <w:ilvl w:val="0"/>
          <w:numId w:val="2"/>
        </w:numPr>
        <w:spacing w:after="60"/>
      </w:pPr>
      <w:r>
        <w:rPr>
          <w:rFonts w:ascii="Calibri" w:cs="Calibri" w:eastAsia="Calibri" w:hAnsi="Calibri"/>
          <w:sz w:val="20"/>
          <w:szCs w:val="20"/>
        </w:rPr>
        <w:t xml:space="preserve">Share — copy and redistribute the material in any medium or format</w:t>
      </w:r>
    </w:p>
    <w:p>
      <w:pPr>
        <w:pStyle w:val="ListParagraph"/>
        <w:numPr>
          <w:ilvl w:val="0"/>
          <w:numId w:val="2"/>
        </w:numPr>
        <w:spacing w:after="60"/>
      </w:pPr>
      <w:r>
        <w:rPr>
          <w:rFonts w:ascii="Calibri" w:cs="Calibri" w:eastAsia="Calibri" w:hAnsi="Calibri"/>
          <w:sz w:val="20"/>
          <w:szCs w:val="20"/>
        </w:rPr>
        <w:t xml:space="preserve">Adapt — remix, transform and build upon it, for any purpose, including commercially</w:t>
      </w:r>
    </w:p>
    <w:p>
      <w:pPr>
        <w:spacing w:after="120" w:line="264"/>
      </w:pPr>
      <w:r>
        <w:rPr>
          <w:rFonts w:ascii="Calibri" w:cs="Calibri" w:eastAsia="Calibri" w:hAnsi="Calibri"/>
          <w:sz w:val="20"/>
          <w:szCs w:val="20"/>
        </w:rPr>
        <w:t xml:space="preserve">These freedoms cannot be revoked as long as you follow the terms:</w:t>
      </w:r>
    </w:p>
    <w:p>
      <w:pPr>
        <w:pStyle w:val="ListParagraph"/>
        <w:numPr>
          <w:ilvl w:val="0"/>
          <w:numId w:val="2"/>
        </w:numPr>
        <w:spacing w:after="60"/>
      </w:pPr>
      <w:r>
        <w:rPr>
          <w:rFonts w:ascii="Calibri" w:cs="Calibri" w:eastAsia="Calibri" w:hAnsi="Calibri"/>
          <w:sz w:val="20"/>
          <w:szCs w:val="20"/>
        </w:rPr>
        <w:t xml:space="preserve">Attribution — give appropriate credit, link to the licence, and indicate if changes were made</w:t>
      </w:r>
    </w:p>
    <w:p>
      <w:pPr>
        <w:pStyle w:val="ListParagraph"/>
        <w:numPr>
          <w:ilvl w:val="0"/>
          <w:numId w:val="2"/>
        </w:numPr>
        <w:spacing w:after="60"/>
      </w:pPr>
      <w:r>
        <w:rPr>
          <w:rFonts w:ascii="Calibri" w:cs="Calibri" w:eastAsia="Calibri" w:hAnsi="Calibri"/>
          <w:sz w:val="20"/>
          <w:szCs w:val="20"/>
        </w:rPr>
        <w:t xml:space="preserve">No additional restrictions — you may not apply legal or technological measures that restrict others from doing anything the licence permits</w:t>
      </w:r>
    </w:p>
    <w:p>
      <w:pPr>
        <w:pStyle w:val="Heading2"/>
        <w:pBdr>
          <w:bottom w:val="single" w:color="C8D6E5" w:sz="6" w:space="4"/>
        </w:pBdr>
        <w:spacing w:after="110" w:before="280"/>
      </w:pPr>
      <w:r>
        <w:rPr>
          <w:rFonts w:ascii="Calibri" w:cs="Calibri" w:eastAsia="Calibri" w:hAnsi="Calibri"/>
          <w:b/>
          <w:bCs/>
          <w:color w:val="12335C"/>
          <w:sz w:val="24"/>
          <w:szCs w:val="24"/>
        </w:rPr>
        <w:t xml:space="preserve">Suggested attribution</w:t>
      </w:r>
    </w:p>
    <w:p>
      <w:pPr>
        <w:pBdr>
          <w:left w:val="1" w:color="1F6FB2" w:sz="12" w:space="10"/>
        </w:pBdr>
        <w:spacing w:after="140"/>
        <w:ind w:left="120"/>
      </w:pPr>
      <w:r>
        <w:rPr>
          <w:rFonts w:ascii="Consolas" w:cs="Consolas" w:eastAsia="Consolas" w:hAnsi="Consolas"/>
          <w:sz w:val="18"/>
          <w:szCs w:val="18"/>
        </w:rPr>
        <w:t xml:space="preserve">"Swim &amp; Water Safety Teaching Hub" by Emilie Harrison, licensed CC BY 4.0. Source: emilie-harrison.github.io/swim-water-safety</w:t>
      </w:r>
    </w:p>
    <w:p>
      <w:pPr>
        <w:spacing w:after="120" w:line="264"/>
      </w:pPr>
      <w:r>
        <w:rPr>
          <w:rFonts w:ascii="Calibri" w:cs="Calibri" w:eastAsia="Calibri" w:hAnsi="Calibri"/>
          <w:sz w:val="20"/>
          <w:szCs w:val="20"/>
        </w:rPr>
        <w:t xml:space="preserve">If you have adapted the material, say so. That protects you as much as the author — it makes clear which judgements are yours.</w:t>
      </w:r>
    </w:p>
    <w:p>
      <w:pPr>
        <w:pStyle w:val="Heading2"/>
        <w:pBdr>
          <w:bottom w:val="single" w:color="C8D6E5" w:sz="6" w:space="4"/>
        </w:pBdr>
        <w:spacing w:after="110" w:before="280"/>
      </w:pPr>
      <w:r>
        <w:rPr>
          <w:rFonts w:ascii="Calibri" w:cs="Calibri" w:eastAsia="Calibri" w:hAnsi="Calibri"/>
          <w:b/>
          <w:bCs/>
          <w:color w:val="12335C"/>
          <w:sz w:val="24"/>
          <w:szCs w:val="24"/>
        </w:rPr>
        <w:t xml:space="preserve">Licence history — why this changed</w:t>
      </w:r>
    </w:p>
    <w:p>
      <w:pPr>
        <w:spacing w:after="120" w:line="264"/>
      </w:pPr>
      <w:r>
        <w:rPr>
          <w:rFonts w:ascii="Calibri" w:cs="Calibri" w:eastAsia="Calibri" w:hAnsi="Calibri"/>
          <w:sz w:val="20"/>
          <w:szCs w:val="20"/>
        </w:rPr>
        <w:t xml:space="preserve">The repository previously carried a GNU General Public License v3. GPL v3 is a software copyleft licence. Its core mechanics — source code distribution, object code, the definition of "the Program" — have no sensible application to lesson plans and PDFs, and its copyleft provisions would have required anyone incorporating a single worksheet into their own unit to release that whole unit under the GPL. Almost no teacher would do that, so the old licence discouraged exactly the reuse it appeared to invite.</w:t>
      </w:r>
    </w:p>
    <w:p>
      <w:pPr>
        <w:spacing w:after="120" w:line="264"/>
      </w:pPr>
      <w:r>
        <w:rPr>
          <w:rFonts w:ascii="Calibri" w:cs="Calibri" w:eastAsia="Calibri" w:hAnsi="Calibri"/>
          <w:sz w:val="20"/>
          <w:szCs w:val="20"/>
        </w:rPr>
        <w:t xml:space="preserve">CC BY 4.0 was chosen over the NonCommercial and ShareAlike variants deliberately. NC would block Life Saving Victoria, AUSTSWIM or a swim school from using this material in paid professional learning — a legitimate and desirable distribution channel. SA would reintroduce the GPL problem. CC BY also matches ACARA, which licenses Australian Curriculum material under CC BY 4.0, so curriculum content and this suite can be blended without a licence conflict.</w:t>
      </w:r>
    </w:p>
    <w:p>
      <w:pPr>
        <w:pBdr>
          <w:left w:val="single" w:color="B02A20" w:sz="18" w:space="10"/>
        </w:pBdr>
        <w:spacing w:after="160" w:before="80"/>
        <w:ind w:left="120"/>
      </w:pPr>
      <w:r>
        <w:rPr>
          <w:rFonts w:ascii="Calibri" w:cs="Calibri" w:eastAsia="Calibri" w:hAnsi="Calibri"/>
          <w:b/>
          <w:bCs/>
          <w:color w:val="B02A20"/>
          <w:sz w:val="18"/>
          <w:szCs w:val="18"/>
        </w:rPr>
        <w:t xml:space="preserve">Irrevocable.  </w:t>
      </w:r>
      <w:r>
        <w:rPr>
          <w:rFonts w:ascii="Calibri" w:cs="Calibri" w:eastAsia="Calibri" w:hAnsi="Calibri"/>
          <w:sz w:val="18"/>
          <w:szCs w:val="18"/>
        </w:rPr>
        <w:t xml:space="preserve">CC licences cannot be withdrawn. Material released under CC BY 4.0 stays available under those terms for anyone who received it, even if the licence on the site changes later.</w:t>
      </w:r>
    </w:p>
    <w:p>
      <w:r>
        <w:br w:type="page"/>
      </w:r>
    </w:p>
    <w:p>
      <w:pPr>
        <w:pStyle w:val="Heading1"/>
        <w:pBdr>
          <w:bottom w:val="single" w:color="1F6FB2" w:sz="12" w:space="6"/>
        </w:pBdr>
        <w:spacing w:after="160" w:before="340"/>
      </w:pPr>
      <w:r>
        <w:rPr>
          <w:rFonts w:ascii="Calibri" w:cs="Calibri" w:eastAsia="Calibri" w:hAnsi="Calibri"/>
          <w:b/>
          <w:bCs/>
          <w:color w:val="12335C"/>
          <w:sz w:val="30"/>
          <w:szCs w:val="30"/>
        </w:rPr>
        <w:t xml:space="preserve">3. What the licence does not cover</w:t>
      </w:r>
    </w:p>
    <w:p>
      <w:pPr>
        <w:pBdr>
          <w:left w:val="single" w:color="B02A20" w:sz="18" w:space="10"/>
        </w:pBdr>
        <w:spacing w:after="160" w:before="80"/>
        <w:ind w:left="120"/>
      </w:pPr>
      <w:r>
        <w:rPr>
          <w:rFonts w:ascii="Calibri" w:cs="Calibri" w:eastAsia="Calibri" w:hAnsi="Calibri"/>
          <w:b/>
          <w:bCs/>
          <w:color w:val="B02A20"/>
          <w:sz w:val="18"/>
          <w:szCs w:val="18"/>
        </w:rPr>
        <w:t xml:space="preserve">Third-party material is excluded.  </w:t>
      </w:r>
      <w:r>
        <w:rPr>
          <w:rFonts w:ascii="Calibri" w:cs="Calibri" w:eastAsia="Calibri" w:hAnsi="Calibri"/>
          <w:sz w:val="18"/>
          <w:szCs w:val="18"/>
        </w:rPr>
        <w:t xml:space="preserve">This suite cites, quotes, links and builds on material owned by other organisations. None of it is sublicensed under CC BY 4.0 — a licence can only be granted over what the licensor owns. If you republish an adapted version, you must carry this limitation forward. Applying a blanket CC BY notice to a package containing third-party content misrepresents what you are entitled to grant.</w:t>
      </w:r>
    </w:p>
    <w:tbl>
      <w:tblPr>
        <w:tblW w:type="dxa" w:w="9026"/>
        <w:tblBorders>
          <w:top w:val="single" w:color="C8D6E5" w:sz="2"/>
          <w:left w:val="single" w:color="C8D6E5" w:sz="2"/>
          <w:bottom w:val="single" w:color="C8D6E5" w:sz="2"/>
          <w:right w:val="single" w:color="C8D6E5" w:sz="2"/>
          <w:insideH w:val="single" w:color="C8D6E5" w:sz="2"/>
          <w:insideV w:val="single" w:color="C8D6E5" w:sz="2"/>
        </w:tblBorders>
      </w:tblPr>
      <w:tblGrid>
        <w:gridCol w:w="1700"/>
        <w:gridCol w:w="2500"/>
        <w:gridCol w:w="2200"/>
        <w:gridCol w:w="2626"/>
      </w:tblGrid>
      <w:tr>
        <w:trPr>
          <w:tblHeader/>
        </w:trPr>
        <w:tc>
          <w:tcPr>
            <w:tcW w:type="dxa" w:w="17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Organisation</w:t>
            </w:r>
          </w:p>
        </w:tc>
        <w:tc>
          <w:tcPr>
            <w:tcW w:type="dxa" w:w="25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Material used here</w:t>
            </w:r>
          </w:p>
        </w:tc>
        <w:tc>
          <w:tcPr>
            <w:tcW w:type="dxa" w:w="2200"/>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Their copyright position</w:t>
            </w:r>
          </w:p>
        </w:tc>
        <w:tc>
          <w:tcPr>
            <w:tcW w:type="dxa" w:w="2626"/>
            <w:shd w:fill="12335C" w:color="auto" w:val="clear"/>
            <w:tcMar>
              <w:top w:type="dxa" w:w="80"/>
              <w:left w:type="dxa" w:w="110"/>
              <w:bottom w:type="dxa" w:w="80"/>
              <w:right w:type="dxa" w:w="110"/>
            </w:tcMar>
          </w:tcPr>
          <w:p>
            <w:r>
              <w:rPr>
                <w:rFonts w:ascii="Calibri" w:cs="Calibri" w:eastAsia="Calibri" w:hAnsi="Calibri"/>
                <w:b/>
                <w:bCs/>
                <w:color w:val="FFFFFF"/>
                <w:sz w:val="17"/>
                <w:szCs w:val="17"/>
              </w:rPr>
              <w:t xml:space="preserve">What you may do</w:t>
            </w:r>
          </w:p>
        </w:tc>
      </w:tr>
      <w:tr>
        <w:tc>
          <w:tcPr>
            <w:tcW w:type="dxa" w:w="17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Life Saving Victoria</w:t>
            </w:r>
          </w:p>
        </w:tc>
        <w:tc>
          <w:tcPr>
            <w:tcW w:type="dxa" w:w="2500"/>
            <w:shd w:fill="EEF3F9" w:color="auto" w:val="clear"/>
            <w:tcMar>
              <w:top w:type="dxa" w:w="80"/>
              <w:left w:type="dxa" w:w="110"/>
              <w:bottom w:type="dxa" w:w="80"/>
              <w:right w:type="dxa" w:w="110"/>
            </w:tcMar>
          </w:tcPr>
          <w:p>
            <w:r>
              <w:rPr>
                <w:rFonts w:ascii="Calibri" w:cs="Calibri" w:eastAsia="Calibri" w:hAnsi="Calibri"/>
                <w:b w:val="false"/>
                <w:bCs w:val="false"/>
                <w:color w:val="1A202C"/>
                <w:sz w:val="16"/>
                <w:szCs w:val="16"/>
              </w:rPr>
              <w:t xml:space="preserve">SwimSafe rules; Victorian Drowning Report 2024–25 data; School Swimming and Water Safety Toolkit; Swim City; Victorian Water Safety Certificate</w:t>
            </w:r>
          </w:p>
        </w:tc>
        <w:tc>
          <w:tcPr>
            <w:tcW w:type="dxa" w:w="2200"/>
            <w:shd w:fill="EEF3F9" w:color="auto" w:val="clear"/>
            <w:tcMar>
              <w:top w:type="dxa" w:w="80"/>
              <w:left w:type="dxa" w:w="110"/>
              <w:bottom w:type="dxa" w:w="80"/>
              <w:right w:type="dxa" w:w="110"/>
            </w:tcMar>
          </w:tcPr>
          <w:p>
            <w:r>
              <w:rPr>
                <w:rFonts w:ascii="Calibri" w:cs="Calibri" w:eastAsia="Calibri" w:hAnsi="Calibri"/>
                <w:b w:val="false"/>
                <w:bCs w:val="false"/>
                <w:color w:val="1A202C"/>
                <w:sz w:val="16"/>
                <w:szCs w:val="16"/>
              </w:rPr>
              <w:t xml:space="preserve">© Life Saving Victoria Limited. All rights reserved.</w:t>
            </w:r>
          </w:p>
        </w:tc>
        <w:tc>
          <w:tcPr>
            <w:tcW w:type="dxa" w:w="2626"/>
            <w:shd w:fill="EEF3F9" w:color="auto" w:val="clear"/>
            <w:tcMar>
              <w:top w:type="dxa" w:w="80"/>
              <w:left w:type="dxa" w:w="110"/>
              <w:bottom w:type="dxa" w:w="80"/>
              <w:right w:type="dxa" w:w="110"/>
            </w:tcMar>
          </w:tcPr>
          <w:p>
            <w:r>
              <w:rPr>
                <w:rFonts w:ascii="Calibri" w:cs="Calibri" w:eastAsia="Calibri" w:hAnsi="Calibri"/>
                <w:b w:val="false"/>
                <w:bCs w:val="false"/>
                <w:color w:val="1A202C"/>
                <w:sz w:val="16"/>
                <w:szCs w:val="16"/>
              </w:rPr>
              <w:t xml:space="preserve">Cite and link. Do not reproduce Toolkit resources or report graphics without permission. Data may be quoted with attribution.</w:t>
            </w:r>
          </w:p>
        </w:tc>
      </w:tr>
      <w:tr>
        <w:tc>
          <w:tcPr>
            <w:tcW w:type="dxa" w:w="1700"/>
            <w:tcMar>
              <w:top w:type="dxa" w:w="80"/>
              <w:left w:type="dxa" w:w="110"/>
              <w:bottom w:type="dxa" w:w="80"/>
              <w:right w:type="dxa" w:w="110"/>
            </w:tcMar>
          </w:tcPr>
          <w:p>
            <w:r>
              <w:rPr>
                <w:rFonts w:ascii="Calibri" w:cs="Calibri" w:eastAsia="Calibri" w:hAnsi="Calibri"/>
                <w:b/>
                <w:bCs/>
                <w:color w:val="12335C"/>
                <w:sz w:val="16"/>
                <w:szCs w:val="16"/>
              </w:rPr>
              <w:t xml:space="preserve">Royal Life Saving Australia</w:t>
            </w:r>
          </w:p>
        </w:tc>
        <w:tc>
          <w:tcPr>
            <w:tcW w:type="dxa" w:w="2500"/>
            <w:tcMar>
              <w:top w:type="dxa" w:w="80"/>
              <w:left w:type="dxa" w:w="110"/>
              <w:bottom w:type="dxa" w:w="80"/>
              <w:right w:type="dxa" w:w="110"/>
            </w:tcMar>
          </w:tcPr>
          <w:p>
            <w:r>
              <w:rPr>
                <w:rFonts w:ascii="Calibri" w:cs="Calibri" w:eastAsia="Calibri" w:hAnsi="Calibri"/>
                <w:b w:val="false"/>
                <w:bCs w:val="false"/>
                <w:color w:val="1A202C"/>
                <w:sz w:val="16"/>
                <w:szCs w:val="16"/>
              </w:rPr>
              <w:t xml:space="preserve">National Drowning Report 2026; Swim and Survive; Bronze e-Lifesaving</w:t>
            </w:r>
          </w:p>
        </w:tc>
        <w:tc>
          <w:tcPr>
            <w:tcW w:type="dxa" w:w="2200"/>
            <w:tcMar>
              <w:top w:type="dxa" w:w="80"/>
              <w:left w:type="dxa" w:w="110"/>
              <w:bottom w:type="dxa" w:w="80"/>
              <w:right w:type="dxa" w:w="110"/>
            </w:tcMar>
          </w:tcPr>
          <w:p>
            <w:r>
              <w:rPr>
                <w:rFonts w:ascii="Calibri" w:cs="Calibri" w:eastAsia="Calibri" w:hAnsi="Calibri"/>
                <w:b w:val="false"/>
                <w:bCs w:val="false"/>
                <w:color w:val="1A202C"/>
                <w:sz w:val="16"/>
                <w:szCs w:val="16"/>
              </w:rPr>
              <w:t xml:space="preserve">© RLSSA. Program names are trade marks.</w:t>
            </w:r>
          </w:p>
        </w:tc>
        <w:tc>
          <w:tcPr>
            <w:tcW w:type="dxa" w:w="2626"/>
            <w:tcMar>
              <w:top w:type="dxa" w:w="80"/>
              <w:left w:type="dxa" w:w="110"/>
              <w:bottom w:type="dxa" w:w="80"/>
              <w:right w:type="dxa" w:w="110"/>
            </w:tcMar>
          </w:tcPr>
          <w:p>
            <w:r>
              <w:rPr>
                <w:rFonts w:ascii="Calibri" w:cs="Calibri" w:eastAsia="Calibri" w:hAnsi="Calibri"/>
                <w:b w:val="false"/>
                <w:bCs w:val="false"/>
                <w:color w:val="1A202C"/>
                <w:sz w:val="16"/>
                <w:szCs w:val="16"/>
              </w:rPr>
              <w:t xml:space="preserve">Cite and link. Do not use program names to describe your own activities.</w:t>
            </w:r>
          </w:p>
        </w:tc>
      </w:tr>
      <w:tr>
        <w:tc>
          <w:tcPr>
            <w:tcW w:type="dxa" w:w="17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Surf Life Saving Australia</w:t>
            </w:r>
          </w:p>
        </w:tc>
        <w:tc>
          <w:tcPr>
            <w:tcW w:type="dxa" w:w="2500"/>
            <w:shd w:fill="EEF3F9" w:color="auto" w:val="clear"/>
            <w:tcMar>
              <w:top w:type="dxa" w:w="80"/>
              <w:left w:type="dxa" w:w="110"/>
              <w:bottom w:type="dxa" w:w="80"/>
              <w:right w:type="dxa" w:w="110"/>
            </w:tcMar>
          </w:tcPr>
          <w:p>
            <w:r>
              <w:rPr>
                <w:rFonts w:ascii="Calibri" w:cs="Calibri" w:eastAsia="Calibri" w:hAnsi="Calibri"/>
                <w:b w:val="false"/>
                <w:bCs w:val="false"/>
                <w:color w:val="1A202C"/>
                <w:sz w:val="16"/>
                <w:szCs w:val="16"/>
              </w:rPr>
              <w:t xml:space="preserve">BeachSafe app and website; Summer Coastal Drowning Report 2025/26; red and yellow flag device; Beach Passport</w:t>
            </w:r>
          </w:p>
        </w:tc>
        <w:tc>
          <w:tcPr>
            <w:tcW w:type="dxa" w:w="2200"/>
            <w:shd w:fill="EEF3F9" w:color="auto" w:val="clear"/>
            <w:tcMar>
              <w:top w:type="dxa" w:w="80"/>
              <w:left w:type="dxa" w:w="110"/>
              <w:bottom w:type="dxa" w:w="80"/>
              <w:right w:type="dxa" w:w="110"/>
            </w:tcMar>
          </w:tcPr>
          <w:p>
            <w:r>
              <w:rPr>
                <w:rFonts w:ascii="Calibri" w:cs="Calibri" w:eastAsia="Calibri" w:hAnsi="Calibri"/>
                <w:b w:val="false"/>
                <w:bCs w:val="false"/>
                <w:color w:val="1A202C"/>
                <w:sz w:val="16"/>
                <w:szCs w:val="16"/>
              </w:rPr>
              <w:t xml:space="preserve">© SLSA. Publications expressly copyright — reproduction requires prior permission.</w:t>
            </w:r>
          </w:p>
        </w:tc>
        <w:tc>
          <w:tcPr>
            <w:tcW w:type="dxa" w:w="2626"/>
            <w:shd w:fill="EEF3F9" w:color="auto" w:val="clear"/>
            <w:tcMar>
              <w:top w:type="dxa" w:w="80"/>
              <w:left w:type="dxa" w:w="110"/>
              <w:bottom w:type="dxa" w:w="80"/>
              <w:right w:type="dxa" w:w="110"/>
            </w:tcMar>
          </w:tcPr>
          <w:p>
            <w:r>
              <w:rPr>
                <w:rFonts w:ascii="Calibri" w:cs="Calibri" w:eastAsia="Calibri" w:hAnsi="Calibri"/>
                <w:b w:val="false"/>
                <w:bCs w:val="false"/>
                <w:color w:val="1A202C"/>
                <w:sz w:val="16"/>
                <w:szCs w:val="16"/>
              </w:rPr>
              <w:t xml:space="preserve">Link to BeachSafe; do not mirror it. Report content needs written permission to reproduce.</w:t>
            </w:r>
          </w:p>
        </w:tc>
      </w:tr>
      <w:tr>
        <w:tc>
          <w:tcPr>
            <w:tcW w:type="dxa" w:w="1700"/>
            <w:tcMar>
              <w:top w:type="dxa" w:w="80"/>
              <w:left w:type="dxa" w:w="110"/>
              <w:bottom w:type="dxa" w:w="80"/>
              <w:right w:type="dxa" w:w="110"/>
            </w:tcMar>
          </w:tcPr>
          <w:p>
            <w:r>
              <w:rPr>
                <w:rFonts w:ascii="Calibri" w:cs="Calibri" w:eastAsia="Calibri" w:hAnsi="Calibri"/>
                <w:b/>
                <w:bCs/>
                <w:color w:val="12335C"/>
                <w:sz w:val="16"/>
                <w:szCs w:val="16"/>
              </w:rPr>
              <w:t xml:space="preserve">VCAA</w:t>
            </w:r>
          </w:p>
        </w:tc>
        <w:tc>
          <w:tcPr>
            <w:tcW w:type="dxa" w:w="2500"/>
            <w:tcMar>
              <w:top w:type="dxa" w:w="80"/>
              <w:left w:type="dxa" w:w="110"/>
              <w:bottom w:type="dxa" w:w="80"/>
              <w:right w:type="dxa" w:w="110"/>
            </w:tcMar>
          </w:tcPr>
          <w:p>
            <w:r>
              <w:rPr>
                <w:rFonts w:ascii="Calibri" w:cs="Calibri" w:eastAsia="Calibri" w:hAnsi="Calibri"/>
                <w:b w:val="false"/>
                <w:bCs w:val="false"/>
                <w:color w:val="1A202C"/>
                <w:sz w:val="16"/>
                <w:szCs w:val="16"/>
              </w:rPr>
              <w:t xml:space="preserve">Victorian Curriculum F–10 V2.0 content descriptions, elaborations, achievement standards; VC2HP and VC2E codes</w:t>
            </w:r>
          </w:p>
        </w:tc>
        <w:tc>
          <w:tcPr>
            <w:tcW w:type="dxa" w:w="2200"/>
            <w:tcMar>
              <w:top w:type="dxa" w:w="80"/>
              <w:left w:type="dxa" w:w="110"/>
              <w:bottom w:type="dxa" w:w="80"/>
              <w:right w:type="dxa" w:w="110"/>
            </w:tcMar>
          </w:tcPr>
          <w:p>
            <w:r>
              <w:rPr>
                <w:rFonts w:ascii="Calibri" w:cs="Calibri" w:eastAsia="Calibri" w:hAnsi="Calibri"/>
                <w:b w:val="false"/>
                <w:bCs w:val="false"/>
                <w:color w:val="1A202C"/>
                <w:sz w:val="16"/>
                <w:szCs w:val="16"/>
              </w:rPr>
              <w:t xml:space="preserve">© Victorian Curriculum and Assessment Authority.</w:t>
            </w:r>
          </w:p>
        </w:tc>
        <w:tc>
          <w:tcPr>
            <w:tcW w:type="dxa" w:w="2626"/>
            <w:tcMar>
              <w:top w:type="dxa" w:w="80"/>
              <w:left w:type="dxa" w:w="110"/>
              <w:bottom w:type="dxa" w:w="80"/>
              <w:right w:type="dxa" w:w="110"/>
            </w:tcMar>
          </w:tcPr>
          <w:p>
            <w:r>
              <w:rPr>
                <w:rFonts w:ascii="Calibri" w:cs="Calibri" w:eastAsia="Calibri" w:hAnsi="Calibri"/>
                <w:b w:val="false"/>
                <w:bCs w:val="false"/>
                <w:color w:val="1A202C"/>
                <w:sz w:val="16"/>
                <w:szCs w:val="16"/>
              </w:rPr>
              <w:t xml:space="preserve">Reproduced for educational purposes with attribution. Check the VCAA copyright statement before commercial reuse.</w:t>
            </w:r>
          </w:p>
        </w:tc>
      </w:tr>
      <w:tr>
        <w:tc>
          <w:tcPr>
            <w:tcW w:type="dxa" w:w="17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ACARA</w:t>
            </w:r>
          </w:p>
        </w:tc>
        <w:tc>
          <w:tcPr>
            <w:tcW w:type="dxa" w:w="2500"/>
            <w:shd w:fill="EEF3F9" w:color="auto" w:val="clear"/>
            <w:tcMar>
              <w:top w:type="dxa" w:w="80"/>
              <w:left w:type="dxa" w:w="110"/>
              <w:bottom w:type="dxa" w:w="80"/>
              <w:right w:type="dxa" w:w="110"/>
            </w:tcMar>
          </w:tcPr>
          <w:p>
            <w:r>
              <w:rPr>
                <w:rFonts w:ascii="Calibri" w:cs="Calibri" w:eastAsia="Calibri" w:hAnsi="Calibri"/>
                <w:b w:val="false"/>
                <w:bCs w:val="false"/>
                <w:color w:val="1A202C"/>
                <w:sz w:val="16"/>
                <w:szCs w:val="16"/>
              </w:rPr>
              <w:t xml:space="preserve">Australian Curriculum V9.0 content descriptions; AC9HP codes</w:t>
            </w:r>
          </w:p>
        </w:tc>
        <w:tc>
          <w:tcPr>
            <w:tcW w:type="dxa" w:w="2200"/>
            <w:shd w:fill="EEF3F9" w:color="auto" w:val="clear"/>
            <w:tcMar>
              <w:top w:type="dxa" w:w="80"/>
              <w:left w:type="dxa" w:w="110"/>
              <w:bottom w:type="dxa" w:w="80"/>
              <w:right w:type="dxa" w:w="110"/>
            </w:tcMar>
          </w:tcPr>
          <w:p>
            <w:r>
              <w:rPr>
                <w:rFonts w:ascii="Calibri" w:cs="Calibri" w:eastAsia="Calibri" w:hAnsi="Calibri"/>
                <w:b w:val="false"/>
                <w:bCs w:val="false"/>
                <w:color w:val="1A202C"/>
                <w:sz w:val="16"/>
                <w:szCs w:val="16"/>
              </w:rPr>
              <w:t xml:space="preserve">© ACARA 2010–present, licensed CC BY 4.0.</w:t>
            </w:r>
          </w:p>
        </w:tc>
        <w:tc>
          <w:tcPr>
            <w:tcW w:type="dxa" w:w="2626"/>
            <w:shd w:fill="EEF3F9" w:color="auto" w:val="clear"/>
            <w:tcMar>
              <w:top w:type="dxa" w:w="80"/>
              <w:left w:type="dxa" w:w="110"/>
              <w:bottom w:type="dxa" w:w="80"/>
              <w:right w:type="dxa" w:w="110"/>
            </w:tcMar>
          </w:tcPr>
          <w:p>
            <w:r>
              <w:rPr>
                <w:rFonts w:ascii="Calibri" w:cs="Calibri" w:eastAsia="Calibri" w:hAnsi="Calibri"/>
                <w:b w:val="false"/>
                <w:bCs w:val="false"/>
                <w:color w:val="1A202C"/>
                <w:sz w:val="16"/>
                <w:szCs w:val="16"/>
              </w:rPr>
              <w:t xml:space="preserve">Freely reusable with attribution. The most permissive third-party source in this suite.</w:t>
            </w:r>
          </w:p>
        </w:tc>
      </w:tr>
      <w:tr>
        <w:tc>
          <w:tcPr>
            <w:tcW w:type="dxa" w:w="1700"/>
            <w:tcMar>
              <w:top w:type="dxa" w:w="80"/>
              <w:left w:type="dxa" w:w="110"/>
              <w:bottom w:type="dxa" w:w="80"/>
              <w:right w:type="dxa" w:w="110"/>
            </w:tcMar>
          </w:tcPr>
          <w:p>
            <w:r>
              <w:rPr>
                <w:rFonts w:ascii="Calibri" w:cs="Calibri" w:eastAsia="Calibri" w:hAnsi="Calibri"/>
                <w:b/>
                <w:bCs/>
                <w:color w:val="12335C"/>
                <w:sz w:val="16"/>
                <w:szCs w:val="16"/>
              </w:rPr>
              <w:t xml:space="preserve">AIATSIS</w:t>
            </w:r>
          </w:p>
        </w:tc>
        <w:tc>
          <w:tcPr>
            <w:tcW w:type="dxa" w:w="2500"/>
            <w:tcMar>
              <w:top w:type="dxa" w:w="80"/>
              <w:left w:type="dxa" w:w="110"/>
              <w:bottom w:type="dxa" w:w="80"/>
              <w:right w:type="dxa" w:w="110"/>
            </w:tcMar>
          </w:tcPr>
          <w:p>
            <w:r>
              <w:rPr>
                <w:rFonts w:ascii="Calibri" w:cs="Calibri" w:eastAsia="Calibri" w:hAnsi="Calibri"/>
                <w:b w:val="false"/>
                <w:bCs w:val="false"/>
                <w:color w:val="1A202C"/>
                <w:sz w:val="16"/>
                <w:szCs w:val="16"/>
              </w:rPr>
              <w:t xml:space="preserve">Map of Indigenous Australia</w:t>
            </w:r>
          </w:p>
        </w:tc>
        <w:tc>
          <w:tcPr>
            <w:tcW w:type="dxa" w:w="2200"/>
            <w:tcMar>
              <w:top w:type="dxa" w:w="80"/>
              <w:left w:type="dxa" w:w="110"/>
              <w:bottom w:type="dxa" w:w="80"/>
              <w:right w:type="dxa" w:w="110"/>
            </w:tcMar>
          </w:tcPr>
          <w:p>
            <w:r>
              <w:rPr>
                <w:rFonts w:ascii="Calibri" w:cs="Calibri" w:eastAsia="Calibri" w:hAnsi="Calibri"/>
                <w:b w:val="false"/>
                <w:bCs w:val="false"/>
                <w:color w:val="1A202C"/>
                <w:sz w:val="16"/>
                <w:szCs w:val="16"/>
              </w:rPr>
              <w:t xml:space="preserve">© AIATSIS. Licensed for specific uses; not freely reproducible.</w:t>
            </w:r>
          </w:p>
        </w:tc>
        <w:tc>
          <w:tcPr>
            <w:tcW w:type="dxa" w:w="2626"/>
            <w:tcMar>
              <w:top w:type="dxa" w:w="80"/>
              <w:left w:type="dxa" w:w="110"/>
              <w:bottom w:type="dxa" w:w="80"/>
              <w:right w:type="dxa" w:w="110"/>
            </w:tcMar>
          </w:tcPr>
          <w:p>
            <w:r>
              <w:rPr>
                <w:rFonts w:ascii="Calibri" w:cs="Calibri" w:eastAsia="Calibri" w:hAnsi="Calibri"/>
                <w:b w:val="false"/>
                <w:bCs w:val="false"/>
                <w:color w:val="1A202C"/>
                <w:sz w:val="16"/>
                <w:szCs w:val="16"/>
              </w:rPr>
              <w:t xml:space="preserve">Link only. Do not reproduce the Map in printed posters, slide decks or school-published materials without checking licensing.</w:t>
            </w:r>
          </w:p>
        </w:tc>
      </w:tr>
      <w:tr>
        <w:tc>
          <w:tcPr>
            <w:tcW w:type="dxa" w:w="17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Australian Resuscitation Council</w:t>
            </w:r>
          </w:p>
        </w:tc>
        <w:tc>
          <w:tcPr>
            <w:tcW w:type="dxa" w:w="2500"/>
            <w:shd w:fill="EEF3F9" w:color="auto" w:val="clear"/>
            <w:tcMar>
              <w:top w:type="dxa" w:w="80"/>
              <w:left w:type="dxa" w:w="110"/>
              <w:bottom w:type="dxa" w:w="80"/>
              <w:right w:type="dxa" w:w="110"/>
            </w:tcMar>
          </w:tcPr>
          <w:p>
            <w:r>
              <w:rPr>
                <w:rFonts w:ascii="Calibri" w:cs="Calibri" w:eastAsia="Calibri" w:hAnsi="Calibri"/>
                <w:b w:val="false"/>
                <w:bCs w:val="false"/>
                <w:color w:val="1A202C"/>
                <w:sz w:val="16"/>
                <w:szCs w:val="16"/>
              </w:rPr>
              <w:t xml:space="preserve">Resuscitation guidelines underpinning all CPR content</w:t>
            </w:r>
          </w:p>
        </w:tc>
        <w:tc>
          <w:tcPr>
            <w:tcW w:type="dxa" w:w="2200"/>
            <w:shd w:fill="EEF3F9" w:color="auto" w:val="clear"/>
            <w:tcMar>
              <w:top w:type="dxa" w:w="80"/>
              <w:left w:type="dxa" w:w="110"/>
              <w:bottom w:type="dxa" w:w="80"/>
              <w:right w:type="dxa" w:w="110"/>
            </w:tcMar>
          </w:tcPr>
          <w:p>
            <w:r>
              <w:rPr>
                <w:rFonts w:ascii="Calibri" w:cs="Calibri" w:eastAsia="Calibri" w:hAnsi="Calibri"/>
                <w:b w:val="false"/>
                <w:bCs w:val="false"/>
                <w:color w:val="1A202C"/>
                <w:sz w:val="16"/>
                <w:szCs w:val="16"/>
              </w:rPr>
              <w:t xml:space="preserve">© Australian Resuscitation Council.</w:t>
            </w:r>
          </w:p>
        </w:tc>
        <w:tc>
          <w:tcPr>
            <w:tcW w:type="dxa" w:w="2626"/>
            <w:shd w:fill="EEF3F9" w:color="auto" w:val="clear"/>
            <w:tcMar>
              <w:top w:type="dxa" w:w="80"/>
              <w:left w:type="dxa" w:w="110"/>
              <w:bottom w:type="dxa" w:w="80"/>
              <w:right w:type="dxa" w:w="110"/>
            </w:tcMar>
          </w:tcPr>
          <w:p>
            <w:r>
              <w:rPr>
                <w:rFonts w:ascii="Calibri" w:cs="Calibri" w:eastAsia="Calibri" w:hAnsi="Calibri"/>
                <w:b w:val="false"/>
                <w:bCs w:val="false"/>
                <w:color w:val="1A202C"/>
                <w:sz w:val="16"/>
                <w:szCs w:val="16"/>
              </w:rPr>
              <w:t xml:space="preserve">Cite as the clinical source. Do not alter the clinical parameters or present ARC guidance as your own.</w:t>
            </w:r>
          </w:p>
        </w:tc>
      </w:tr>
      <w:tr>
        <w:tc>
          <w:tcPr>
            <w:tcW w:type="dxa" w:w="1700"/>
            <w:tcMar>
              <w:top w:type="dxa" w:w="80"/>
              <w:left w:type="dxa" w:w="110"/>
              <w:bottom w:type="dxa" w:w="80"/>
              <w:right w:type="dxa" w:w="110"/>
            </w:tcMar>
          </w:tcPr>
          <w:p>
            <w:r>
              <w:rPr>
                <w:rFonts w:ascii="Calibri" w:cs="Calibri" w:eastAsia="Calibri" w:hAnsi="Calibri"/>
                <w:b/>
                <w:bCs/>
                <w:color w:val="12335C"/>
                <w:sz w:val="16"/>
                <w:szCs w:val="16"/>
              </w:rPr>
              <w:t xml:space="preserve">World Health Organization</w:t>
            </w:r>
          </w:p>
        </w:tc>
        <w:tc>
          <w:tcPr>
            <w:tcW w:type="dxa" w:w="2500"/>
            <w:tcMar>
              <w:top w:type="dxa" w:w="80"/>
              <w:left w:type="dxa" w:w="110"/>
              <w:bottom w:type="dxa" w:w="80"/>
              <w:right w:type="dxa" w:w="110"/>
            </w:tcMar>
          </w:tcPr>
          <w:p>
            <w:r>
              <w:rPr>
                <w:rFonts w:ascii="Calibri" w:cs="Calibri" w:eastAsia="Calibri" w:hAnsi="Calibri"/>
                <w:b w:val="false"/>
                <w:bCs w:val="false"/>
                <w:color w:val="1A202C"/>
                <w:sz w:val="16"/>
                <w:szCs w:val="16"/>
              </w:rPr>
              <w:t xml:space="preserve">Global drowning fact sheet and statistics</w:t>
            </w:r>
          </w:p>
        </w:tc>
        <w:tc>
          <w:tcPr>
            <w:tcW w:type="dxa" w:w="2200"/>
            <w:tcMar>
              <w:top w:type="dxa" w:w="80"/>
              <w:left w:type="dxa" w:w="110"/>
              <w:bottom w:type="dxa" w:w="80"/>
              <w:right w:type="dxa" w:w="110"/>
            </w:tcMar>
          </w:tcPr>
          <w:p>
            <w:r>
              <w:rPr>
                <w:rFonts w:ascii="Calibri" w:cs="Calibri" w:eastAsia="Calibri" w:hAnsi="Calibri"/>
                <w:b w:val="false"/>
                <w:bCs w:val="false"/>
                <w:color w:val="1A202C"/>
                <w:sz w:val="16"/>
                <w:szCs w:val="16"/>
              </w:rPr>
              <w:t xml:space="preserve">© WHO, generally CC BY-NC-SA 3.0 IGO.</w:t>
            </w:r>
          </w:p>
        </w:tc>
        <w:tc>
          <w:tcPr>
            <w:tcW w:type="dxa" w:w="2626"/>
            <w:tcMar>
              <w:top w:type="dxa" w:w="80"/>
              <w:left w:type="dxa" w:w="110"/>
              <w:bottom w:type="dxa" w:w="80"/>
              <w:right w:type="dxa" w:w="110"/>
            </w:tcMar>
          </w:tcPr>
          <w:p>
            <w:r>
              <w:rPr>
                <w:rFonts w:ascii="Calibri" w:cs="Calibri" w:eastAsia="Calibri" w:hAnsi="Calibri"/>
                <w:b w:val="false"/>
                <w:bCs w:val="false"/>
                <w:color w:val="1A202C"/>
                <w:sz w:val="16"/>
                <w:szCs w:val="16"/>
              </w:rPr>
              <w:t xml:space="preserve">Note the non-commercial and share-alike terms — more restrictive than this suite’s own licence.</w:t>
            </w:r>
          </w:p>
        </w:tc>
      </w:tr>
      <w:tr>
        <w:tc>
          <w:tcPr>
            <w:tcW w:type="dxa" w:w="17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World Bank</w:t>
            </w:r>
          </w:p>
        </w:tc>
        <w:tc>
          <w:tcPr>
            <w:tcW w:type="dxa" w:w="2500"/>
            <w:shd w:fill="EEF3F9" w:color="auto" w:val="clear"/>
            <w:tcMar>
              <w:top w:type="dxa" w:w="80"/>
              <w:left w:type="dxa" w:w="110"/>
              <w:bottom w:type="dxa" w:w="80"/>
              <w:right w:type="dxa" w:w="110"/>
            </w:tcMar>
          </w:tcPr>
          <w:p>
            <w:r>
              <w:rPr>
                <w:rFonts w:ascii="Calibri" w:cs="Calibri" w:eastAsia="Calibri" w:hAnsi="Calibri"/>
                <w:b w:val="false"/>
                <w:bCs w:val="false"/>
                <w:color w:val="1A202C"/>
                <w:sz w:val="16"/>
                <w:szCs w:val="16"/>
              </w:rPr>
              <w:t xml:space="preserve">Open Data country income classifications</w:t>
            </w:r>
          </w:p>
        </w:tc>
        <w:tc>
          <w:tcPr>
            <w:tcW w:type="dxa" w:w="2200"/>
            <w:shd w:fill="EEF3F9" w:color="auto" w:val="clear"/>
            <w:tcMar>
              <w:top w:type="dxa" w:w="80"/>
              <w:left w:type="dxa" w:w="110"/>
              <w:bottom w:type="dxa" w:w="80"/>
              <w:right w:type="dxa" w:w="110"/>
            </w:tcMar>
          </w:tcPr>
          <w:p>
            <w:r>
              <w:rPr>
                <w:rFonts w:ascii="Calibri" w:cs="Calibri" w:eastAsia="Calibri" w:hAnsi="Calibri"/>
                <w:b w:val="false"/>
                <w:bCs w:val="false"/>
                <w:color w:val="1A202C"/>
                <w:sz w:val="16"/>
                <w:szCs w:val="16"/>
              </w:rPr>
              <w:t xml:space="preserve">© World Bank, CC BY 4.0.</w:t>
            </w:r>
          </w:p>
        </w:tc>
        <w:tc>
          <w:tcPr>
            <w:tcW w:type="dxa" w:w="2626"/>
            <w:shd w:fill="EEF3F9" w:color="auto" w:val="clear"/>
            <w:tcMar>
              <w:top w:type="dxa" w:w="80"/>
              <w:left w:type="dxa" w:w="110"/>
              <w:bottom w:type="dxa" w:w="80"/>
              <w:right w:type="dxa" w:w="110"/>
            </w:tcMar>
          </w:tcPr>
          <w:p>
            <w:r>
              <w:rPr>
                <w:rFonts w:ascii="Calibri" w:cs="Calibri" w:eastAsia="Calibri" w:hAnsi="Calibri"/>
                <w:b w:val="false"/>
                <w:bCs w:val="false"/>
                <w:color w:val="1A202C"/>
                <w:sz w:val="16"/>
                <w:szCs w:val="16"/>
              </w:rPr>
              <w:t xml:space="preserve">Freely reusable with attribution.</w:t>
            </w:r>
          </w:p>
        </w:tc>
      </w:tr>
      <w:tr>
        <w:tc>
          <w:tcPr>
            <w:tcW w:type="dxa" w:w="1700"/>
            <w:tcMar>
              <w:top w:type="dxa" w:w="80"/>
              <w:left w:type="dxa" w:w="110"/>
              <w:bottom w:type="dxa" w:w="80"/>
              <w:right w:type="dxa" w:w="110"/>
            </w:tcMar>
          </w:tcPr>
          <w:p>
            <w:r>
              <w:rPr>
                <w:rFonts w:ascii="Calibri" w:cs="Calibri" w:eastAsia="Calibri" w:hAnsi="Calibri"/>
                <w:b/>
                <w:bCs/>
                <w:color w:val="12335C"/>
                <w:sz w:val="16"/>
                <w:szCs w:val="16"/>
              </w:rPr>
              <w:t xml:space="preserve">Department of Education (Vic)</w:t>
            </w:r>
          </w:p>
        </w:tc>
        <w:tc>
          <w:tcPr>
            <w:tcW w:type="dxa" w:w="2500"/>
            <w:tcMar>
              <w:top w:type="dxa" w:w="80"/>
              <w:left w:type="dxa" w:w="110"/>
              <w:bottom w:type="dxa" w:w="80"/>
              <w:right w:type="dxa" w:w="110"/>
            </w:tcMar>
          </w:tcPr>
          <w:p>
            <w:r>
              <w:rPr>
                <w:rFonts w:ascii="Calibri" w:cs="Calibri" w:eastAsia="Calibri" w:hAnsi="Calibri"/>
                <w:b w:val="false"/>
                <w:bCs w:val="false"/>
                <w:color w:val="1A202C"/>
                <w:sz w:val="16"/>
                <w:szCs w:val="16"/>
              </w:rPr>
              <w:t xml:space="preserve">Policy and Advisory Library; swimming policy; Respectful Relationships materials</w:t>
            </w:r>
          </w:p>
        </w:tc>
        <w:tc>
          <w:tcPr>
            <w:tcW w:type="dxa" w:w="2200"/>
            <w:tcMar>
              <w:top w:type="dxa" w:w="80"/>
              <w:left w:type="dxa" w:w="110"/>
              <w:bottom w:type="dxa" w:w="80"/>
              <w:right w:type="dxa" w:w="110"/>
            </w:tcMar>
          </w:tcPr>
          <w:p>
            <w:r>
              <w:rPr>
                <w:rFonts w:ascii="Calibri" w:cs="Calibri" w:eastAsia="Calibri" w:hAnsi="Calibri"/>
                <w:b w:val="false"/>
                <w:bCs w:val="false"/>
                <w:color w:val="1A202C"/>
                <w:sz w:val="16"/>
                <w:szCs w:val="16"/>
              </w:rPr>
              <w:t xml:space="preserve">© State of Victoria.</w:t>
            </w:r>
          </w:p>
        </w:tc>
        <w:tc>
          <w:tcPr>
            <w:tcW w:type="dxa" w:w="2626"/>
            <w:tcMar>
              <w:top w:type="dxa" w:w="80"/>
              <w:left w:type="dxa" w:w="110"/>
              <w:bottom w:type="dxa" w:w="80"/>
              <w:right w:type="dxa" w:w="110"/>
            </w:tcMar>
          </w:tcPr>
          <w:p>
            <w:r>
              <w:rPr>
                <w:rFonts w:ascii="Calibri" w:cs="Calibri" w:eastAsia="Calibri" w:hAnsi="Calibri"/>
                <w:b w:val="false"/>
                <w:bCs w:val="false"/>
                <w:color w:val="1A202C"/>
                <w:sz w:val="16"/>
                <w:szCs w:val="16"/>
              </w:rPr>
              <w:t xml:space="preserve">Link to policy rather than copying it — a stale copy is a compliance risk.</w:t>
            </w:r>
          </w:p>
        </w:tc>
      </w:tr>
      <w:tr>
        <w:tc>
          <w:tcPr>
            <w:tcW w:type="dxa" w:w="1700"/>
            <w:shd w:fill="EEF3F9" w:color="auto" w:val="clear"/>
            <w:tcMar>
              <w:top w:type="dxa" w:w="80"/>
              <w:left w:type="dxa" w:w="110"/>
              <w:bottom w:type="dxa" w:w="80"/>
              <w:right w:type="dxa" w:w="110"/>
            </w:tcMar>
          </w:tcPr>
          <w:p>
            <w:r>
              <w:rPr>
                <w:rFonts w:ascii="Calibri" w:cs="Calibri" w:eastAsia="Calibri" w:hAnsi="Calibri"/>
                <w:b/>
                <w:bCs/>
                <w:color w:val="12335C"/>
                <w:sz w:val="16"/>
                <w:szCs w:val="16"/>
              </w:rPr>
              <w:t xml:space="preserve">Consumer Affairs Victoria</w:t>
            </w:r>
          </w:p>
        </w:tc>
        <w:tc>
          <w:tcPr>
            <w:tcW w:type="dxa" w:w="2500"/>
            <w:shd w:fill="EEF3F9" w:color="auto" w:val="clear"/>
            <w:tcMar>
              <w:top w:type="dxa" w:w="80"/>
              <w:left w:type="dxa" w:w="110"/>
              <w:bottom w:type="dxa" w:w="80"/>
              <w:right w:type="dxa" w:w="110"/>
            </w:tcMar>
          </w:tcPr>
          <w:p>
            <w:r>
              <w:rPr>
                <w:rFonts w:ascii="Calibri" w:cs="Calibri" w:eastAsia="Calibri" w:hAnsi="Calibri"/>
                <w:b w:val="false"/>
                <w:bCs w:val="false"/>
                <w:color w:val="1A202C"/>
                <w:sz w:val="16"/>
                <w:szCs w:val="16"/>
              </w:rPr>
              <w:t xml:space="preserve">Pool and spa fencing legislation</w:t>
            </w:r>
          </w:p>
        </w:tc>
        <w:tc>
          <w:tcPr>
            <w:tcW w:type="dxa" w:w="2200"/>
            <w:shd w:fill="EEF3F9" w:color="auto" w:val="clear"/>
            <w:tcMar>
              <w:top w:type="dxa" w:w="80"/>
              <w:left w:type="dxa" w:w="110"/>
              <w:bottom w:type="dxa" w:w="80"/>
              <w:right w:type="dxa" w:w="110"/>
            </w:tcMar>
          </w:tcPr>
          <w:p>
            <w:r>
              <w:rPr>
                <w:rFonts w:ascii="Calibri" w:cs="Calibri" w:eastAsia="Calibri" w:hAnsi="Calibri"/>
                <w:b w:val="false"/>
                <w:bCs w:val="false"/>
                <w:color w:val="1A202C"/>
                <w:sz w:val="16"/>
                <w:szCs w:val="16"/>
              </w:rPr>
              <w:t xml:space="preserve">© State of Victoria.</w:t>
            </w:r>
          </w:p>
        </w:tc>
        <w:tc>
          <w:tcPr>
            <w:tcW w:type="dxa" w:w="2626"/>
            <w:shd w:fill="EEF3F9" w:color="auto" w:val="clear"/>
            <w:tcMar>
              <w:top w:type="dxa" w:w="80"/>
              <w:left w:type="dxa" w:w="110"/>
              <w:bottom w:type="dxa" w:w="80"/>
              <w:right w:type="dxa" w:w="110"/>
            </w:tcMar>
          </w:tcPr>
          <w:p>
            <w:r>
              <w:rPr>
                <w:rFonts w:ascii="Calibri" w:cs="Calibri" w:eastAsia="Calibri" w:hAnsi="Calibri"/>
                <w:b w:val="false"/>
                <w:bCs w:val="false"/>
                <w:color w:val="1A202C"/>
                <w:sz w:val="16"/>
                <w:szCs w:val="16"/>
              </w:rPr>
              <w:t xml:space="preserve">Link to the current page; requirements change.</w:t>
            </w:r>
          </w:p>
        </w:tc>
      </w:tr>
      <w:tr>
        <w:tc>
          <w:tcPr>
            <w:tcW w:type="dxa" w:w="1700"/>
            <w:tcMar>
              <w:top w:type="dxa" w:w="80"/>
              <w:left w:type="dxa" w:w="110"/>
              <w:bottom w:type="dxa" w:w="80"/>
              <w:right w:type="dxa" w:w="110"/>
            </w:tcMar>
          </w:tcPr>
          <w:p>
            <w:r>
              <w:rPr>
                <w:rFonts w:ascii="Calibri" w:cs="Calibri" w:eastAsia="Calibri" w:hAnsi="Calibri"/>
                <w:b/>
                <w:bCs/>
                <w:color w:val="12335C"/>
                <w:sz w:val="16"/>
                <w:szCs w:val="16"/>
              </w:rPr>
              <w:t xml:space="preserve">Google Fonts</w:t>
            </w:r>
          </w:p>
        </w:tc>
        <w:tc>
          <w:tcPr>
            <w:tcW w:type="dxa" w:w="2500"/>
            <w:tcMar>
              <w:top w:type="dxa" w:w="80"/>
              <w:left w:type="dxa" w:w="110"/>
              <w:bottom w:type="dxa" w:w="80"/>
              <w:right w:type="dxa" w:w="110"/>
            </w:tcMar>
          </w:tcPr>
          <w:p>
            <w:r>
              <w:rPr>
                <w:rFonts w:ascii="Calibri" w:cs="Calibri" w:eastAsia="Calibri" w:hAnsi="Calibri"/>
                <w:b w:val="false"/>
                <w:bCs w:val="false"/>
                <w:color w:val="1A202C"/>
                <w:sz w:val="16"/>
                <w:szCs w:val="16"/>
              </w:rPr>
              <w:t xml:space="preserve">Syne, Inter, JetBrains Mono, DM Mono, Playfair Display</w:t>
            </w:r>
          </w:p>
        </w:tc>
        <w:tc>
          <w:tcPr>
            <w:tcW w:type="dxa" w:w="2200"/>
            <w:tcMar>
              <w:top w:type="dxa" w:w="80"/>
              <w:left w:type="dxa" w:w="110"/>
              <w:bottom w:type="dxa" w:w="80"/>
              <w:right w:type="dxa" w:w="110"/>
            </w:tcMar>
          </w:tcPr>
          <w:p>
            <w:r>
              <w:rPr>
                <w:rFonts w:ascii="Calibri" w:cs="Calibri" w:eastAsia="Calibri" w:hAnsi="Calibri"/>
                <w:b w:val="false"/>
                <w:bCs w:val="false"/>
                <w:color w:val="1A202C"/>
                <w:sz w:val="16"/>
                <w:szCs w:val="16"/>
              </w:rPr>
              <w:t xml:space="preserve">SIL Open Font License 1.1.</w:t>
            </w:r>
          </w:p>
        </w:tc>
        <w:tc>
          <w:tcPr>
            <w:tcW w:type="dxa" w:w="2626"/>
            <w:tcMar>
              <w:top w:type="dxa" w:w="80"/>
              <w:left w:type="dxa" w:w="110"/>
              <w:bottom w:type="dxa" w:w="80"/>
              <w:right w:type="dxa" w:w="110"/>
            </w:tcMar>
          </w:tcPr>
          <w:p>
            <w:r>
              <w:rPr>
                <w:rFonts w:ascii="Calibri" w:cs="Calibri" w:eastAsia="Calibri" w:hAnsi="Calibri"/>
                <w:b w:val="false"/>
                <w:bCs w:val="false"/>
                <w:color w:val="1A202C"/>
                <w:sz w:val="16"/>
                <w:szCs w:val="16"/>
              </w:rPr>
              <w:t xml:space="preserve">Free to use, embed and redistribute commercially. No attribution required in output.</w:t>
            </w:r>
          </w:p>
        </w:tc>
      </w:tr>
    </w:tbl>
    <w:p>
      <w:r>
        <w:br w:type="page"/>
      </w:r>
    </w:p>
    <w:p>
      <w:pPr>
        <w:pStyle w:val="Heading1"/>
        <w:pBdr>
          <w:bottom w:val="single" w:color="1F6FB2" w:sz="12" w:space="6"/>
        </w:pBdr>
        <w:spacing w:after="160" w:before="340"/>
      </w:pPr>
      <w:r>
        <w:rPr>
          <w:rFonts w:ascii="Calibri" w:cs="Calibri" w:eastAsia="Calibri" w:hAnsi="Calibri"/>
          <w:b/>
          <w:bCs/>
          <w:color w:val="12335C"/>
          <w:sz w:val="30"/>
          <w:szCs w:val="30"/>
        </w:rPr>
        <w:t xml:space="preserve">4. Educational use of third-party material</w:t>
      </w:r>
    </w:p>
    <w:p>
      <w:pPr>
        <w:pStyle w:val="Heading2"/>
        <w:pBdr>
          <w:bottom w:val="single" w:color="C8D6E5" w:sz="6" w:space="4"/>
        </w:pBdr>
        <w:spacing w:after="110" w:before="280"/>
      </w:pPr>
      <w:r>
        <w:rPr>
          <w:rFonts w:ascii="Calibri" w:cs="Calibri" w:eastAsia="Calibri" w:hAnsi="Calibri"/>
          <w:b/>
          <w:bCs/>
          <w:color w:val="12335C"/>
          <w:sz w:val="24"/>
          <w:szCs w:val="24"/>
        </w:rPr>
        <w:t xml:space="preserve">Fair dealing for research or study</w:t>
      </w:r>
    </w:p>
    <w:p>
      <w:pPr>
        <w:spacing w:after="120" w:line="264"/>
      </w:pPr>
      <w:r>
        <w:rPr>
          <w:rFonts w:ascii="Calibri" w:cs="Calibri" w:eastAsia="Calibri" w:hAnsi="Calibri"/>
          <w:sz w:val="20"/>
          <w:szCs w:val="20"/>
        </w:rPr>
        <w:t xml:space="preserve">Sections 40 and 103C of the Copyright Act 1968 (Cth) permit dealing with copyright material for research or study, subject to a fairness test considering the purpose, the nature of the work, the amount taken and the effect on the market for the original. This supports quoting statistics and citing guidelines. It does not support reproducing a substantial part of someone else’s resource and distributing it as your own.</w:t>
      </w:r>
    </w:p>
    <w:p>
      <w:pPr>
        <w:pStyle w:val="Heading2"/>
        <w:pBdr>
          <w:bottom w:val="single" w:color="C8D6E5" w:sz="6" w:space="4"/>
        </w:pBdr>
        <w:spacing w:after="110" w:before="280"/>
      </w:pPr>
      <w:r>
        <w:rPr>
          <w:rFonts w:ascii="Calibri" w:cs="Calibri" w:eastAsia="Calibri" w:hAnsi="Calibri"/>
          <w:b/>
          <w:bCs/>
          <w:color w:val="12335C"/>
          <w:sz w:val="24"/>
          <w:szCs w:val="24"/>
        </w:rPr>
        <w:t xml:space="preserve">The statutory educational licence</w:t>
      </w:r>
    </w:p>
    <w:p>
      <w:pPr>
        <w:spacing w:after="120" w:line="264"/>
      </w:pPr>
      <w:r>
        <w:rPr>
          <w:rFonts w:ascii="Calibri" w:cs="Calibri" w:eastAsia="Calibri" w:hAnsi="Calibri"/>
          <w:sz w:val="20"/>
          <w:szCs w:val="20"/>
        </w:rPr>
        <w:t xml:space="preserve">Part VB (now sections 113P and following) allows educational institutions to copy and communicate material for educational purposes under a statutory licence administered by the Copyright Agency. Most Australian schools are covered. This is what lets a teacher photocopy a chapter for a class — it is not a general permission to publish material on a public website or in a commercial product.</w:t>
      </w:r>
    </w:p>
    <w:p>
      <w:pPr>
        <w:pBdr>
          <w:left w:val="single" w:color="1F6FB2" w:sz="18" w:space="10"/>
        </w:pBdr>
        <w:spacing w:after="160" w:before="80"/>
        <w:ind w:left="120"/>
      </w:pPr>
      <w:r>
        <w:rPr>
          <w:rFonts w:ascii="Calibri" w:cs="Calibri" w:eastAsia="Calibri" w:hAnsi="Calibri"/>
          <w:b/>
          <w:bCs/>
          <w:color w:val="12335C"/>
          <w:sz w:val="18"/>
          <w:szCs w:val="18"/>
        </w:rPr>
        <w:t xml:space="preserve">Not legal advice.  </w:t>
      </w:r>
      <w:r>
        <w:rPr>
          <w:rFonts w:ascii="Calibri" w:cs="Calibri" w:eastAsia="Calibri" w:hAnsi="Calibri"/>
          <w:sz w:val="18"/>
          <w:szCs w:val="18"/>
        </w:rPr>
        <w:t xml:space="preserve">This document is general information. For anything involving commercial publication, translation for distribution, or reproduction of another organisation’s material at scale, get advice from a copyright lawyer or the Copyright Agency.</w:t>
      </w:r>
    </w:p>
    <w:p>
      <w:pPr>
        <w:pStyle w:val="Heading1"/>
        <w:pBdr>
          <w:bottom w:val="single" w:color="1F6FB2" w:sz="12" w:space="6"/>
        </w:pBdr>
        <w:spacing w:after="160" w:before="340"/>
      </w:pPr>
      <w:r>
        <w:rPr>
          <w:rFonts w:ascii="Calibri" w:cs="Calibri" w:eastAsia="Calibri" w:hAnsi="Calibri"/>
          <w:b/>
          <w:bCs/>
          <w:color w:val="12335C"/>
          <w:sz w:val="30"/>
          <w:szCs w:val="30"/>
        </w:rPr>
        <w:t xml:space="preserve">5. Data and statistics</w:t>
      </w:r>
    </w:p>
    <w:p>
      <w:pPr>
        <w:spacing w:after="120" w:line="264"/>
      </w:pPr>
      <w:r>
        <w:rPr>
          <w:rFonts w:ascii="Calibri" w:cs="Calibri" w:eastAsia="Calibri" w:hAnsi="Calibri"/>
          <w:sz w:val="20"/>
          <w:szCs w:val="20"/>
        </w:rPr>
        <w:t xml:space="preserve">Facts and statistics are not themselves protected by copyright — the expression of them is. You may state that Victoria recorded 52 fatal drownings in 2024–25. You may not reproduce Life Saving Victoria’s infographics, charts or report layout.</w:t>
      </w:r>
    </w:p>
    <w:p>
      <w:pPr>
        <w:spacing w:after="120" w:line="264"/>
      </w:pPr>
      <w:r>
        <w:rPr>
          <w:rFonts w:ascii="Calibri" w:cs="Calibri" w:eastAsia="Calibri" w:hAnsi="Calibri"/>
          <w:sz w:val="20"/>
          <w:szCs w:val="20"/>
        </w:rPr>
        <w:t xml:space="preserve">Statistics throughout this suite are current to:</w:t>
      </w:r>
    </w:p>
    <w:p>
      <w:pPr>
        <w:pStyle w:val="ListParagraph"/>
        <w:numPr>
          <w:ilvl w:val="0"/>
          <w:numId w:val="2"/>
        </w:numPr>
        <w:spacing w:after="60"/>
      </w:pPr>
      <w:r>
        <w:rPr>
          <w:rFonts w:ascii="Calibri" w:cs="Calibri" w:eastAsia="Calibri" w:hAnsi="Calibri"/>
          <w:sz w:val="20"/>
          <w:szCs w:val="20"/>
        </w:rPr>
        <w:t xml:space="preserve">Life Saving Victoria, Victorian Drowning Report 2024–25 (2025)</w:t>
      </w:r>
    </w:p>
    <w:p>
      <w:pPr>
        <w:pStyle w:val="ListParagraph"/>
        <w:numPr>
          <w:ilvl w:val="0"/>
          <w:numId w:val="2"/>
        </w:numPr>
        <w:spacing w:after="60"/>
      </w:pPr>
      <w:r>
        <w:rPr>
          <w:rFonts w:ascii="Calibri" w:cs="Calibri" w:eastAsia="Calibri" w:hAnsi="Calibri"/>
          <w:sz w:val="20"/>
          <w:szCs w:val="20"/>
        </w:rPr>
        <w:t xml:space="preserve">Royal Life Saving Australia, National Drowning Report 2026</w:t>
      </w:r>
    </w:p>
    <w:p>
      <w:pPr>
        <w:pStyle w:val="ListParagraph"/>
        <w:numPr>
          <w:ilvl w:val="0"/>
          <w:numId w:val="2"/>
        </w:numPr>
        <w:spacing w:after="60"/>
      </w:pPr>
      <w:r>
        <w:rPr>
          <w:rFonts w:ascii="Calibri" w:cs="Calibri" w:eastAsia="Calibri" w:hAnsi="Calibri"/>
          <w:sz w:val="20"/>
          <w:szCs w:val="20"/>
        </w:rPr>
        <w:t xml:space="preserve">Surf Life Saving Australia, Summer Coastal Drowning Report 2025/26 (2026)</w:t>
      </w:r>
    </w:p>
    <w:p>
      <w:pPr>
        <w:spacing w:after="120" w:line="264"/>
      </w:pPr>
      <w:r>
        <w:rPr>
          <w:rFonts w:ascii="Calibri" w:cs="Calibri" w:eastAsia="Calibri" w:hAnsi="Calibri"/>
          <w:sz w:val="20"/>
          <w:szCs w:val="20"/>
        </w:rPr>
        <w:t xml:space="preserve">Always cite the report and year. Drowning figures change annually and an uncited number rapidly becomes an unverifiable one.</w:t>
      </w:r>
    </w:p>
    <w:p>
      <w:pPr>
        <w:pStyle w:val="Heading1"/>
        <w:pBdr>
          <w:bottom w:val="single" w:color="1F6FB2" w:sz="12" w:space="6"/>
        </w:pBdr>
        <w:spacing w:after="160" w:before="340"/>
      </w:pPr>
      <w:r>
        <w:rPr>
          <w:rFonts w:ascii="Calibri" w:cs="Calibri" w:eastAsia="Calibri" w:hAnsi="Calibri"/>
          <w:b/>
          <w:bCs/>
          <w:color w:val="12335C"/>
          <w:sz w:val="30"/>
          <w:szCs w:val="30"/>
        </w:rPr>
        <w:t xml:space="preserve">6. AI-assisted development</w:t>
      </w:r>
    </w:p>
    <w:p>
      <w:pPr>
        <w:spacing w:after="120" w:line="264"/>
      </w:pPr>
      <w:r>
        <w:rPr>
          <w:rFonts w:ascii="Calibri" w:cs="Calibri" w:eastAsia="Calibri" w:hAnsi="Calibri"/>
          <w:sz w:val="20"/>
          <w:szCs w:val="20"/>
        </w:rPr>
        <w:t xml:space="preserve">This suite was developed with AI assistance for research, drafting, formatting and code generation. Educational judgement, curriculum alignment decisions, pedagogical sequencing and final content review are the author’s.</w:t>
      </w:r>
    </w:p>
    <w:p>
      <w:pPr>
        <w:spacing w:after="120" w:line="264"/>
      </w:pPr>
      <w:r>
        <w:rPr>
          <w:rFonts w:ascii="Calibri" w:cs="Calibri" w:eastAsia="Calibri" w:hAnsi="Calibri"/>
          <w:sz w:val="20"/>
          <w:szCs w:val="20"/>
        </w:rPr>
        <w:t xml:space="preserve">The position on copyright in AI-assisted work is unsettled in Australia; the prevailing view is that material requires human authorship to attract copyright protection. The substantive intellectual contribution here — unit structure, curriculum mapping, task design, differentiation decisions — is human. This is disclosed rather than concealed, because teachers evaluating a resource are entitled to know how it was made.</w:t>
      </w:r>
    </w:p>
    <w:p>
      <w:pPr>
        <w:pStyle w:val="Heading1"/>
        <w:pBdr>
          <w:bottom w:val="single" w:color="1F6FB2" w:sz="12" w:space="6"/>
        </w:pBdr>
        <w:spacing w:after="160" w:before="340"/>
      </w:pPr>
      <w:r>
        <w:rPr>
          <w:rFonts w:ascii="Calibri" w:cs="Calibri" w:eastAsia="Calibri" w:hAnsi="Calibri"/>
          <w:b/>
          <w:bCs/>
          <w:color w:val="12335C"/>
          <w:sz w:val="30"/>
          <w:szCs w:val="30"/>
        </w:rPr>
        <w:t xml:space="preserve">7. Errors and copyright concerns</w:t>
      </w:r>
    </w:p>
    <w:p>
      <w:pPr>
        <w:spacing w:after="120" w:line="264"/>
      </w:pPr>
      <w:r>
        <w:rPr>
          <w:rFonts w:ascii="Calibri" w:cs="Calibri" w:eastAsia="Calibri" w:hAnsi="Calibri"/>
          <w:sz w:val="20"/>
          <w:szCs w:val="20"/>
        </w:rPr>
        <w:t xml:space="preserve">If you believe material in this suite infringes your copyright, or you spot a factual error, contact swimwater.safety@gmail.com. Errors are corrected and republished; anything genuinely infringing is removed.</w:t>
      </w:r>
    </w:p>
    <w:p>
      <w:pPr>
        <w:spacing w:after="120" w:line="264"/>
      </w:pPr>
      <w:r>
        <w:rPr>
          <w:rFonts w:ascii="Calibri" w:cs="Calibri" w:eastAsia="Calibri" w:hAnsi="Calibri"/>
          <w:i/>
          <w:iCs/>
          <w:sz w:val="20"/>
          <w:szCs w:val="20"/>
        </w:rPr>
        <w:t xml:space="preserve">Every attempt has been made to identify and correctly attribute third-party material. Where that has not been possible, corrections are welcomed.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5"/>
        <w:szCs w:val="15"/>
      </w:rPr>
      <w:t xml:space="preserve">© 2026 Emilie Harrison · CC BY 4.0 · Page </w:t>
    </w:r>
    <w:r>
      <w:rPr>
        <w:color w:val="4A5568"/>
        <w:sz w:val="15"/>
        <w:szCs w:val="15"/>
      </w:rPr>
      <w:fldChar w:fldCharType="begin"/>
      <w:instrText xml:space="preserve">PAGE</w:instrText>
      <w:fldChar w:fldCharType="separate"/>
      <w:fldChar w:fldCharType="end"/>
    </w:r>
    <w:r>
      <w:rPr>
        <w:rFonts w:ascii="Calibri" w:cs="Calibri" w:eastAsia="Calibri" w:hAnsi="Calibri"/>
        <w:color w:val="4A5568"/>
        <w:sz w:val="15"/>
        <w:szCs w:val="15"/>
      </w:rPr>
      <w:t xml:space="preserve"> of </w:t>
    </w:r>
    <w:r>
      <w:rPr>
        <w:color w:val="4A556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6E5" w:sz="4" w:space="4"/>
      </w:pBdr>
      <w:jc w:val="right"/>
    </w:pPr>
    <w:r>
      <w:rPr>
        <w:rFonts w:ascii="Calibri" w:cs="Calibri" w:eastAsia="Calibri" w:hAnsi="Calibri"/>
        <w:color w:val="4A5568"/>
        <w:sz w:val="15"/>
        <w:szCs w:val="15"/>
      </w:rPr>
      <w:t xml:space="preserve">Copyright, Ownership &amp; Licensing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Copyright, Ownership &amp; Licensing</dc:title>
  <dc:creator>Emilie Harrison</dc:creator>
  <dc:description>Swim &amp; Water Safety Teaching Hub · Licensed CC BY 4.0 · Reviewed September 2026</dc:description>
  <cp:lastModifiedBy>Un-named</cp:lastModifiedBy>
  <cp:revision>1</cp:revision>
  <dcterms:created xsi:type="dcterms:W3CDTF">2026-09-16T01:45:58.126Z</dcterms:created>
  <dcterms:modified xsi:type="dcterms:W3CDTF">2026-09-16T01:45:58.127Z</dcterms:modified>
</cp:coreProperties>
</file>

<file path=docProps/custom.xml><?xml version="1.0" encoding="utf-8"?>
<Properties xmlns="http://schemas.openxmlformats.org/officeDocument/2006/custom-properties" xmlns:vt="http://schemas.openxmlformats.org/officeDocument/2006/docPropsVTypes"/>
</file>