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r>
        <w:rPr>
          <w:rFonts w:ascii="Calibri" w:cs="Calibri" w:eastAsia="Calibri" w:hAnsi="Calibri"/>
          <w:b/>
          <w:bCs/>
          <w:color w:val="1F6FB2"/>
          <w:spacing w:val="40"/>
          <w:sz w:val="18"/>
          <w:szCs w:val="18"/>
        </w:rPr>
        <w:t xml:space="preserve">CURRICULUM REFERENCE · SEPTEMBER 2026</w:t>
      </w:r>
    </w:p>
    <w:p>
      <w:pPr>
        <w:spacing w:before="200"/>
      </w:pPr>
      <w:r>
        <w:rPr>
          <w:rFonts w:ascii="Calibri" w:cs="Calibri" w:eastAsia="Calibri" w:hAnsi="Calibri"/>
          <w:b/>
          <w:bCs/>
          <w:color w:val="12335C"/>
          <w:sz w:val="52"/>
          <w:szCs w:val="52"/>
        </w:rPr>
        <w:t xml:space="preserve">Victorian Curriculum 2.0 vs Australian Curriculum 9.0</w:t>
      </w:r>
    </w:p>
    <w:p>
      <w:pPr>
        <w:pBdr>
          <w:top w:val="single" w:color="1F6FB2" w:sz="12" w:space="8"/>
        </w:pBdr>
        <w:spacing w:before="200"/>
      </w:pPr>
      <w:r>
        <w:rPr>
          <w:rFonts w:ascii="Calibri" w:cs="Calibri" w:eastAsia="Calibri" w:hAnsi="Calibri"/>
          <w:color w:val="4A5568"/>
          <w:sz w:val="21"/>
          <w:szCs w:val="21"/>
        </w:rPr>
        <w:t xml:space="preserve">HPE content description comparison · Levels 7–8 and 9–10 · all 40 Victorian codes mapped</w:t>
      </w:r>
    </w:p>
    <w:p>
      <w:pPr>
        <w:spacing w:before="300"/>
      </w:pPr>
      <w:r>
        <w:rPr>
          <w:rFonts w:ascii="Calibri" w:cs="Calibri" w:eastAsia="Calibri" w:hAnsi="Calibri"/>
          <w:i/>
          <w:iCs/>
          <w:color w:val="4A5568"/>
          <w:sz w:val="18"/>
          <w:szCs w:val="18"/>
        </w:rPr>
        <w:t xml:space="preserve">© 2026 Emilie Harrison. Licensed CC BY 4.0 — free to copy, adapt and redistribute, including commercially, with attribution. Third-party material is not covered.</w:t>
      </w:r>
    </w:p>
    <w:p>
      <w:r>
        <w:br w:type="page"/>
      </w:r>
    </w:p>
    <w:p>
      <w:pPr>
        <w:pStyle w:val="Heading1"/>
        <w:pBdr>
          <w:bottom w:val="single" w:color="1F6FB2" w:sz="12" w:space="6"/>
        </w:pBdr>
        <w:spacing w:after="160" w:before="340"/>
      </w:pPr>
      <w:r>
        <w:rPr>
          <w:rFonts w:ascii="Calibri" w:cs="Calibri" w:eastAsia="Calibri" w:hAnsi="Calibri"/>
          <w:b/>
          <w:bCs/>
          <w:color w:val="12335C"/>
          <w:sz w:val="30"/>
          <w:szCs w:val="30"/>
        </w:rPr>
        <w:t xml:space="preserve">The single most common mapping error</w:t>
      </w:r>
    </w:p>
    <w:p>
      <w:pPr>
        <w:spacing w:after="120" w:line="264"/>
      </w:pPr>
      <w:r>
        <w:rPr>
          <w:rFonts w:ascii="Calibri" w:cs="Calibri" w:eastAsia="Calibri" w:hAnsi="Calibri"/>
          <w:sz w:val="20"/>
          <w:szCs w:val="20"/>
        </w:rPr>
        <w:t xml:space="preserve">Victoria has ten movement content descriptions per band. The Australian Curriculum has nine. The extra Victorian description sits at position four — VC2HP8M04 and VC2HP10M04, covering movement composition — and has no Australian equivalent.</w:t>
      </w:r>
    </w:p>
    <w:p>
      <w:pPr>
        <w:pBdr>
          <w:left w:val="single" w:color="B02A20" w:sz="18" w:space="10"/>
        </w:pBdr>
        <w:spacing w:after="160" w:before="80"/>
        <w:ind w:left="120"/>
      </w:pPr>
      <w:r>
        <w:rPr>
          <w:rFonts w:ascii="Calibri" w:cs="Calibri" w:eastAsia="Calibri" w:hAnsi="Calibri"/>
          <w:b/>
          <w:bCs/>
          <w:color w:val="B02A20"/>
          <w:sz w:val="18"/>
          <w:szCs w:val="18"/>
        </w:rPr>
        <w:t xml:space="preserve">Consequence.  </w:t>
      </w:r>
      <w:r>
        <w:rPr>
          <w:rFonts w:ascii="Calibri" w:cs="Calibri" w:eastAsia="Calibri" w:hAnsi="Calibri"/>
          <w:sz w:val="18"/>
          <w:szCs w:val="18"/>
        </w:rPr>
        <w:t xml:space="preserve">Because it is inserted rather than appended, every Victorian movement code from M05 onward sits one position ahead of its Australian counterpart. VC2HP8M06 maps to AC9HP8M05, not AC9HP8M06. A straight number-for-number substitution will be wrong for six of ten movement codes in each band.</w:t>
      </w:r>
    </w:p>
    <w:p>
      <w:pPr>
        <w:pStyle w:val="Heading1"/>
        <w:pBdr>
          <w:bottom w:val="single" w:color="1F6FB2" w:sz="12" w:space="6"/>
        </w:pBdr>
        <w:spacing w:after="160" w:before="340"/>
      </w:pPr>
      <w:r>
        <w:rPr>
          <w:rFonts w:ascii="Calibri" w:cs="Calibri" w:eastAsia="Calibri" w:hAnsi="Calibri"/>
          <w:b/>
          <w:bCs/>
          <w:color w:val="12335C"/>
          <w:sz w:val="30"/>
          <w:szCs w:val="30"/>
        </w:rPr>
        <w:t xml:space="preserve">What Victoria requires that the Australian Curriculum does not</w:t>
      </w:r>
    </w:p>
    <w:p>
      <w:pPr>
        <w:pStyle w:val="Heading2"/>
        <w:pBdr>
          <w:bottom w:val="single" w:color="C8D6E5" w:sz="6" w:space="4"/>
        </w:pBdr>
        <w:spacing w:after="110" w:before="280"/>
      </w:pPr>
      <w:r>
        <w:rPr>
          <w:rFonts w:ascii="Calibri" w:cs="Calibri" w:eastAsia="Calibri" w:hAnsi="Calibri"/>
          <w:b/>
          <w:bCs/>
          <w:color w:val="12335C"/>
          <w:sz w:val="24"/>
          <w:szCs w:val="24"/>
        </w:rPr>
        <w:t xml:space="preserve">1. First aid and CPR are mandated content</w:t>
      </w:r>
    </w:p>
    <w:p>
      <w:pPr>
        <w:spacing w:after="120" w:line="264"/>
      </w:pPr>
      <w:r>
        <w:rPr>
          <w:rFonts w:ascii="Calibri" w:cs="Calibri" w:eastAsia="Calibri" w:hAnsi="Calibri"/>
          <w:sz w:val="20"/>
          <w:szCs w:val="20"/>
        </w:rPr>
        <w:t xml:space="preserve">VC2HP8P08 adds "(including basic first aid and CPR)". VC2HP10P08 adds "(including first aid and CPR)". The Australian Curriculum descriptions contain no such wording. A Victorian HPE program with no first aid or CPR component is not meeting these descriptions at either band. This is the most commonly missed difference between the two frameworks.</w:t>
      </w:r>
    </w:p>
    <w:p>
      <w:pPr>
        <w:pStyle w:val="Heading2"/>
        <w:pBdr>
          <w:bottom w:val="single" w:color="C8D6E5" w:sz="6" w:space="4"/>
        </w:pBdr>
        <w:spacing w:after="110" w:before="280"/>
      </w:pPr>
      <w:r>
        <w:rPr>
          <w:rFonts w:ascii="Calibri" w:cs="Calibri" w:eastAsia="Calibri" w:hAnsi="Calibri"/>
          <w:b/>
          <w:bCs/>
          <w:color w:val="12335C"/>
          <w:sz w:val="24"/>
          <w:szCs w:val="24"/>
        </w:rPr>
        <w:t xml:space="preserve">2. Online consent is explicit</w:t>
      </w:r>
    </w:p>
    <w:p>
      <w:pPr>
        <w:spacing w:after="120" w:line="264"/>
      </w:pPr>
      <w:r>
        <w:rPr>
          <w:rFonts w:ascii="Calibri" w:cs="Calibri" w:eastAsia="Calibri" w:hAnsi="Calibri"/>
          <w:sz w:val="20"/>
          <w:szCs w:val="20"/>
        </w:rPr>
        <w:t xml:space="preserve">VC2HP8P07 requires consent skills "across multiple settings (including online and offline)". The Australian Curriculum wording stops at consent generally. Digital consent is named Victorian content, not an extension activity.</w:t>
      </w:r>
    </w:p>
    <w:p>
      <w:pPr>
        <w:pStyle w:val="Heading2"/>
        <w:pBdr>
          <w:bottom w:val="single" w:color="C8D6E5" w:sz="6" w:space="4"/>
        </w:pBdr>
        <w:spacing w:after="110" w:before="280"/>
      </w:pPr>
      <w:r>
        <w:rPr>
          <w:rFonts w:ascii="Calibri" w:cs="Calibri" w:eastAsia="Calibri" w:hAnsi="Calibri"/>
          <w:b/>
          <w:bCs/>
          <w:color w:val="12335C"/>
          <w:sz w:val="24"/>
          <w:szCs w:val="24"/>
        </w:rPr>
        <w:t xml:space="preserve">3. Aquatic settings are named</w:t>
      </w:r>
    </w:p>
    <w:p>
      <w:pPr>
        <w:spacing w:after="120" w:line="264"/>
      </w:pPr>
      <w:r>
        <w:rPr>
          <w:rFonts w:ascii="Calibri" w:cs="Calibri" w:eastAsia="Calibri" w:hAnsi="Calibri"/>
          <w:sz w:val="20"/>
          <w:szCs w:val="20"/>
        </w:rPr>
        <w:t xml:space="preserve">VC2HP8M01 and VC2HP10M01 specify "indoor, outdoor and aquatic settings". AC9HP8M01 and AC9HP10M01 do not mention aquatic settings at all. This is the curriculum-level basis for Victoria’s mandated swimming and water safety requirement, and four of Victoria’s twelve focus areas refer specifically to swimming and water safety.</w:t>
      </w:r>
    </w:p>
    <w:p>
      <w:pPr>
        <w:pStyle w:val="Heading2"/>
        <w:pBdr>
          <w:bottom w:val="single" w:color="C8D6E5" w:sz="6" w:space="4"/>
        </w:pBdr>
        <w:spacing w:after="110" w:before="280"/>
      </w:pPr>
      <w:r>
        <w:rPr>
          <w:rFonts w:ascii="Calibri" w:cs="Calibri" w:eastAsia="Calibri" w:hAnsi="Calibri"/>
          <w:b/>
          <w:bCs/>
          <w:color w:val="12335C"/>
          <w:sz w:val="24"/>
          <w:szCs w:val="24"/>
        </w:rPr>
        <w:t xml:space="preserve">4. Movement composition is assessable</w:t>
      </w:r>
    </w:p>
    <w:p>
      <w:pPr>
        <w:spacing w:after="120" w:line="264"/>
      </w:pPr>
      <w:r>
        <w:rPr>
          <w:rFonts w:ascii="Calibri" w:cs="Calibri" w:eastAsia="Calibri" w:hAnsi="Calibri"/>
          <w:sz w:val="20"/>
          <w:szCs w:val="20"/>
        </w:rPr>
        <w:t xml:space="preserve">VC2HP8M04 and VC2HP10M04 require students to adapt, perform and evaluate movement sequences using the movement elements. Gymnastics and dance are the two focus areas that carry this. A program with no composition component leaves two of twenty content descriptions unaddressed per band.</w:t>
      </w:r>
    </w:p>
    <w:p>
      <w:pPr>
        <w:pStyle w:val="Heading2"/>
        <w:pBdr>
          <w:bottom w:val="single" w:color="C8D6E5" w:sz="6" w:space="4"/>
        </w:pBdr>
        <w:spacing w:after="110" w:before="280"/>
      </w:pPr>
      <w:r>
        <w:rPr>
          <w:rFonts w:ascii="Calibri" w:cs="Calibri" w:eastAsia="Calibri" w:hAnsi="Calibri"/>
          <w:b/>
          <w:bCs/>
          <w:color w:val="12335C"/>
          <w:sz w:val="24"/>
          <w:szCs w:val="24"/>
        </w:rPr>
        <w:t xml:space="preserve">5. Community scope is wider at Levels 9–10</w:t>
      </w:r>
    </w:p>
    <w:p>
      <w:pPr>
        <w:spacing w:after="120" w:line="264"/>
      </w:pPr>
      <w:r>
        <w:rPr>
          <w:rFonts w:ascii="Calibri" w:cs="Calibri" w:eastAsia="Calibri" w:hAnsi="Calibri"/>
          <w:sz w:val="20"/>
          <w:szCs w:val="20"/>
        </w:rPr>
        <w:t xml:space="preserve">Several Victorian health descriptions extend the Australian framing from "their own and others’" to "their own, others’ and community’s" — see VC2HP10P09 and VC2HP10P10. That extension is what justifies a community-facing assessment task rather than a personal-reflection one.</w:t>
      </w:r>
    </w:p>
    <w:p>
      <w:pPr>
        <w:pBdr>
          <w:left w:val="single" w:color="1F6FB2" w:sz="18" w:space="10"/>
        </w:pBdr>
        <w:spacing w:after="160" w:before="80"/>
        <w:ind w:left="120"/>
      </w:pPr>
      <w:r>
        <w:rPr>
          <w:rFonts w:ascii="Calibri" w:cs="Calibri" w:eastAsia="Calibri" w:hAnsi="Calibri"/>
          <w:b/>
          <w:bCs/>
          <w:color w:val="12335C"/>
          <w:sz w:val="18"/>
          <w:szCs w:val="18"/>
        </w:rPr>
        <w:t xml:space="preserve">Using this in the other direction.  </w:t>
      </w:r>
      <w:r>
        <w:rPr>
          <w:rFonts w:ascii="Calibri" w:cs="Calibri" w:eastAsia="Calibri" w:hAnsi="Calibri"/>
          <w:sz w:val="18"/>
          <w:szCs w:val="18"/>
        </w:rPr>
        <w:t xml:space="preserve">If you are outside Victoria and adapting Victorian resources, the health strand transfers almost intact — the P codes align one-for-one by number and most differ only in verb or scope. The movement strand needs the offset applied, and the first aid, CPR and aquatic components are additions you may keep but are not required to teach. If you are in Victoria and your documentation was built from Australian Curriculum materials, check the movement codes first. That is where the error will be.</w:t>
      </w:r>
    </w:p>
    <w:p>
      <w:r>
        <w:br w:type="page"/>
      </w:r>
    </w:p>
    <w:p>
      <w:pPr>
        <w:pStyle w:val="Heading1"/>
        <w:pBdr>
          <w:bottom w:val="single" w:color="1F6FB2" w:sz="12" w:space="6"/>
        </w:pBdr>
        <w:spacing w:after="160" w:before="340"/>
      </w:pPr>
      <w:r>
        <w:rPr>
          <w:rFonts w:ascii="Calibri" w:cs="Calibri" w:eastAsia="Calibri" w:hAnsi="Calibri"/>
          <w:b/>
          <w:bCs/>
          <w:color w:val="12335C"/>
          <w:sz w:val="30"/>
          <w:szCs w:val="30"/>
        </w:rPr>
        <w:t xml:space="preserve">Levels 7–8 — all 20 Victorian content descriptions</w:t>
      </w:r>
    </w:p>
    <w:tbl>
      <w:tblPr>
        <w:tblW w:type="dxa" w:w="9026"/>
        <w:tblBorders>
          <w:top w:val="single" w:color="C8D6E5" w:sz="2"/>
          <w:left w:val="single" w:color="C8D6E5" w:sz="2"/>
          <w:bottom w:val="single" w:color="C8D6E5" w:sz="2"/>
          <w:right w:val="single" w:color="C8D6E5" w:sz="2"/>
          <w:insideH w:val="single" w:color="C8D6E5" w:sz="2"/>
          <w:insideV w:val="single" w:color="C8D6E5" w:sz="2"/>
        </w:tblBorders>
      </w:tblPr>
      <w:tblGrid>
        <w:gridCol w:w="1500"/>
        <w:gridCol w:w="3000"/>
        <w:gridCol w:w="1500"/>
        <w:gridCol w:w="3026"/>
      </w:tblGrid>
      <w:tr>
        <w:trPr>
          <w:tblHeader/>
        </w:trPr>
        <w:tc>
          <w:tcPr>
            <w:tcW w:type="dxa" w:w="15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Victorian code</w:t>
            </w:r>
          </w:p>
        </w:tc>
        <w:tc>
          <w:tcPr>
            <w:tcW w:type="dxa" w:w="30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Students learn to …</w:t>
            </w:r>
          </w:p>
        </w:tc>
        <w:tc>
          <w:tcPr>
            <w:tcW w:type="dxa" w:w="15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AC v9.0</w:t>
            </w:r>
          </w:p>
        </w:tc>
        <w:tc>
          <w:tcPr>
            <w:tcW w:type="dxa" w:w="3026"/>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What differs</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6"/>
                <w:szCs w:val="16"/>
              </w:rPr>
              <w:t xml:space="preserve">VC2HP8P01</w:t>
            </w:r>
          </w:p>
        </w:tc>
        <w:tc>
          <w:tcPr>
            <w:tcW w:type="dxa" w:w="3000"/>
            <w:shd w:fill="EEF3F9" w:color="auto" w:val="clear"/>
            <w:tcMar>
              <w:top w:type="dxa" w:w="80"/>
              <w:left w:type="dxa" w:w="110"/>
              <w:bottom w:type="dxa" w:w="80"/>
              <w:right w:type="dxa" w:w="110"/>
            </w:tcMar>
          </w:tcPr>
          <w:p>
            <w:r>
              <w:rPr>
                <w:rFonts w:ascii="Calibri" w:cs="Calibri" w:eastAsia="Calibri" w:hAnsi="Calibri"/>
                <w:sz w:val="16"/>
                <w:szCs w:val="16"/>
              </w:rPr>
              <w:t xml:space="preserve">analyse and reflect on the influence of values and beliefs on the development of identities</w:t>
            </w:r>
          </w:p>
        </w:tc>
        <w:tc>
          <w:tcPr>
            <w:tcW w:type="dxa" w:w="15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AC9HP8P01</w:t>
            </w:r>
          </w:p>
        </w:tc>
        <w:tc>
          <w:tcPr>
            <w:tcW w:type="dxa" w:w="3026"/>
            <w:shd w:fill="EEF3F9" w:color="auto" w:val="clear"/>
            <w:tcMar>
              <w:top w:type="dxa" w:w="80"/>
              <w:left w:type="dxa" w:w="110"/>
              <w:bottom w:type="dxa" w:w="80"/>
              <w:right w:type="dxa" w:w="110"/>
            </w:tcMar>
          </w:tcPr>
          <w:p>
            <w:r>
              <w:rPr>
                <w:rFonts w:ascii="Calibri" w:cs="Calibri" w:eastAsia="Calibri" w:hAnsi="Calibri"/>
                <w:i/>
                <w:iCs/>
                <w:color w:val="4A5568"/>
                <w:sz w:val="16"/>
                <w:szCs w:val="16"/>
              </w:rPr>
              <w:t xml:space="preserve">Identical wording</w:t>
            </w:r>
          </w:p>
        </w:tc>
      </w:tr>
      <w:tr>
        <w:tc>
          <w:tcPr>
            <w:tcW w:type="dxa" w:w="1500"/>
            <w:tcMar>
              <w:top w:type="dxa" w:w="80"/>
              <w:left w:type="dxa" w:w="110"/>
              <w:bottom w:type="dxa" w:w="80"/>
              <w:right w:type="dxa" w:w="110"/>
            </w:tcMar>
          </w:tcPr>
          <w:p>
            <w:r>
              <w:rPr>
                <w:rFonts w:ascii="Calibri" w:cs="Calibri" w:eastAsia="Calibri" w:hAnsi="Calibri"/>
                <w:b/>
                <w:bCs/>
                <w:color w:val="12335C"/>
                <w:sz w:val="16"/>
                <w:szCs w:val="16"/>
              </w:rPr>
              <w:t xml:space="preserve">VC2HP8P02</w:t>
            </w:r>
          </w:p>
        </w:tc>
        <w:tc>
          <w:tcPr>
            <w:tcW w:type="dxa" w:w="3000"/>
            <w:tcMar>
              <w:top w:type="dxa" w:w="80"/>
              <w:left w:type="dxa" w:w="110"/>
              <w:bottom w:type="dxa" w:w="80"/>
              <w:right w:type="dxa" w:w="110"/>
            </w:tcMar>
          </w:tcPr>
          <w:p>
            <w:r>
              <w:rPr>
                <w:rFonts w:ascii="Calibri" w:cs="Calibri" w:eastAsia="Calibri" w:hAnsi="Calibri"/>
                <w:sz w:val="16"/>
                <w:szCs w:val="16"/>
              </w:rPr>
              <w:t xml:space="preserve">analyse the impact of changes and transitions, and devise strategies to support themselves and others through these changes</w:t>
            </w:r>
          </w:p>
        </w:tc>
        <w:tc>
          <w:tcPr>
            <w:tcW w:type="dxa" w:w="1500"/>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AC9HP8P02</w:t>
            </w:r>
          </w:p>
        </w:tc>
        <w:tc>
          <w:tcPr>
            <w:tcW w:type="dxa" w:w="3026"/>
            <w:tcMar>
              <w:top w:type="dxa" w:w="80"/>
              <w:left w:type="dxa" w:w="110"/>
              <w:bottom w:type="dxa" w:w="80"/>
              <w:right w:type="dxa" w:w="110"/>
            </w:tcMar>
          </w:tcPr>
          <w:p>
            <w:r>
              <w:rPr>
                <w:rFonts w:ascii="Calibri" w:cs="Calibri" w:eastAsia="Calibri" w:hAnsi="Calibri"/>
                <w:i/>
                <w:iCs/>
                <w:color w:val="4A5568"/>
                <w:sz w:val="16"/>
                <w:szCs w:val="16"/>
              </w:rPr>
              <w:t xml:space="preserve">Identical wording</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6"/>
                <w:szCs w:val="16"/>
              </w:rPr>
              <w:t xml:space="preserve">VC2HP8P03</w:t>
            </w:r>
          </w:p>
        </w:tc>
        <w:tc>
          <w:tcPr>
            <w:tcW w:type="dxa" w:w="3000"/>
            <w:shd w:fill="EEF3F9" w:color="auto" w:val="clear"/>
            <w:tcMar>
              <w:top w:type="dxa" w:w="80"/>
              <w:left w:type="dxa" w:w="110"/>
              <w:bottom w:type="dxa" w:w="80"/>
              <w:right w:type="dxa" w:w="110"/>
            </w:tcMar>
          </w:tcPr>
          <w:p>
            <w:r>
              <w:rPr>
                <w:rFonts w:ascii="Calibri" w:cs="Calibri" w:eastAsia="Calibri" w:hAnsi="Calibri"/>
                <w:sz w:val="16"/>
                <w:szCs w:val="16"/>
              </w:rPr>
              <w:t xml:space="preserve">examine how roles, decision-making, and levels of power, coercion and control within relationships can be influenced by gender stereotypes</w:t>
            </w:r>
          </w:p>
        </w:tc>
        <w:tc>
          <w:tcPr>
            <w:tcW w:type="dxa" w:w="15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AC9HP8P03</w:t>
            </w:r>
          </w:p>
        </w:tc>
        <w:tc>
          <w:tcPr>
            <w:tcW w:type="dxa" w:w="3026"/>
            <w:shd w:fill="EEF3F9" w:color="auto" w:val="clear"/>
            <w:tcMar>
              <w:top w:type="dxa" w:w="80"/>
              <w:left w:type="dxa" w:w="110"/>
              <w:bottom w:type="dxa" w:w="80"/>
              <w:right w:type="dxa" w:w="110"/>
            </w:tcMar>
          </w:tcPr>
          <w:p>
            <w:r>
              <w:rPr>
                <w:rFonts w:ascii="Calibri" w:cs="Calibri" w:eastAsia="Calibri" w:hAnsi="Calibri"/>
                <w:i/>
                <w:iCs/>
                <w:color w:val="4A5568"/>
                <w:sz w:val="16"/>
                <w:szCs w:val="16"/>
              </w:rPr>
              <w:t xml:space="preserve">Identical wording</w:t>
            </w:r>
          </w:p>
        </w:tc>
      </w:tr>
      <w:tr>
        <w:tc>
          <w:tcPr>
            <w:tcW w:type="dxa" w:w="1500"/>
            <w:tcMar>
              <w:top w:type="dxa" w:w="80"/>
              <w:left w:type="dxa" w:w="110"/>
              <w:bottom w:type="dxa" w:w="80"/>
              <w:right w:type="dxa" w:w="110"/>
            </w:tcMar>
          </w:tcPr>
          <w:p>
            <w:r>
              <w:rPr>
                <w:rFonts w:ascii="Calibri" w:cs="Calibri" w:eastAsia="Calibri" w:hAnsi="Calibri"/>
                <w:b/>
                <w:bCs/>
                <w:color w:val="12335C"/>
                <w:sz w:val="16"/>
                <w:szCs w:val="16"/>
              </w:rPr>
              <w:t xml:space="preserve">VC2HP8P04</w:t>
            </w:r>
          </w:p>
        </w:tc>
        <w:tc>
          <w:tcPr>
            <w:tcW w:type="dxa" w:w="3000"/>
            <w:tcMar>
              <w:top w:type="dxa" w:w="80"/>
              <w:left w:type="dxa" w:w="110"/>
              <w:bottom w:type="dxa" w:w="80"/>
              <w:right w:type="dxa" w:w="110"/>
            </w:tcMar>
          </w:tcPr>
          <w:p>
            <w:r>
              <w:rPr>
                <w:rFonts w:ascii="Calibri" w:cs="Calibri" w:eastAsia="Calibri" w:hAnsi="Calibri"/>
                <w:sz w:val="16"/>
                <w:szCs w:val="16"/>
              </w:rPr>
              <w:t xml:space="preserve">examine the roles of respect, empathy, power and coercion in developing respectful relationships</w:t>
            </w:r>
          </w:p>
        </w:tc>
        <w:tc>
          <w:tcPr>
            <w:tcW w:type="dxa" w:w="1500"/>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AC9HP8P04</w:t>
            </w:r>
          </w:p>
        </w:tc>
        <w:tc>
          <w:tcPr>
            <w:tcW w:type="dxa" w:w="3026"/>
            <w:tcMar>
              <w:top w:type="dxa" w:w="80"/>
              <w:left w:type="dxa" w:w="110"/>
              <w:bottom w:type="dxa" w:w="80"/>
              <w:right w:type="dxa" w:w="110"/>
            </w:tcMar>
          </w:tcPr>
          <w:p>
            <w:r>
              <w:rPr>
                <w:rFonts w:ascii="Calibri" w:cs="Calibri" w:eastAsia="Calibri" w:hAnsi="Calibri"/>
                <w:i/>
                <w:iCs/>
                <w:color w:val="4A5568"/>
                <w:sz w:val="16"/>
                <w:szCs w:val="16"/>
              </w:rPr>
              <w:t xml:space="preserve">Identical wording</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6"/>
                <w:szCs w:val="16"/>
              </w:rPr>
              <w:t xml:space="preserve">VC2HP8P05</w:t>
            </w:r>
          </w:p>
        </w:tc>
        <w:tc>
          <w:tcPr>
            <w:tcW w:type="dxa" w:w="3000"/>
            <w:shd w:fill="EEF3F9" w:color="auto" w:val="clear"/>
            <w:tcMar>
              <w:top w:type="dxa" w:w="80"/>
              <w:left w:type="dxa" w:w="110"/>
              <w:bottom w:type="dxa" w:w="80"/>
              <w:right w:type="dxa" w:w="110"/>
            </w:tcMar>
          </w:tcPr>
          <w:p>
            <w:r>
              <w:rPr>
                <w:rFonts w:ascii="Calibri" w:cs="Calibri" w:eastAsia="Calibri" w:hAnsi="Calibri"/>
                <w:sz w:val="16"/>
                <w:szCs w:val="16"/>
              </w:rPr>
              <w:t xml:space="preserve">investigate strategies that influence how communities value diversity and propose actions they can take to promote inclusion in their communities</w:t>
            </w:r>
          </w:p>
        </w:tc>
        <w:tc>
          <w:tcPr>
            <w:tcW w:type="dxa" w:w="15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AC9HP8P05</w:t>
            </w:r>
          </w:p>
        </w:tc>
        <w:tc>
          <w:tcPr>
            <w:tcW w:type="dxa" w:w="3026"/>
            <w:shd w:fill="EEF3F9" w:color="auto" w:val="clear"/>
            <w:tcMar>
              <w:top w:type="dxa" w:w="80"/>
              <w:left w:type="dxa" w:w="110"/>
              <w:bottom w:type="dxa" w:w="80"/>
              <w:right w:type="dxa" w:w="110"/>
            </w:tcMar>
          </w:tcPr>
          <w:p>
            <w:r>
              <w:rPr>
                <w:rFonts w:ascii="Calibri" w:cs="Calibri" w:eastAsia="Calibri" w:hAnsi="Calibri"/>
                <w:i/>
                <w:iCs/>
                <w:color w:val="4A5568"/>
                <w:sz w:val="16"/>
                <w:szCs w:val="16"/>
              </w:rPr>
              <w:t xml:space="preserve">Identical wording</w:t>
            </w:r>
          </w:p>
        </w:tc>
      </w:tr>
      <w:tr>
        <w:tc>
          <w:tcPr>
            <w:tcW w:type="dxa" w:w="1500"/>
            <w:tcMar>
              <w:top w:type="dxa" w:w="80"/>
              <w:left w:type="dxa" w:w="110"/>
              <w:bottom w:type="dxa" w:w="80"/>
              <w:right w:type="dxa" w:w="110"/>
            </w:tcMar>
          </w:tcPr>
          <w:p>
            <w:r>
              <w:rPr>
                <w:rFonts w:ascii="Calibri" w:cs="Calibri" w:eastAsia="Calibri" w:hAnsi="Calibri"/>
                <w:b/>
                <w:bCs/>
                <w:color w:val="12335C"/>
                <w:sz w:val="16"/>
                <w:szCs w:val="16"/>
              </w:rPr>
              <w:t xml:space="preserve">VC2HP8P06</w:t>
            </w:r>
          </w:p>
        </w:tc>
        <w:tc>
          <w:tcPr>
            <w:tcW w:type="dxa" w:w="3000"/>
            <w:tcMar>
              <w:top w:type="dxa" w:w="80"/>
              <w:left w:type="dxa" w:w="110"/>
              <w:bottom w:type="dxa" w:w="80"/>
              <w:right w:type="dxa" w:w="110"/>
            </w:tcMar>
          </w:tcPr>
          <w:p>
            <w:r>
              <w:rPr>
                <w:rFonts w:ascii="Calibri" w:cs="Calibri" w:eastAsia="Calibri" w:hAnsi="Calibri"/>
                <w:sz w:val="16"/>
                <w:szCs w:val="16"/>
              </w:rPr>
              <w:t xml:space="preserve">analyse factors that influence emotional responses and devise strategies to self-manage emotions</w:t>
            </w:r>
          </w:p>
        </w:tc>
        <w:tc>
          <w:tcPr>
            <w:tcW w:type="dxa" w:w="1500"/>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AC9HP8P06</w:t>
            </w:r>
          </w:p>
        </w:tc>
        <w:tc>
          <w:tcPr>
            <w:tcW w:type="dxa" w:w="3026"/>
            <w:tcMar>
              <w:top w:type="dxa" w:w="80"/>
              <w:left w:type="dxa" w:w="110"/>
              <w:bottom w:type="dxa" w:w="80"/>
              <w:right w:type="dxa" w:w="110"/>
            </w:tcMar>
          </w:tcPr>
          <w:p>
            <w:r>
              <w:rPr>
                <w:rFonts w:ascii="Calibri" w:cs="Calibri" w:eastAsia="Calibri" w:hAnsi="Calibri"/>
                <w:i/>
                <w:iCs/>
                <w:color w:val="4A5568"/>
                <w:sz w:val="16"/>
                <w:szCs w:val="16"/>
              </w:rPr>
              <w:t xml:space="preserve">Identical wording</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6"/>
                <w:szCs w:val="16"/>
              </w:rPr>
              <w:t xml:space="preserve">VC2HP8P07</w:t>
            </w:r>
          </w:p>
        </w:tc>
        <w:tc>
          <w:tcPr>
            <w:tcW w:type="dxa" w:w="3000"/>
            <w:shd w:fill="EEF3F9" w:color="auto" w:val="clear"/>
            <w:tcMar>
              <w:top w:type="dxa" w:w="80"/>
              <w:left w:type="dxa" w:w="110"/>
              <w:bottom w:type="dxa" w:w="80"/>
              <w:right w:type="dxa" w:w="110"/>
            </w:tcMar>
          </w:tcPr>
          <w:p>
            <w:r>
              <w:rPr>
                <w:rFonts w:ascii="Calibri" w:cs="Calibri" w:eastAsia="Calibri" w:hAnsi="Calibri"/>
                <w:sz w:val="16"/>
                <w:szCs w:val="16"/>
              </w:rPr>
              <w:t xml:space="preserve">explain and apply skills and strategies to communicate assertively and respectfully when seeking, giving or denying consent across multiple settings (including online and offline)</w:t>
            </w:r>
          </w:p>
        </w:tc>
        <w:tc>
          <w:tcPr>
            <w:tcW w:type="dxa" w:w="15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AC9HP8P07</w:t>
            </w:r>
          </w:p>
        </w:tc>
        <w:tc>
          <w:tcPr>
            <w:tcW w:type="dxa" w:w="3026"/>
            <w:shd w:fill="EEF3F9" w:color="auto" w:val="clear"/>
            <w:tcMar>
              <w:top w:type="dxa" w:w="80"/>
              <w:left w:type="dxa" w:w="110"/>
              <w:bottom w:type="dxa" w:w="80"/>
              <w:right w:type="dxa" w:w="110"/>
            </w:tcMar>
          </w:tcPr>
          <w:p>
            <w:r>
              <w:rPr>
                <w:rFonts w:ascii="Calibri" w:cs="Calibri" w:eastAsia="Calibri" w:hAnsi="Calibri"/>
                <w:i w:val="false"/>
                <w:iCs w:val="false"/>
                <w:color w:val="1A202C"/>
                <w:sz w:val="16"/>
                <w:szCs w:val="16"/>
              </w:rPr>
              <w:t xml:space="preserve">Victoria adds “across multiple settings (including online and offline)”. Online consent is explicit Victorian content.</w:t>
            </w:r>
          </w:p>
        </w:tc>
      </w:tr>
      <w:tr>
        <w:tc>
          <w:tcPr>
            <w:tcW w:type="dxa" w:w="1500"/>
            <w:tcMar>
              <w:top w:type="dxa" w:w="80"/>
              <w:left w:type="dxa" w:w="110"/>
              <w:bottom w:type="dxa" w:w="80"/>
              <w:right w:type="dxa" w:w="110"/>
            </w:tcMar>
          </w:tcPr>
          <w:p>
            <w:r>
              <w:rPr>
                <w:rFonts w:ascii="Calibri" w:cs="Calibri" w:eastAsia="Calibri" w:hAnsi="Calibri"/>
                <w:b/>
                <w:bCs/>
                <w:color w:val="12335C"/>
                <w:sz w:val="16"/>
                <w:szCs w:val="16"/>
              </w:rPr>
              <w:t xml:space="preserve">VC2HP8P08</w:t>
            </w:r>
          </w:p>
        </w:tc>
        <w:tc>
          <w:tcPr>
            <w:tcW w:type="dxa" w:w="3000"/>
            <w:tcMar>
              <w:top w:type="dxa" w:w="80"/>
              <w:left w:type="dxa" w:w="110"/>
              <w:bottom w:type="dxa" w:w="80"/>
              <w:right w:type="dxa" w:w="110"/>
            </w:tcMar>
          </w:tcPr>
          <w:p>
            <w:r>
              <w:rPr>
                <w:rFonts w:ascii="Calibri" w:cs="Calibri" w:eastAsia="Calibri" w:hAnsi="Calibri"/>
                <w:sz w:val="16"/>
                <w:szCs w:val="16"/>
              </w:rPr>
              <w:t xml:space="preserve">refine protective behaviours and evaluate community resources to seek help for themselves and others (including basic first aid and CPR)</w:t>
            </w:r>
          </w:p>
        </w:tc>
        <w:tc>
          <w:tcPr>
            <w:tcW w:type="dxa" w:w="1500"/>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AC9HP8P08</w:t>
            </w:r>
          </w:p>
        </w:tc>
        <w:tc>
          <w:tcPr>
            <w:tcW w:type="dxa" w:w="3026"/>
            <w:tcMar>
              <w:top w:type="dxa" w:w="80"/>
              <w:left w:type="dxa" w:w="110"/>
              <w:bottom w:type="dxa" w:w="80"/>
              <w:right w:type="dxa" w:w="110"/>
            </w:tcMar>
          </w:tcPr>
          <w:p>
            <w:r>
              <w:rPr>
                <w:rFonts w:ascii="Calibri" w:cs="Calibri" w:eastAsia="Calibri" w:hAnsi="Calibri"/>
                <w:i w:val="false"/>
                <w:iCs w:val="false"/>
                <w:color w:val="1A202C"/>
                <w:sz w:val="16"/>
                <w:szCs w:val="16"/>
              </w:rPr>
              <w:t xml:space="preserve">Victoria adds “(including basic first aid and CPR)”. First aid and CPR are mandated Victorian content; the AC description does not name them.</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6"/>
                <w:szCs w:val="16"/>
              </w:rPr>
              <w:t xml:space="preserve">VC2HP8P09</w:t>
            </w:r>
          </w:p>
        </w:tc>
        <w:tc>
          <w:tcPr>
            <w:tcW w:type="dxa" w:w="3000"/>
            <w:shd w:fill="EEF3F9" w:color="auto" w:val="clear"/>
            <w:tcMar>
              <w:top w:type="dxa" w:w="80"/>
              <w:left w:type="dxa" w:w="110"/>
              <w:bottom w:type="dxa" w:w="80"/>
              <w:right w:type="dxa" w:w="110"/>
            </w:tcMar>
          </w:tcPr>
          <w:p>
            <w:r>
              <w:rPr>
                <w:rFonts w:ascii="Calibri" w:cs="Calibri" w:eastAsia="Calibri" w:hAnsi="Calibri"/>
                <w:sz w:val="16"/>
                <w:szCs w:val="16"/>
              </w:rPr>
              <w:t xml:space="preserve">investigate how media and influential people in the community impact attitudes, beliefs, decisions and behaviours in relation to health, safety, relationships and wellbeing</w:t>
            </w:r>
          </w:p>
        </w:tc>
        <w:tc>
          <w:tcPr>
            <w:tcW w:type="dxa" w:w="15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AC9HP8P09</w:t>
            </w:r>
          </w:p>
        </w:tc>
        <w:tc>
          <w:tcPr>
            <w:tcW w:type="dxa" w:w="3026"/>
            <w:shd w:fill="EEF3F9" w:color="auto" w:val="clear"/>
            <w:tcMar>
              <w:top w:type="dxa" w:w="80"/>
              <w:left w:type="dxa" w:w="110"/>
              <w:bottom w:type="dxa" w:w="80"/>
              <w:right w:type="dxa" w:w="110"/>
            </w:tcMar>
          </w:tcPr>
          <w:p>
            <w:r>
              <w:rPr>
                <w:rFonts w:ascii="Calibri" w:cs="Calibri" w:eastAsia="Calibri" w:hAnsi="Calibri"/>
                <w:i w:val="false"/>
                <w:iCs w:val="false"/>
                <w:color w:val="1A202C"/>
                <w:sz w:val="16"/>
                <w:szCs w:val="16"/>
              </w:rPr>
              <w:t xml:space="preserve">Victoria specifies influential people “in the community” rather than influential people generally.</w:t>
            </w:r>
          </w:p>
        </w:tc>
      </w:tr>
      <w:tr>
        <w:tc>
          <w:tcPr>
            <w:tcW w:type="dxa" w:w="1500"/>
            <w:tcMar>
              <w:top w:type="dxa" w:w="80"/>
              <w:left w:type="dxa" w:w="110"/>
              <w:bottom w:type="dxa" w:w="80"/>
              <w:right w:type="dxa" w:w="110"/>
            </w:tcMar>
          </w:tcPr>
          <w:p>
            <w:r>
              <w:rPr>
                <w:rFonts w:ascii="Calibri" w:cs="Calibri" w:eastAsia="Calibri" w:hAnsi="Calibri"/>
                <w:b/>
                <w:bCs/>
                <w:color w:val="12335C"/>
                <w:sz w:val="16"/>
                <w:szCs w:val="16"/>
              </w:rPr>
              <w:t xml:space="preserve">VC2HP8P10</w:t>
            </w:r>
          </w:p>
        </w:tc>
        <w:tc>
          <w:tcPr>
            <w:tcW w:type="dxa" w:w="3000"/>
            <w:tcMar>
              <w:top w:type="dxa" w:w="80"/>
              <w:left w:type="dxa" w:w="110"/>
              <w:bottom w:type="dxa" w:w="80"/>
              <w:right w:type="dxa" w:w="110"/>
            </w:tcMar>
          </w:tcPr>
          <w:p>
            <w:r>
              <w:rPr>
                <w:rFonts w:ascii="Calibri" w:cs="Calibri" w:eastAsia="Calibri" w:hAnsi="Calibri"/>
                <w:sz w:val="16"/>
                <w:szCs w:val="16"/>
              </w:rPr>
              <w:t xml:space="preserve">plan and implement strategies, using health resources, to enhance their own and others’ health, safety, relationships and wellbeing</w:t>
            </w:r>
          </w:p>
        </w:tc>
        <w:tc>
          <w:tcPr>
            <w:tcW w:type="dxa" w:w="1500"/>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AC9HP8P10</w:t>
            </w:r>
          </w:p>
        </w:tc>
        <w:tc>
          <w:tcPr>
            <w:tcW w:type="dxa" w:w="3026"/>
            <w:tcMar>
              <w:top w:type="dxa" w:w="80"/>
              <w:left w:type="dxa" w:w="110"/>
              <w:bottom w:type="dxa" w:w="80"/>
              <w:right w:type="dxa" w:w="110"/>
            </w:tcMar>
          </w:tcPr>
          <w:p>
            <w:r>
              <w:rPr>
                <w:rFonts w:ascii="Calibri" w:cs="Calibri" w:eastAsia="Calibri" w:hAnsi="Calibri"/>
                <w:i/>
                <w:iCs/>
                <w:color w:val="4A5568"/>
                <w:sz w:val="16"/>
                <w:szCs w:val="16"/>
              </w:rPr>
              <w:t xml:space="preserve">Identical wording</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6"/>
                <w:szCs w:val="16"/>
              </w:rPr>
              <w:t xml:space="preserve">VC2HP8M01</w:t>
            </w:r>
          </w:p>
        </w:tc>
        <w:tc>
          <w:tcPr>
            <w:tcW w:type="dxa" w:w="3000"/>
            <w:shd w:fill="EEF3F9" w:color="auto" w:val="clear"/>
            <w:tcMar>
              <w:top w:type="dxa" w:w="80"/>
              <w:left w:type="dxa" w:w="110"/>
              <w:bottom w:type="dxa" w:w="80"/>
              <w:right w:type="dxa" w:w="110"/>
            </w:tcMar>
          </w:tcPr>
          <w:p>
            <w:r>
              <w:rPr>
                <w:rFonts w:ascii="Calibri" w:cs="Calibri" w:eastAsia="Calibri" w:hAnsi="Calibri"/>
                <w:sz w:val="16"/>
                <w:szCs w:val="16"/>
              </w:rPr>
              <w:t xml:space="preserve">refine and transfer movement skills in a variety of movement situations, including indoor, outdoor and aquatic settings</w:t>
            </w:r>
          </w:p>
        </w:tc>
        <w:tc>
          <w:tcPr>
            <w:tcW w:type="dxa" w:w="15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AC9HP8M01</w:t>
            </w:r>
          </w:p>
        </w:tc>
        <w:tc>
          <w:tcPr>
            <w:tcW w:type="dxa" w:w="3026"/>
            <w:shd w:fill="EEF3F9" w:color="auto" w:val="clear"/>
            <w:tcMar>
              <w:top w:type="dxa" w:w="80"/>
              <w:left w:type="dxa" w:w="110"/>
              <w:bottom w:type="dxa" w:w="80"/>
              <w:right w:type="dxa" w:w="110"/>
            </w:tcMar>
          </w:tcPr>
          <w:p>
            <w:r>
              <w:rPr>
                <w:rFonts w:ascii="Calibri" w:cs="Calibri" w:eastAsia="Calibri" w:hAnsi="Calibri"/>
                <w:i w:val="false"/>
                <w:iCs w:val="false"/>
                <w:color w:val="1A202C"/>
                <w:sz w:val="16"/>
                <w:szCs w:val="16"/>
              </w:rPr>
              <w:t xml:space="preserve">Victoria names “indoor, outdoor and aquatic settings”. The AC wording does not specify aquatic. Victoria also drops “analyse” from the verb group.</w:t>
            </w:r>
          </w:p>
        </w:tc>
      </w:tr>
      <w:tr>
        <w:tc>
          <w:tcPr>
            <w:tcW w:type="dxa" w:w="1500"/>
            <w:tcMar>
              <w:top w:type="dxa" w:w="80"/>
              <w:left w:type="dxa" w:w="110"/>
              <w:bottom w:type="dxa" w:w="80"/>
              <w:right w:type="dxa" w:w="110"/>
            </w:tcMar>
          </w:tcPr>
          <w:p>
            <w:r>
              <w:rPr>
                <w:rFonts w:ascii="Calibri" w:cs="Calibri" w:eastAsia="Calibri" w:hAnsi="Calibri"/>
                <w:b/>
                <w:bCs/>
                <w:color w:val="12335C"/>
                <w:sz w:val="16"/>
                <w:szCs w:val="16"/>
              </w:rPr>
              <w:t xml:space="preserve">VC2HP8M02</w:t>
            </w:r>
          </w:p>
        </w:tc>
        <w:tc>
          <w:tcPr>
            <w:tcW w:type="dxa" w:w="3000"/>
            <w:tcMar>
              <w:top w:type="dxa" w:w="80"/>
              <w:left w:type="dxa" w:w="110"/>
              <w:bottom w:type="dxa" w:w="80"/>
              <w:right w:type="dxa" w:w="110"/>
            </w:tcMar>
          </w:tcPr>
          <w:p>
            <w:r>
              <w:rPr>
                <w:rFonts w:ascii="Calibri" w:cs="Calibri" w:eastAsia="Calibri" w:hAnsi="Calibri"/>
                <w:sz w:val="16"/>
                <w:szCs w:val="16"/>
              </w:rPr>
              <w:t xml:space="preserve">design and demonstrate how movement strategies can be manipulated to improve movement outcomes</w:t>
            </w:r>
          </w:p>
        </w:tc>
        <w:tc>
          <w:tcPr>
            <w:tcW w:type="dxa" w:w="1500"/>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AC9HP8M02</w:t>
            </w:r>
          </w:p>
        </w:tc>
        <w:tc>
          <w:tcPr>
            <w:tcW w:type="dxa" w:w="3026"/>
            <w:tcMar>
              <w:top w:type="dxa" w:w="80"/>
              <w:left w:type="dxa" w:w="110"/>
              <w:bottom w:type="dxa" w:w="80"/>
              <w:right w:type="dxa" w:w="110"/>
            </w:tcMar>
          </w:tcPr>
          <w:p>
            <w:r>
              <w:rPr>
                <w:rFonts w:ascii="Calibri" w:cs="Calibri" w:eastAsia="Calibri" w:hAnsi="Calibri"/>
                <w:i/>
                <w:iCs/>
                <w:color w:val="4A5568"/>
                <w:sz w:val="16"/>
                <w:szCs w:val="16"/>
              </w:rPr>
              <w:t xml:space="preserve">Identical wording</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6"/>
                <w:szCs w:val="16"/>
              </w:rPr>
              <w:t xml:space="preserve">VC2HP8M03</w:t>
            </w:r>
          </w:p>
        </w:tc>
        <w:tc>
          <w:tcPr>
            <w:tcW w:type="dxa" w:w="3000"/>
            <w:shd w:fill="EEF3F9" w:color="auto" w:val="clear"/>
            <w:tcMar>
              <w:top w:type="dxa" w:w="80"/>
              <w:left w:type="dxa" w:w="110"/>
              <w:bottom w:type="dxa" w:w="80"/>
              <w:right w:type="dxa" w:w="110"/>
            </w:tcMar>
          </w:tcPr>
          <w:p>
            <w:r>
              <w:rPr>
                <w:rFonts w:ascii="Calibri" w:cs="Calibri" w:eastAsia="Calibri" w:hAnsi="Calibri"/>
                <w:sz w:val="16"/>
                <w:szCs w:val="16"/>
              </w:rPr>
              <w:t xml:space="preserve">demonstrate and explain how movement concepts related to effort, space, time, objects and people can be manipulated to improve movement outcomes</w:t>
            </w:r>
          </w:p>
        </w:tc>
        <w:tc>
          <w:tcPr>
            <w:tcW w:type="dxa" w:w="15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AC9HP8M03</w:t>
            </w:r>
          </w:p>
        </w:tc>
        <w:tc>
          <w:tcPr>
            <w:tcW w:type="dxa" w:w="3026"/>
            <w:shd w:fill="EEF3F9" w:color="auto" w:val="clear"/>
            <w:tcMar>
              <w:top w:type="dxa" w:w="80"/>
              <w:left w:type="dxa" w:w="110"/>
              <w:bottom w:type="dxa" w:w="80"/>
              <w:right w:type="dxa" w:w="110"/>
            </w:tcMar>
          </w:tcPr>
          <w:p>
            <w:r>
              <w:rPr>
                <w:rFonts w:ascii="Calibri" w:cs="Calibri" w:eastAsia="Calibri" w:hAnsi="Calibri"/>
                <w:i/>
                <w:iCs/>
                <w:color w:val="4A5568"/>
                <w:sz w:val="16"/>
                <w:szCs w:val="16"/>
              </w:rPr>
              <w:t xml:space="preserve">Identical wording</w:t>
            </w:r>
          </w:p>
        </w:tc>
      </w:tr>
      <w:tr>
        <w:tc>
          <w:tcPr>
            <w:tcW w:type="dxa" w:w="1500"/>
            <w:tcMar>
              <w:top w:type="dxa" w:w="80"/>
              <w:left w:type="dxa" w:w="110"/>
              <w:bottom w:type="dxa" w:w="80"/>
              <w:right w:type="dxa" w:w="110"/>
            </w:tcMar>
          </w:tcPr>
          <w:p>
            <w:r>
              <w:rPr>
                <w:rFonts w:ascii="Calibri" w:cs="Calibri" w:eastAsia="Calibri" w:hAnsi="Calibri"/>
                <w:b/>
                <w:bCs/>
                <w:color w:val="12335C"/>
                <w:sz w:val="16"/>
                <w:szCs w:val="16"/>
              </w:rPr>
              <w:t xml:space="preserve">VC2HP8M04</w:t>
            </w:r>
          </w:p>
        </w:tc>
        <w:tc>
          <w:tcPr>
            <w:tcW w:type="dxa" w:w="3000"/>
            <w:tcMar>
              <w:top w:type="dxa" w:w="80"/>
              <w:left w:type="dxa" w:w="110"/>
              <w:bottom w:type="dxa" w:w="80"/>
              <w:right w:type="dxa" w:w="110"/>
            </w:tcMar>
          </w:tcPr>
          <w:p>
            <w:r>
              <w:rPr>
                <w:rFonts w:ascii="Calibri" w:cs="Calibri" w:eastAsia="Calibri" w:hAnsi="Calibri"/>
                <w:sz w:val="16"/>
                <w:szCs w:val="16"/>
              </w:rPr>
              <w:t xml:space="preserve">adapt and perform movement sequences in a variety of contexts, demonstrating how the movement elements of time, effort, space, people and objects can enhance performance</w:t>
            </w:r>
          </w:p>
        </w:tc>
        <w:tc>
          <w:tcPr>
            <w:tcW w:type="dxa" w:w="1500"/>
            <w:tcMar>
              <w:top w:type="dxa" w:w="80"/>
              <w:left w:type="dxa" w:w="110"/>
              <w:bottom w:type="dxa" w:w="80"/>
              <w:right w:type="dxa" w:w="110"/>
            </w:tcMar>
          </w:tcPr>
          <w:p>
            <w:r>
              <w:rPr>
                <w:rFonts w:ascii="Calibri" w:cs="Calibri" w:eastAsia="Calibri" w:hAnsi="Calibri"/>
                <w:b/>
                <w:bCs/>
                <w:color w:val="B02A20"/>
                <w:sz w:val="16"/>
                <w:szCs w:val="16"/>
              </w:rPr>
              <w:t xml:space="preserve">No equivalent</w:t>
            </w:r>
          </w:p>
        </w:tc>
        <w:tc>
          <w:tcPr>
            <w:tcW w:type="dxa" w:w="3026"/>
            <w:tcMar>
              <w:top w:type="dxa" w:w="80"/>
              <w:left w:type="dxa" w:w="110"/>
              <w:bottom w:type="dxa" w:w="80"/>
              <w:right w:type="dxa" w:w="110"/>
            </w:tcMar>
          </w:tcPr>
          <w:p>
            <w:r>
              <w:rPr>
                <w:rFonts w:ascii="Calibri" w:cs="Calibri" w:eastAsia="Calibri" w:hAnsi="Calibri"/>
                <w:i w:val="false"/>
                <w:iCs w:val="false"/>
                <w:color w:val="1A202C"/>
                <w:sz w:val="16"/>
                <w:szCs w:val="16"/>
              </w:rPr>
              <w:t xml:space="preserve">VICTORIAN ONLY. Requires students to adapt and perform movement sequences using the movement elements. There is no AC v9.0 equivalent. All subsequent Victorian M codes are offset by one because of it.</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6"/>
                <w:szCs w:val="16"/>
              </w:rPr>
              <w:t xml:space="preserve">VC2HP8M05</w:t>
            </w:r>
          </w:p>
        </w:tc>
        <w:tc>
          <w:tcPr>
            <w:tcW w:type="dxa" w:w="3000"/>
            <w:shd w:fill="EEF3F9" w:color="auto" w:val="clear"/>
            <w:tcMar>
              <w:top w:type="dxa" w:w="80"/>
              <w:left w:type="dxa" w:w="110"/>
              <w:bottom w:type="dxa" w:w="80"/>
              <w:right w:type="dxa" w:w="110"/>
            </w:tcMar>
          </w:tcPr>
          <w:p>
            <w:r>
              <w:rPr>
                <w:rFonts w:ascii="Calibri" w:cs="Calibri" w:eastAsia="Calibri" w:hAnsi="Calibri"/>
                <w:sz w:val="16"/>
                <w:szCs w:val="16"/>
              </w:rPr>
              <w:t xml:space="preserve">participate in physical activities designed to improve fitness to investigate the impact of regular participation on health and wellbeing</w:t>
            </w:r>
          </w:p>
        </w:tc>
        <w:tc>
          <w:tcPr>
            <w:tcW w:type="dxa" w:w="15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AC9HP8M04</w:t>
            </w:r>
          </w:p>
        </w:tc>
        <w:tc>
          <w:tcPr>
            <w:tcW w:type="dxa" w:w="3026"/>
            <w:shd w:fill="EEF3F9" w:color="auto" w:val="clear"/>
            <w:tcMar>
              <w:top w:type="dxa" w:w="80"/>
              <w:left w:type="dxa" w:w="110"/>
              <w:bottom w:type="dxa" w:w="80"/>
              <w:right w:type="dxa" w:w="110"/>
            </w:tcMar>
          </w:tcPr>
          <w:p>
            <w:r>
              <w:rPr>
                <w:rFonts w:ascii="Calibri" w:cs="Calibri" w:eastAsia="Calibri" w:hAnsi="Calibri"/>
                <w:i w:val="false"/>
                <w:iCs w:val="false"/>
                <w:color w:val="1A202C"/>
                <w:sz w:val="16"/>
                <w:szCs w:val="16"/>
              </w:rPr>
              <w:t xml:space="preserve">Offset by one. Victoria narrows the AC wording from “fitness and wellbeing” to “fitness”.</w:t>
            </w:r>
          </w:p>
        </w:tc>
      </w:tr>
      <w:tr>
        <w:tc>
          <w:tcPr>
            <w:tcW w:type="dxa" w:w="1500"/>
            <w:tcMar>
              <w:top w:type="dxa" w:w="80"/>
              <w:left w:type="dxa" w:w="110"/>
              <w:bottom w:type="dxa" w:w="80"/>
              <w:right w:type="dxa" w:w="110"/>
            </w:tcMar>
          </w:tcPr>
          <w:p>
            <w:r>
              <w:rPr>
                <w:rFonts w:ascii="Calibri" w:cs="Calibri" w:eastAsia="Calibri" w:hAnsi="Calibri"/>
                <w:b/>
                <w:bCs/>
                <w:color w:val="12335C"/>
                <w:sz w:val="16"/>
                <w:szCs w:val="16"/>
              </w:rPr>
              <w:t xml:space="preserve">VC2HP8M06</w:t>
            </w:r>
          </w:p>
        </w:tc>
        <w:tc>
          <w:tcPr>
            <w:tcW w:type="dxa" w:w="3000"/>
            <w:tcMar>
              <w:top w:type="dxa" w:w="80"/>
              <w:left w:type="dxa" w:w="110"/>
              <w:bottom w:type="dxa" w:w="80"/>
              <w:right w:type="dxa" w:w="110"/>
            </w:tcMar>
          </w:tcPr>
          <w:p>
            <w:r>
              <w:rPr>
                <w:rFonts w:ascii="Calibri" w:cs="Calibri" w:eastAsia="Calibri" w:hAnsi="Calibri"/>
                <w:sz w:val="16"/>
                <w:szCs w:val="16"/>
              </w:rPr>
              <w:t xml:space="preserve">participate in physical activities that utilise community spaces, outdoor environments and aquatic settings safely, and evaluate strategies to support the increased use of these spaces</w:t>
            </w:r>
          </w:p>
        </w:tc>
        <w:tc>
          <w:tcPr>
            <w:tcW w:type="dxa" w:w="1500"/>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AC9HP8M05</w:t>
            </w:r>
          </w:p>
        </w:tc>
        <w:tc>
          <w:tcPr>
            <w:tcW w:type="dxa" w:w="3026"/>
            <w:tcMar>
              <w:top w:type="dxa" w:w="80"/>
              <w:left w:type="dxa" w:w="110"/>
              <w:bottom w:type="dxa" w:w="80"/>
              <w:right w:type="dxa" w:w="110"/>
            </w:tcMar>
          </w:tcPr>
          <w:p>
            <w:r>
              <w:rPr>
                <w:rFonts w:ascii="Calibri" w:cs="Calibri" w:eastAsia="Calibri" w:hAnsi="Calibri"/>
                <w:i w:val="false"/>
                <w:iCs w:val="false"/>
                <w:color w:val="1A202C"/>
                <w:sz w:val="16"/>
                <w:szCs w:val="16"/>
              </w:rPr>
              <w:t xml:space="preserve">Offset by one. Victoria adds “aquatic settings” and the word “safely”.</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6"/>
                <w:szCs w:val="16"/>
              </w:rPr>
              <w:t xml:space="preserve">VC2HP8M07</w:t>
            </w:r>
          </w:p>
        </w:tc>
        <w:tc>
          <w:tcPr>
            <w:tcW w:type="dxa" w:w="3000"/>
            <w:shd w:fill="EEF3F9" w:color="auto" w:val="clear"/>
            <w:tcMar>
              <w:top w:type="dxa" w:w="80"/>
              <w:left w:type="dxa" w:w="110"/>
              <w:bottom w:type="dxa" w:w="80"/>
              <w:right w:type="dxa" w:w="110"/>
            </w:tcMar>
          </w:tcPr>
          <w:p>
            <w:r>
              <w:rPr>
                <w:rFonts w:ascii="Calibri" w:cs="Calibri" w:eastAsia="Calibri" w:hAnsi="Calibri"/>
                <w:sz w:val="16"/>
                <w:szCs w:val="16"/>
              </w:rPr>
              <w:t xml:space="preserve">design and justify a physical activity plan that incorporates strategies to increase physical activity levels to achieve health and wellbeing outcomes</w:t>
            </w:r>
          </w:p>
        </w:tc>
        <w:tc>
          <w:tcPr>
            <w:tcW w:type="dxa" w:w="15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AC9HP8M06</w:t>
            </w:r>
          </w:p>
        </w:tc>
        <w:tc>
          <w:tcPr>
            <w:tcW w:type="dxa" w:w="3026"/>
            <w:shd w:fill="EEF3F9" w:color="auto" w:val="clear"/>
            <w:tcMar>
              <w:top w:type="dxa" w:w="80"/>
              <w:left w:type="dxa" w:w="110"/>
              <w:bottom w:type="dxa" w:w="80"/>
              <w:right w:type="dxa" w:w="110"/>
            </w:tcMar>
          </w:tcPr>
          <w:p>
            <w:r>
              <w:rPr>
                <w:rFonts w:ascii="Calibri" w:cs="Calibri" w:eastAsia="Calibri" w:hAnsi="Calibri"/>
                <w:i w:val="false"/>
                <w:iCs w:val="false"/>
                <w:color w:val="1A202C"/>
                <w:sz w:val="16"/>
                <w:szCs w:val="16"/>
              </w:rPr>
              <w:t xml:space="preserve">Offset by one. Victoria requires a written, justified physical activity plan rather than strategies in general.</w:t>
            </w:r>
          </w:p>
        </w:tc>
      </w:tr>
      <w:tr>
        <w:tc>
          <w:tcPr>
            <w:tcW w:type="dxa" w:w="1500"/>
            <w:tcMar>
              <w:top w:type="dxa" w:w="80"/>
              <w:left w:type="dxa" w:w="110"/>
              <w:bottom w:type="dxa" w:w="80"/>
              <w:right w:type="dxa" w:w="110"/>
            </w:tcMar>
          </w:tcPr>
          <w:p>
            <w:r>
              <w:rPr>
                <w:rFonts w:ascii="Calibri" w:cs="Calibri" w:eastAsia="Calibri" w:hAnsi="Calibri"/>
                <w:b/>
                <w:bCs/>
                <w:color w:val="12335C"/>
                <w:sz w:val="16"/>
                <w:szCs w:val="16"/>
              </w:rPr>
              <w:t xml:space="preserve">VC2HP8M08</w:t>
            </w:r>
          </w:p>
        </w:tc>
        <w:tc>
          <w:tcPr>
            <w:tcW w:type="dxa" w:w="3000"/>
            <w:tcMar>
              <w:top w:type="dxa" w:w="80"/>
              <w:left w:type="dxa" w:w="110"/>
              <w:bottom w:type="dxa" w:w="80"/>
              <w:right w:type="dxa" w:w="110"/>
            </w:tcMar>
          </w:tcPr>
          <w:p>
            <w:r>
              <w:rPr>
                <w:rFonts w:ascii="Calibri" w:cs="Calibri" w:eastAsia="Calibri" w:hAnsi="Calibri"/>
                <w:sz w:val="16"/>
                <w:szCs w:val="16"/>
              </w:rPr>
              <w:t xml:space="preserve">propose, test and evaluate movement strategies and skills that would be most effective in different movement situations</w:t>
            </w:r>
          </w:p>
        </w:tc>
        <w:tc>
          <w:tcPr>
            <w:tcW w:type="dxa" w:w="1500"/>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AC9HP8M07</w:t>
            </w:r>
          </w:p>
        </w:tc>
        <w:tc>
          <w:tcPr>
            <w:tcW w:type="dxa" w:w="3026"/>
            <w:tcMar>
              <w:top w:type="dxa" w:w="80"/>
              <w:left w:type="dxa" w:w="110"/>
              <w:bottom w:type="dxa" w:w="80"/>
              <w:right w:type="dxa" w:w="110"/>
            </w:tcMar>
          </w:tcPr>
          <w:p>
            <w:r>
              <w:rPr>
                <w:rFonts w:ascii="Calibri" w:cs="Calibri" w:eastAsia="Calibri" w:hAnsi="Calibri"/>
                <w:i w:val="false"/>
                <w:iCs w:val="false"/>
                <w:color w:val="1A202C"/>
                <w:sz w:val="16"/>
                <w:szCs w:val="16"/>
              </w:rPr>
              <w:t xml:space="preserve">Offset by one. Victoria adds “test” to the verb group.</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6"/>
                <w:szCs w:val="16"/>
              </w:rPr>
              <w:t xml:space="preserve">VC2HP8M09</w:t>
            </w:r>
          </w:p>
        </w:tc>
        <w:tc>
          <w:tcPr>
            <w:tcW w:type="dxa" w:w="3000"/>
            <w:shd w:fill="EEF3F9" w:color="auto" w:val="clear"/>
            <w:tcMar>
              <w:top w:type="dxa" w:w="80"/>
              <w:left w:type="dxa" w:w="110"/>
              <w:bottom w:type="dxa" w:w="80"/>
              <w:right w:type="dxa" w:w="110"/>
            </w:tcMar>
          </w:tcPr>
          <w:p>
            <w:r>
              <w:rPr>
                <w:rFonts w:ascii="Calibri" w:cs="Calibri" w:eastAsia="Calibri" w:hAnsi="Calibri"/>
                <w:sz w:val="16"/>
                <w:szCs w:val="16"/>
              </w:rPr>
              <w:t xml:space="preserve">analyse modifications to equipment, rules and scoring systems that support fair play and inclusive participation</w:t>
            </w:r>
          </w:p>
        </w:tc>
        <w:tc>
          <w:tcPr>
            <w:tcW w:type="dxa" w:w="15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AC9HP8M08</w:t>
            </w:r>
          </w:p>
        </w:tc>
        <w:tc>
          <w:tcPr>
            <w:tcW w:type="dxa" w:w="3026"/>
            <w:shd w:fill="EEF3F9" w:color="auto" w:val="clear"/>
            <w:tcMar>
              <w:top w:type="dxa" w:w="80"/>
              <w:left w:type="dxa" w:w="110"/>
              <w:bottom w:type="dxa" w:w="80"/>
              <w:right w:type="dxa" w:w="110"/>
            </w:tcMar>
          </w:tcPr>
          <w:p>
            <w:r>
              <w:rPr>
                <w:rFonts w:ascii="Calibri" w:cs="Calibri" w:eastAsia="Calibri" w:hAnsi="Calibri"/>
                <w:i w:val="false"/>
                <w:iCs w:val="false"/>
                <w:color w:val="1A202C"/>
                <w:sz w:val="16"/>
                <w:szCs w:val="16"/>
              </w:rPr>
              <w:t xml:space="preserve">Offset by one. Victoria asks students to analyse modifications; the AC asks them to investigate.</w:t>
            </w:r>
          </w:p>
        </w:tc>
      </w:tr>
      <w:tr>
        <w:tc>
          <w:tcPr>
            <w:tcW w:type="dxa" w:w="1500"/>
            <w:tcMar>
              <w:top w:type="dxa" w:w="80"/>
              <w:left w:type="dxa" w:w="110"/>
              <w:bottom w:type="dxa" w:w="80"/>
              <w:right w:type="dxa" w:w="110"/>
            </w:tcMar>
          </w:tcPr>
          <w:p>
            <w:r>
              <w:rPr>
                <w:rFonts w:ascii="Calibri" w:cs="Calibri" w:eastAsia="Calibri" w:hAnsi="Calibri"/>
                <w:b/>
                <w:bCs/>
                <w:color w:val="12335C"/>
                <w:sz w:val="16"/>
                <w:szCs w:val="16"/>
              </w:rPr>
              <w:t xml:space="preserve">VC2HP8M10</w:t>
            </w:r>
          </w:p>
        </w:tc>
        <w:tc>
          <w:tcPr>
            <w:tcW w:type="dxa" w:w="3000"/>
            <w:tcMar>
              <w:top w:type="dxa" w:w="80"/>
              <w:left w:type="dxa" w:w="110"/>
              <w:bottom w:type="dxa" w:w="80"/>
              <w:right w:type="dxa" w:w="110"/>
            </w:tcMar>
          </w:tcPr>
          <w:p>
            <w:r>
              <w:rPr>
                <w:rFonts w:ascii="Calibri" w:cs="Calibri" w:eastAsia="Calibri" w:hAnsi="Calibri"/>
                <w:sz w:val="16"/>
                <w:szCs w:val="16"/>
              </w:rPr>
              <w:t xml:space="preserve">practise and apply leadership, collaboration and group decision-making processes when participating in a range of physical activities</w:t>
            </w:r>
          </w:p>
        </w:tc>
        <w:tc>
          <w:tcPr>
            <w:tcW w:type="dxa" w:w="1500"/>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AC9HP8M09</w:t>
            </w:r>
          </w:p>
        </w:tc>
        <w:tc>
          <w:tcPr>
            <w:tcW w:type="dxa" w:w="3026"/>
            <w:tcMar>
              <w:top w:type="dxa" w:w="80"/>
              <w:left w:type="dxa" w:w="110"/>
              <w:bottom w:type="dxa" w:w="80"/>
              <w:right w:type="dxa" w:w="110"/>
            </w:tcMar>
          </w:tcPr>
          <w:p>
            <w:r>
              <w:rPr>
                <w:rFonts w:ascii="Calibri" w:cs="Calibri" w:eastAsia="Calibri" w:hAnsi="Calibri"/>
                <w:i w:val="false"/>
                <w:iCs w:val="false"/>
                <w:color w:val="1A202C"/>
                <w:sz w:val="16"/>
                <w:szCs w:val="16"/>
              </w:rPr>
              <w:t xml:space="preserve">Offset by one. Wording otherwise identical.</w:t>
            </w:r>
          </w:p>
        </w:tc>
      </w:tr>
    </w:tbl>
    <w:p>
      <w:r>
        <w:br w:type="page"/>
      </w:r>
    </w:p>
    <w:p>
      <w:pPr>
        <w:pStyle w:val="Heading1"/>
        <w:pBdr>
          <w:bottom w:val="single" w:color="1F6FB2" w:sz="12" w:space="6"/>
        </w:pBdr>
        <w:spacing w:after="160" w:before="340"/>
      </w:pPr>
      <w:r>
        <w:rPr>
          <w:rFonts w:ascii="Calibri" w:cs="Calibri" w:eastAsia="Calibri" w:hAnsi="Calibri"/>
          <w:b/>
          <w:bCs/>
          <w:color w:val="12335C"/>
          <w:sz w:val="30"/>
          <w:szCs w:val="30"/>
        </w:rPr>
        <w:t xml:space="preserve">Levels 9–10 — all 20 Victorian content descriptions</w:t>
      </w:r>
    </w:p>
    <w:tbl>
      <w:tblPr>
        <w:tblW w:type="dxa" w:w="9026"/>
        <w:tblBorders>
          <w:top w:val="single" w:color="C8D6E5" w:sz="2"/>
          <w:left w:val="single" w:color="C8D6E5" w:sz="2"/>
          <w:bottom w:val="single" w:color="C8D6E5" w:sz="2"/>
          <w:right w:val="single" w:color="C8D6E5" w:sz="2"/>
          <w:insideH w:val="single" w:color="C8D6E5" w:sz="2"/>
          <w:insideV w:val="single" w:color="C8D6E5" w:sz="2"/>
        </w:tblBorders>
      </w:tblPr>
      <w:tblGrid>
        <w:gridCol w:w="1500"/>
        <w:gridCol w:w="3000"/>
        <w:gridCol w:w="1500"/>
        <w:gridCol w:w="3026"/>
      </w:tblGrid>
      <w:tr>
        <w:trPr>
          <w:tblHeader/>
        </w:trPr>
        <w:tc>
          <w:tcPr>
            <w:tcW w:type="dxa" w:w="15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Victorian code</w:t>
            </w:r>
          </w:p>
        </w:tc>
        <w:tc>
          <w:tcPr>
            <w:tcW w:type="dxa" w:w="30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Students learn to …</w:t>
            </w:r>
          </w:p>
        </w:tc>
        <w:tc>
          <w:tcPr>
            <w:tcW w:type="dxa" w:w="15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AC v9.0</w:t>
            </w:r>
          </w:p>
        </w:tc>
        <w:tc>
          <w:tcPr>
            <w:tcW w:type="dxa" w:w="3026"/>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What differs</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6"/>
                <w:szCs w:val="16"/>
              </w:rPr>
              <w:t xml:space="preserve">VC2HP10P01</w:t>
            </w:r>
          </w:p>
        </w:tc>
        <w:tc>
          <w:tcPr>
            <w:tcW w:type="dxa" w:w="3000"/>
            <w:shd w:fill="EEF3F9" w:color="auto" w:val="clear"/>
            <w:tcMar>
              <w:top w:type="dxa" w:w="80"/>
              <w:left w:type="dxa" w:w="110"/>
              <w:bottom w:type="dxa" w:w="80"/>
              <w:right w:type="dxa" w:w="110"/>
            </w:tcMar>
          </w:tcPr>
          <w:p>
            <w:r>
              <w:rPr>
                <w:rFonts w:ascii="Calibri" w:cs="Calibri" w:eastAsia="Calibri" w:hAnsi="Calibri"/>
                <w:sz w:val="16"/>
                <w:szCs w:val="16"/>
              </w:rPr>
              <w:t xml:space="preserve">evaluate factors that shape identities and evaluate how individuals influence the identities of others</w:t>
            </w:r>
          </w:p>
        </w:tc>
        <w:tc>
          <w:tcPr>
            <w:tcW w:type="dxa" w:w="15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AC9HP10P01</w:t>
            </w:r>
          </w:p>
        </w:tc>
        <w:tc>
          <w:tcPr>
            <w:tcW w:type="dxa" w:w="3026"/>
            <w:shd w:fill="EEF3F9" w:color="auto" w:val="clear"/>
            <w:tcMar>
              <w:top w:type="dxa" w:w="80"/>
              <w:left w:type="dxa" w:w="110"/>
              <w:bottom w:type="dxa" w:w="80"/>
              <w:right w:type="dxa" w:w="110"/>
            </w:tcMar>
          </w:tcPr>
          <w:p>
            <w:r>
              <w:rPr>
                <w:rFonts w:ascii="Calibri" w:cs="Calibri" w:eastAsia="Calibri" w:hAnsi="Calibri"/>
                <w:i w:val="false"/>
                <w:iCs w:val="false"/>
                <w:color w:val="1A202C"/>
                <w:sz w:val="16"/>
                <w:szCs w:val="16"/>
              </w:rPr>
              <w:t xml:space="preserve">Victoria raises the verb from “analyse” to “evaluate”.</w:t>
            </w:r>
          </w:p>
        </w:tc>
      </w:tr>
      <w:tr>
        <w:tc>
          <w:tcPr>
            <w:tcW w:type="dxa" w:w="1500"/>
            <w:tcMar>
              <w:top w:type="dxa" w:w="80"/>
              <w:left w:type="dxa" w:w="110"/>
              <w:bottom w:type="dxa" w:w="80"/>
              <w:right w:type="dxa" w:w="110"/>
            </w:tcMar>
          </w:tcPr>
          <w:p>
            <w:r>
              <w:rPr>
                <w:rFonts w:ascii="Calibri" w:cs="Calibri" w:eastAsia="Calibri" w:hAnsi="Calibri"/>
                <w:b/>
                <w:bCs/>
                <w:color w:val="12335C"/>
                <w:sz w:val="16"/>
                <w:szCs w:val="16"/>
              </w:rPr>
              <w:t xml:space="preserve">VC2HP10P02</w:t>
            </w:r>
          </w:p>
        </w:tc>
        <w:tc>
          <w:tcPr>
            <w:tcW w:type="dxa" w:w="3000"/>
            <w:tcMar>
              <w:top w:type="dxa" w:w="80"/>
              <w:left w:type="dxa" w:w="110"/>
              <w:bottom w:type="dxa" w:w="80"/>
              <w:right w:type="dxa" w:w="110"/>
            </w:tcMar>
          </w:tcPr>
          <w:p>
            <w:r>
              <w:rPr>
                <w:rFonts w:ascii="Calibri" w:cs="Calibri" w:eastAsia="Calibri" w:hAnsi="Calibri"/>
                <w:sz w:val="16"/>
                <w:szCs w:val="16"/>
              </w:rPr>
              <w:t xml:space="preserve">refine, evaluate and adapt strategies for managing changes and transitions</w:t>
            </w:r>
          </w:p>
        </w:tc>
        <w:tc>
          <w:tcPr>
            <w:tcW w:type="dxa" w:w="1500"/>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AC9HP10P02</w:t>
            </w:r>
          </w:p>
        </w:tc>
        <w:tc>
          <w:tcPr>
            <w:tcW w:type="dxa" w:w="3026"/>
            <w:tcMar>
              <w:top w:type="dxa" w:w="80"/>
              <w:left w:type="dxa" w:w="110"/>
              <w:bottom w:type="dxa" w:w="80"/>
              <w:right w:type="dxa" w:w="110"/>
            </w:tcMar>
          </w:tcPr>
          <w:p>
            <w:r>
              <w:rPr>
                <w:rFonts w:ascii="Calibri" w:cs="Calibri" w:eastAsia="Calibri" w:hAnsi="Calibri"/>
                <w:i/>
                <w:iCs/>
                <w:color w:val="4A5568"/>
                <w:sz w:val="16"/>
                <w:szCs w:val="16"/>
              </w:rPr>
              <w:t xml:space="preserve">Identical wording</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6"/>
                <w:szCs w:val="16"/>
              </w:rPr>
              <w:t xml:space="preserve">VC2HP10P03</w:t>
            </w:r>
          </w:p>
        </w:tc>
        <w:tc>
          <w:tcPr>
            <w:tcW w:type="dxa" w:w="3000"/>
            <w:shd w:fill="EEF3F9" w:color="auto" w:val="clear"/>
            <w:tcMar>
              <w:top w:type="dxa" w:w="80"/>
              <w:left w:type="dxa" w:w="110"/>
              <w:bottom w:type="dxa" w:w="80"/>
              <w:right w:type="dxa" w:w="110"/>
            </w:tcMar>
          </w:tcPr>
          <w:p>
            <w:r>
              <w:rPr>
                <w:rFonts w:ascii="Calibri" w:cs="Calibri" w:eastAsia="Calibri" w:hAnsi="Calibri"/>
                <w:sz w:val="16"/>
                <w:szCs w:val="16"/>
              </w:rPr>
              <w:t xml:space="preserve">investigate how gender equality and challenging assumptions about gender can prevent violence and abuse in relationships</w:t>
            </w:r>
          </w:p>
        </w:tc>
        <w:tc>
          <w:tcPr>
            <w:tcW w:type="dxa" w:w="15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AC9HP10P03</w:t>
            </w:r>
          </w:p>
        </w:tc>
        <w:tc>
          <w:tcPr>
            <w:tcW w:type="dxa" w:w="3026"/>
            <w:shd w:fill="EEF3F9" w:color="auto" w:val="clear"/>
            <w:tcMar>
              <w:top w:type="dxa" w:w="80"/>
              <w:left w:type="dxa" w:w="110"/>
              <w:bottom w:type="dxa" w:w="80"/>
              <w:right w:type="dxa" w:w="110"/>
            </w:tcMar>
          </w:tcPr>
          <w:p>
            <w:r>
              <w:rPr>
                <w:rFonts w:ascii="Calibri" w:cs="Calibri" w:eastAsia="Calibri" w:hAnsi="Calibri"/>
                <w:i/>
                <w:iCs/>
                <w:color w:val="4A5568"/>
                <w:sz w:val="16"/>
                <w:szCs w:val="16"/>
              </w:rPr>
              <w:t xml:space="preserve">Identical wording</w:t>
            </w:r>
          </w:p>
        </w:tc>
      </w:tr>
      <w:tr>
        <w:tc>
          <w:tcPr>
            <w:tcW w:type="dxa" w:w="1500"/>
            <w:tcMar>
              <w:top w:type="dxa" w:w="80"/>
              <w:left w:type="dxa" w:w="110"/>
              <w:bottom w:type="dxa" w:w="80"/>
              <w:right w:type="dxa" w:w="110"/>
            </w:tcMar>
          </w:tcPr>
          <w:p>
            <w:r>
              <w:rPr>
                <w:rFonts w:ascii="Calibri" w:cs="Calibri" w:eastAsia="Calibri" w:hAnsi="Calibri"/>
                <w:b/>
                <w:bCs/>
                <w:color w:val="12335C"/>
                <w:sz w:val="16"/>
                <w:szCs w:val="16"/>
              </w:rPr>
              <w:t xml:space="preserve">VC2HP10P04</w:t>
            </w:r>
          </w:p>
        </w:tc>
        <w:tc>
          <w:tcPr>
            <w:tcW w:type="dxa" w:w="3000"/>
            <w:tcMar>
              <w:top w:type="dxa" w:w="80"/>
              <w:left w:type="dxa" w:w="110"/>
              <w:bottom w:type="dxa" w:w="80"/>
              <w:right w:type="dxa" w:w="110"/>
            </w:tcMar>
          </w:tcPr>
          <w:p>
            <w:r>
              <w:rPr>
                <w:rFonts w:ascii="Calibri" w:cs="Calibri" w:eastAsia="Calibri" w:hAnsi="Calibri"/>
                <w:sz w:val="16"/>
                <w:szCs w:val="16"/>
              </w:rPr>
              <w:t xml:space="preserve">evaluate the influence of respect, empathy, power and coercion on establishing and maintaining respectful relationships</w:t>
            </w:r>
          </w:p>
        </w:tc>
        <w:tc>
          <w:tcPr>
            <w:tcW w:type="dxa" w:w="1500"/>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AC9HP10P04</w:t>
            </w:r>
          </w:p>
        </w:tc>
        <w:tc>
          <w:tcPr>
            <w:tcW w:type="dxa" w:w="3026"/>
            <w:tcMar>
              <w:top w:type="dxa" w:w="80"/>
              <w:left w:type="dxa" w:w="110"/>
              <w:bottom w:type="dxa" w:w="80"/>
              <w:right w:type="dxa" w:w="110"/>
            </w:tcMar>
          </w:tcPr>
          <w:p>
            <w:r>
              <w:rPr>
                <w:rFonts w:ascii="Calibri" w:cs="Calibri" w:eastAsia="Calibri" w:hAnsi="Calibri"/>
                <w:i/>
                <w:iCs/>
                <w:color w:val="4A5568"/>
                <w:sz w:val="16"/>
                <w:szCs w:val="16"/>
              </w:rPr>
              <w:t xml:space="preserve">Identical wording</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6"/>
                <w:szCs w:val="16"/>
              </w:rPr>
              <w:t xml:space="preserve">VC2HP10P05</w:t>
            </w:r>
          </w:p>
        </w:tc>
        <w:tc>
          <w:tcPr>
            <w:tcW w:type="dxa" w:w="3000"/>
            <w:shd w:fill="EEF3F9" w:color="auto" w:val="clear"/>
            <w:tcMar>
              <w:top w:type="dxa" w:w="80"/>
              <w:left w:type="dxa" w:w="110"/>
              <w:bottom w:type="dxa" w:w="80"/>
              <w:right w:type="dxa" w:w="110"/>
            </w:tcMar>
          </w:tcPr>
          <w:p>
            <w:r>
              <w:rPr>
                <w:rFonts w:ascii="Calibri" w:cs="Calibri" w:eastAsia="Calibri" w:hAnsi="Calibri"/>
                <w:sz w:val="16"/>
                <w:szCs w:val="16"/>
              </w:rPr>
              <w:t xml:space="preserve">propose strategies and actions individuals and groups can implement to challenge biases, stereotypes, prejudices and discrimination, and promote inclusion in their communities</w:t>
            </w:r>
          </w:p>
        </w:tc>
        <w:tc>
          <w:tcPr>
            <w:tcW w:type="dxa" w:w="15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AC9HP10P05</w:t>
            </w:r>
          </w:p>
        </w:tc>
        <w:tc>
          <w:tcPr>
            <w:tcW w:type="dxa" w:w="3026"/>
            <w:shd w:fill="EEF3F9" w:color="auto" w:val="clear"/>
            <w:tcMar>
              <w:top w:type="dxa" w:w="80"/>
              <w:left w:type="dxa" w:w="110"/>
              <w:bottom w:type="dxa" w:w="80"/>
              <w:right w:type="dxa" w:w="110"/>
            </w:tcMar>
          </w:tcPr>
          <w:p>
            <w:r>
              <w:rPr>
                <w:rFonts w:ascii="Calibri" w:cs="Calibri" w:eastAsia="Calibri" w:hAnsi="Calibri"/>
                <w:i/>
                <w:iCs/>
                <w:color w:val="4A5568"/>
                <w:sz w:val="16"/>
                <w:szCs w:val="16"/>
              </w:rPr>
              <w:t xml:space="preserve">Identical wording</w:t>
            </w:r>
          </w:p>
        </w:tc>
      </w:tr>
      <w:tr>
        <w:tc>
          <w:tcPr>
            <w:tcW w:type="dxa" w:w="1500"/>
            <w:tcMar>
              <w:top w:type="dxa" w:w="80"/>
              <w:left w:type="dxa" w:w="110"/>
              <w:bottom w:type="dxa" w:w="80"/>
              <w:right w:type="dxa" w:w="110"/>
            </w:tcMar>
          </w:tcPr>
          <w:p>
            <w:r>
              <w:rPr>
                <w:rFonts w:ascii="Calibri" w:cs="Calibri" w:eastAsia="Calibri" w:hAnsi="Calibri"/>
                <w:b/>
                <w:bCs/>
                <w:color w:val="12335C"/>
                <w:sz w:val="16"/>
                <w:szCs w:val="16"/>
              </w:rPr>
              <w:t xml:space="preserve">VC2HP10P06</w:t>
            </w:r>
          </w:p>
        </w:tc>
        <w:tc>
          <w:tcPr>
            <w:tcW w:type="dxa" w:w="3000"/>
            <w:tcMar>
              <w:top w:type="dxa" w:w="80"/>
              <w:left w:type="dxa" w:w="110"/>
              <w:bottom w:type="dxa" w:w="80"/>
              <w:right w:type="dxa" w:w="110"/>
            </w:tcMar>
          </w:tcPr>
          <w:p>
            <w:r>
              <w:rPr>
                <w:rFonts w:ascii="Calibri" w:cs="Calibri" w:eastAsia="Calibri" w:hAnsi="Calibri"/>
                <w:sz w:val="16"/>
                <w:szCs w:val="16"/>
              </w:rPr>
              <w:t xml:space="preserve">evaluate emotional responses in different situations to refine strategies for managing emotions to positively impact health and wellbeing</w:t>
            </w:r>
          </w:p>
        </w:tc>
        <w:tc>
          <w:tcPr>
            <w:tcW w:type="dxa" w:w="1500"/>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AC9HP10P06</w:t>
            </w:r>
          </w:p>
        </w:tc>
        <w:tc>
          <w:tcPr>
            <w:tcW w:type="dxa" w:w="3026"/>
            <w:tcMar>
              <w:top w:type="dxa" w:w="80"/>
              <w:left w:type="dxa" w:w="110"/>
              <w:bottom w:type="dxa" w:w="80"/>
              <w:right w:type="dxa" w:w="110"/>
            </w:tcMar>
          </w:tcPr>
          <w:p>
            <w:r>
              <w:rPr>
                <w:rFonts w:ascii="Calibri" w:cs="Calibri" w:eastAsia="Calibri" w:hAnsi="Calibri"/>
                <w:i w:val="false"/>
                <w:iCs w:val="false"/>
                <w:color w:val="1A202C"/>
                <w:sz w:val="16"/>
                <w:szCs w:val="16"/>
              </w:rPr>
              <w:t xml:space="preserve">Victoria adds “to positively impact health and wellbeing”.</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6"/>
                <w:szCs w:val="16"/>
              </w:rPr>
              <w:t xml:space="preserve">VC2HP10P07</w:t>
            </w:r>
          </w:p>
        </w:tc>
        <w:tc>
          <w:tcPr>
            <w:tcW w:type="dxa" w:w="3000"/>
            <w:shd w:fill="EEF3F9" w:color="auto" w:val="clear"/>
            <w:tcMar>
              <w:top w:type="dxa" w:w="80"/>
              <w:left w:type="dxa" w:w="110"/>
              <w:bottom w:type="dxa" w:w="80"/>
              <w:right w:type="dxa" w:w="110"/>
            </w:tcMar>
          </w:tcPr>
          <w:p>
            <w:r>
              <w:rPr>
                <w:rFonts w:ascii="Calibri" w:cs="Calibri" w:eastAsia="Calibri" w:hAnsi="Calibri"/>
                <w:sz w:val="16"/>
                <w:szCs w:val="16"/>
              </w:rPr>
              <w:t xml:space="preserve">examine how strategies, such as communicating choices, seeking, giving and denying consent, and expressing opinions and needs can support the development of respectful relationships, including sexual relationships</w:t>
            </w:r>
          </w:p>
        </w:tc>
        <w:tc>
          <w:tcPr>
            <w:tcW w:type="dxa" w:w="15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AC9HP10P07</w:t>
            </w:r>
          </w:p>
        </w:tc>
        <w:tc>
          <w:tcPr>
            <w:tcW w:type="dxa" w:w="3026"/>
            <w:shd w:fill="EEF3F9" w:color="auto" w:val="clear"/>
            <w:tcMar>
              <w:top w:type="dxa" w:w="80"/>
              <w:left w:type="dxa" w:w="110"/>
              <w:bottom w:type="dxa" w:w="80"/>
              <w:right w:type="dxa" w:w="110"/>
            </w:tcMar>
          </w:tcPr>
          <w:p>
            <w:r>
              <w:rPr>
                <w:rFonts w:ascii="Calibri" w:cs="Calibri" w:eastAsia="Calibri" w:hAnsi="Calibri"/>
                <w:i/>
                <w:iCs/>
                <w:color w:val="4A5568"/>
                <w:sz w:val="16"/>
                <w:szCs w:val="16"/>
              </w:rPr>
              <w:t xml:space="preserve">Identical wording</w:t>
            </w:r>
          </w:p>
        </w:tc>
      </w:tr>
      <w:tr>
        <w:tc>
          <w:tcPr>
            <w:tcW w:type="dxa" w:w="1500"/>
            <w:tcMar>
              <w:top w:type="dxa" w:w="80"/>
              <w:left w:type="dxa" w:w="110"/>
              <w:bottom w:type="dxa" w:w="80"/>
              <w:right w:type="dxa" w:w="110"/>
            </w:tcMar>
          </w:tcPr>
          <w:p>
            <w:r>
              <w:rPr>
                <w:rFonts w:ascii="Calibri" w:cs="Calibri" w:eastAsia="Calibri" w:hAnsi="Calibri"/>
                <w:b/>
                <w:bCs/>
                <w:color w:val="12335C"/>
                <w:sz w:val="16"/>
                <w:szCs w:val="16"/>
              </w:rPr>
              <w:t xml:space="preserve">VC2HP10P08</w:t>
            </w:r>
          </w:p>
        </w:tc>
        <w:tc>
          <w:tcPr>
            <w:tcW w:type="dxa" w:w="3000"/>
            <w:tcMar>
              <w:top w:type="dxa" w:w="80"/>
              <w:left w:type="dxa" w:w="110"/>
              <w:bottom w:type="dxa" w:w="80"/>
              <w:right w:type="dxa" w:w="110"/>
            </w:tcMar>
          </w:tcPr>
          <w:p>
            <w:r>
              <w:rPr>
                <w:rFonts w:ascii="Calibri" w:cs="Calibri" w:eastAsia="Calibri" w:hAnsi="Calibri"/>
                <w:sz w:val="16"/>
                <w:szCs w:val="16"/>
              </w:rPr>
              <w:t xml:space="preserve">plan, rehearse and evaluate strategies (including first aid and CPR) for managing situations where their own or others’ health, safety or wellbeing may be negatively impacted at home, school and in the community</w:t>
            </w:r>
          </w:p>
        </w:tc>
        <w:tc>
          <w:tcPr>
            <w:tcW w:type="dxa" w:w="1500"/>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AC9HP10P08</w:t>
            </w:r>
          </w:p>
        </w:tc>
        <w:tc>
          <w:tcPr>
            <w:tcW w:type="dxa" w:w="3026"/>
            <w:tcMar>
              <w:top w:type="dxa" w:w="80"/>
              <w:left w:type="dxa" w:w="110"/>
              <w:bottom w:type="dxa" w:w="80"/>
              <w:right w:type="dxa" w:w="110"/>
            </w:tcMar>
          </w:tcPr>
          <w:p>
            <w:r>
              <w:rPr>
                <w:rFonts w:ascii="Calibri" w:cs="Calibri" w:eastAsia="Calibri" w:hAnsi="Calibri"/>
                <w:i w:val="false"/>
                <w:iCs w:val="false"/>
                <w:color w:val="1A202C"/>
                <w:sz w:val="16"/>
                <w:szCs w:val="16"/>
              </w:rPr>
              <w:t xml:space="preserve">Victoria adds “(including first aid and CPR)” and specifies the settings: home, school and community. Mandated Victorian content.</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6"/>
                <w:szCs w:val="16"/>
              </w:rPr>
              <w:t xml:space="preserve">VC2HP10P09</w:t>
            </w:r>
          </w:p>
        </w:tc>
        <w:tc>
          <w:tcPr>
            <w:tcW w:type="dxa" w:w="3000"/>
            <w:shd w:fill="EEF3F9" w:color="auto" w:val="clear"/>
            <w:tcMar>
              <w:top w:type="dxa" w:w="80"/>
              <w:left w:type="dxa" w:w="110"/>
              <w:bottom w:type="dxa" w:w="80"/>
              <w:right w:type="dxa" w:w="110"/>
            </w:tcMar>
          </w:tcPr>
          <w:p>
            <w:r>
              <w:rPr>
                <w:rFonts w:ascii="Calibri" w:cs="Calibri" w:eastAsia="Calibri" w:hAnsi="Calibri"/>
                <w:sz w:val="16"/>
                <w:szCs w:val="16"/>
              </w:rPr>
              <w:t xml:space="preserve">critique health information, services and media messaging about relationships, lifestyle choices, health decisions and behaviours to evaluate their influence on their own, others’ and community’s attitudes and actions</w:t>
            </w:r>
          </w:p>
        </w:tc>
        <w:tc>
          <w:tcPr>
            <w:tcW w:type="dxa" w:w="15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AC9HP10P09</w:t>
            </w:r>
          </w:p>
        </w:tc>
        <w:tc>
          <w:tcPr>
            <w:tcW w:type="dxa" w:w="3026"/>
            <w:shd w:fill="EEF3F9" w:color="auto" w:val="clear"/>
            <w:tcMar>
              <w:top w:type="dxa" w:w="80"/>
              <w:left w:type="dxa" w:w="110"/>
              <w:bottom w:type="dxa" w:w="80"/>
              <w:right w:type="dxa" w:w="110"/>
            </w:tcMar>
          </w:tcPr>
          <w:p>
            <w:r>
              <w:rPr>
                <w:rFonts w:ascii="Calibri" w:cs="Calibri" w:eastAsia="Calibri" w:hAnsi="Calibri"/>
                <w:i w:val="false"/>
                <w:iCs w:val="false"/>
                <w:color w:val="1A202C"/>
                <w:sz w:val="16"/>
                <w:szCs w:val="16"/>
              </w:rPr>
              <w:t xml:space="preserve">Victoria extends the scope from individual attitudes to “their own, others’ and community’s” attitudes and actions.</w:t>
            </w:r>
          </w:p>
        </w:tc>
      </w:tr>
      <w:tr>
        <w:tc>
          <w:tcPr>
            <w:tcW w:type="dxa" w:w="1500"/>
            <w:tcMar>
              <w:top w:type="dxa" w:w="80"/>
              <w:left w:type="dxa" w:w="110"/>
              <w:bottom w:type="dxa" w:w="80"/>
              <w:right w:type="dxa" w:w="110"/>
            </w:tcMar>
          </w:tcPr>
          <w:p>
            <w:r>
              <w:rPr>
                <w:rFonts w:ascii="Calibri" w:cs="Calibri" w:eastAsia="Calibri" w:hAnsi="Calibri"/>
                <w:b/>
                <w:bCs/>
                <w:color w:val="12335C"/>
                <w:sz w:val="16"/>
                <w:szCs w:val="16"/>
              </w:rPr>
              <w:t xml:space="preserve">VC2HP10P10</w:t>
            </w:r>
          </w:p>
        </w:tc>
        <w:tc>
          <w:tcPr>
            <w:tcW w:type="dxa" w:w="3000"/>
            <w:tcMar>
              <w:top w:type="dxa" w:w="80"/>
              <w:left w:type="dxa" w:w="110"/>
              <w:bottom w:type="dxa" w:w="80"/>
              <w:right w:type="dxa" w:w="110"/>
            </w:tcMar>
          </w:tcPr>
          <w:p>
            <w:r>
              <w:rPr>
                <w:rFonts w:ascii="Calibri" w:cs="Calibri" w:eastAsia="Calibri" w:hAnsi="Calibri"/>
                <w:sz w:val="16"/>
                <w:szCs w:val="16"/>
              </w:rPr>
              <w:t xml:space="preserve">plan, justify and critique strategies to enhance their own, others’ and community’s health, safety, relationships and wellbeing</w:t>
            </w:r>
          </w:p>
        </w:tc>
        <w:tc>
          <w:tcPr>
            <w:tcW w:type="dxa" w:w="1500"/>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AC9HP10P10</w:t>
            </w:r>
          </w:p>
        </w:tc>
        <w:tc>
          <w:tcPr>
            <w:tcW w:type="dxa" w:w="3026"/>
            <w:tcMar>
              <w:top w:type="dxa" w:w="80"/>
              <w:left w:type="dxa" w:w="110"/>
              <w:bottom w:type="dxa" w:w="80"/>
              <w:right w:type="dxa" w:w="110"/>
            </w:tcMar>
          </w:tcPr>
          <w:p>
            <w:r>
              <w:rPr>
                <w:rFonts w:ascii="Calibri" w:cs="Calibri" w:eastAsia="Calibri" w:hAnsi="Calibri"/>
                <w:i w:val="false"/>
                <w:iCs w:val="false"/>
                <w:color w:val="1A202C"/>
                <w:sz w:val="16"/>
                <w:szCs w:val="16"/>
              </w:rPr>
              <w:t xml:space="preserve">Victoria adds the community dimension to the AC’s self-and-others framing.</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6"/>
                <w:szCs w:val="16"/>
              </w:rPr>
              <w:t xml:space="preserve">VC2HP10M01</w:t>
            </w:r>
          </w:p>
        </w:tc>
        <w:tc>
          <w:tcPr>
            <w:tcW w:type="dxa" w:w="3000"/>
            <w:shd w:fill="EEF3F9" w:color="auto" w:val="clear"/>
            <w:tcMar>
              <w:top w:type="dxa" w:w="80"/>
              <w:left w:type="dxa" w:w="110"/>
              <w:bottom w:type="dxa" w:w="80"/>
              <w:right w:type="dxa" w:w="110"/>
            </w:tcMar>
          </w:tcPr>
          <w:p>
            <w:r>
              <w:rPr>
                <w:rFonts w:ascii="Calibri" w:cs="Calibri" w:eastAsia="Calibri" w:hAnsi="Calibri"/>
                <w:sz w:val="16"/>
                <w:szCs w:val="16"/>
              </w:rPr>
              <w:t xml:space="preserve">analyse, apply and adapt their own and others’ movement skills in a range of challenging movement situations to enhance performance in indoor, outdoor and aquatic settings</w:t>
            </w:r>
          </w:p>
        </w:tc>
        <w:tc>
          <w:tcPr>
            <w:tcW w:type="dxa" w:w="15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AC9HP10M01</w:t>
            </w:r>
          </w:p>
        </w:tc>
        <w:tc>
          <w:tcPr>
            <w:tcW w:type="dxa" w:w="3026"/>
            <w:shd w:fill="EEF3F9" w:color="auto" w:val="clear"/>
            <w:tcMar>
              <w:top w:type="dxa" w:w="80"/>
              <w:left w:type="dxa" w:w="110"/>
              <w:bottom w:type="dxa" w:w="80"/>
              <w:right w:type="dxa" w:w="110"/>
            </w:tcMar>
          </w:tcPr>
          <w:p>
            <w:r>
              <w:rPr>
                <w:rFonts w:ascii="Calibri" w:cs="Calibri" w:eastAsia="Calibri" w:hAnsi="Calibri"/>
                <w:i w:val="false"/>
                <w:iCs w:val="false"/>
                <w:color w:val="1A202C"/>
                <w:sz w:val="16"/>
                <w:szCs w:val="16"/>
              </w:rPr>
              <w:t xml:space="preserve">Victoria names “indoor, outdoor and aquatic settings”. The AC wording does not.</w:t>
            </w:r>
          </w:p>
        </w:tc>
      </w:tr>
      <w:tr>
        <w:tc>
          <w:tcPr>
            <w:tcW w:type="dxa" w:w="1500"/>
            <w:tcMar>
              <w:top w:type="dxa" w:w="80"/>
              <w:left w:type="dxa" w:w="110"/>
              <w:bottom w:type="dxa" w:w="80"/>
              <w:right w:type="dxa" w:w="110"/>
            </w:tcMar>
          </w:tcPr>
          <w:p>
            <w:r>
              <w:rPr>
                <w:rFonts w:ascii="Calibri" w:cs="Calibri" w:eastAsia="Calibri" w:hAnsi="Calibri"/>
                <w:b/>
                <w:bCs/>
                <w:color w:val="12335C"/>
                <w:sz w:val="16"/>
                <w:szCs w:val="16"/>
              </w:rPr>
              <w:t xml:space="preserve">VC2HP10M02</w:t>
            </w:r>
          </w:p>
        </w:tc>
        <w:tc>
          <w:tcPr>
            <w:tcW w:type="dxa" w:w="3000"/>
            <w:tcMar>
              <w:top w:type="dxa" w:w="80"/>
              <w:left w:type="dxa" w:w="110"/>
              <w:bottom w:type="dxa" w:w="80"/>
              <w:right w:type="dxa" w:w="110"/>
            </w:tcMar>
          </w:tcPr>
          <w:p>
            <w:r>
              <w:rPr>
                <w:rFonts w:ascii="Calibri" w:cs="Calibri" w:eastAsia="Calibri" w:hAnsi="Calibri"/>
                <w:sz w:val="16"/>
                <w:szCs w:val="16"/>
              </w:rPr>
              <w:t xml:space="preserve">create and refine movement strategies to achieve successful outcomes across a range of challenging movement situations</w:t>
            </w:r>
          </w:p>
        </w:tc>
        <w:tc>
          <w:tcPr>
            <w:tcW w:type="dxa" w:w="1500"/>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AC9HP10M02</w:t>
            </w:r>
          </w:p>
        </w:tc>
        <w:tc>
          <w:tcPr>
            <w:tcW w:type="dxa" w:w="3026"/>
            <w:tcMar>
              <w:top w:type="dxa" w:w="80"/>
              <w:left w:type="dxa" w:w="110"/>
              <w:bottom w:type="dxa" w:w="80"/>
              <w:right w:type="dxa" w:w="110"/>
            </w:tcMar>
          </w:tcPr>
          <w:p>
            <w:r>
              <w:rPr>
                <w:rFonts w:ascii="Calibri" w:cs="Calibri" w:eastAsia="Calibri" w:hAnsi="Calibri"/>
                <w:i/>
                <w:iCs/>
                <w:color w:val="4A5568"/>
                <w:sz w:val="16"/>
                <w:szCs w:val="16"/>
              </w:rPr>
              <w:t xml:space="preserve">Identical wording</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6"/>
                <w:szCs w:val="16"/>
              </w:rPr>
              <w:t xml:space="preserve">VC2HP10M03</w:t>
            </w:r>
          </w:p>
        </w:tc>
        <w:tc>
          <w:tcPr>
            <w:tcW w:type="dxa" w:w="3000"/>
            <w:shd w:fill="EEF3F9" w:color="auto" w:val="clear"/>
            <w:tcMar>
              <w:top w:type="dxa" w:w="80"/>
              <w:left w:type="dxa" w:w="110"/>
              <w:bottom w:type="dxa" w:w="80"/>
              <w:right w:type="dxa" w:w="110"/>
            </w:tcMar>
          </w:tcPr>
          <w:p>
            <w:r>
              <w:rPr>
                <w:rFonts w:ascii="Calibri" w:cs="Calibri" w:eastAsia="Calibri" w:hAnsi="Calibri"/>
                <w:sz w:val="16"/>
                <w:szCs w:val="16"/>
              </w:rPr>
              <w:t xml:space="preserve">apply movement concepts in new or challenging movement situations and analyse the impact they have on movement outcomes</w:t>
            </w:r>
          </w:p>
        </w:tc>
        <w:tc>
          <w:tcPr>
            <w:tcW w:type="dxa" w:w="15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AC9HP10M03</w:t>
            </w:r>
          </w:p>
        </w:tc>
        <w:tc>
          <w:tcPr>
            <w:tcW w:type="dxa" w:w="3026"/>
            <w:shd w:fill="EEF3F9" w:color="auto" w:val="clear"/>
            <w:tcMar>
              <w:top w:type="dxa" w:w="80"/>
              <w:left w:type="dxa" w:w="110"/>
              <w:bottom w:type="dxa" w:w="80"/>
              <w:right w:type="dxa" w:w="110"/>
            </w:tcMar>
          </w:tcPr>
          <w:p>
            <w:r>
              <w:rPr>
                <w:rFonts w:ascii="Calibri" w:cs="Calibri" w:eastAsia="Calibri" w:hAnsi="Calibri"/>
                <w:i/>
                <w:iCs/>
                <w:color w:val="4A5568"/>
                <w:sz w:val="16"/>
                <w:szCs w:val="16"/>
              </w:rPr>
              <w:t xml:space="preserve">Identical wording</w:t>
            </w:r>
          </w:p>
        </w:tc>
      </w:tr>
      <w:tr>
        <w:tc>
          <w:tcPr>
            <w:tcW w:type="dxa" w:w="1500"/>
            <w:tcMar>
              <w:top w:type="dxa" w:w="80"/>
              <w:left w:type="dxa" w:w="110"/>
              <w:bottom w:type="dxa" w:w="80"/>
              <w:right w:type="dxa" w:w="110"/>
            </w:tcMar>
          </w:tcPr>
          <w:p>
            <w:r>
              <w:rPr>
                <w:rFonts w:ascii="Calibri" w:cs="Calibri" w:eastAsia="Calibri" w:hAnsi="Calibri"/>
                <w:b/>
                <w:bCs/>
                <w:color w:val="12335C"/>
                <w:sz w:val="16"/>
                <w:szCs w:val="16"/>
              </w:rPr>
              <w:t xml:space="preserve">VC2HP10M04</w:t>
            </w:r>
          </w:p>
        </w:tc>
        <w:tc>
          <w:tcPr>
            <w:tcW w:type="dxa" w:w="3000"/>
            <w:tcMar>
              <w:top w:type="dxa" w:w="80"/>
              <w:left w:type="dxa" w:w="110"/>
              <w:bottom w:type="dxa" w:w="80"/>
              <w:right w:type="dxa" w:w="110"/>
            </w:tcMar>
          </w:tcPr>
          <w:p>
            <w:r>
              <w:rPr>
                <w:rFonts w:ascii="Calibri" w:cs="Calibri" w:eastAsia="Calibri" w:hAnsi="Calibri"/>
                <w:sz w:val="16"/>
                <w:szCs w:val="16"/>
              </w:rPr>
              <w:t xml:space="preserve">evaluate their own and others’ movement compositions and provide and apply feedback to enhance performance, including the impact of the movement elements of time, effort, space, people and objects</w:t>
            </w:r>
          </w:p>
        </w:tc>
        <w:tc>
          <w:tcPr>
            <w:tcW w:type="dxa" w:w="1500"/>
            <w:tcMar>
              <w:top w:type="dxa" w:w="80"/>
              <w:left w:type="dxa" w:w="110"/>
              <w:bottom w:type="dxa" w:w="80"/>
              <w:right w:type="dxa" w:w="110"/>
            </w:tcMar>
          </w:tcPr>
          <w:p>
            <w:r>
              <w:rPr>
                <w:rFonts w:ascii="Calibri" w:cs="Calibri" w:eastAsia="Calibri" w:hAnsi="Calibri"/>
                <w:b/>
                <w:bCs/>
                <w:color w:val="B02A20"/>
                <w:sz w:val="16"/>
                <w:szCs w:val="16"/>
              </w:rPr>
              <w:t xml:space="preserve">No equivalent</w:t>
            </w:r>
          </w:p>
        </w:tc>
        <w:tc>
          <w:tcPr>
            <w:tcW w:type="dxa" w:w="3026"/>
            <w:tcMar>
              <w:top w:type="dxa" w:w="80"/>
              <w:left w:type="dxa" w:w="110"/>
              <w:bottom w:type="dxa" w:w="80"/>
              <w:right w:type="dxa" w:w="110"/>
            </w:tcMar>
          </w:tcPr>
          <w:p>
            <w:r>
              <w:rPr>
                <w:rFonts w:ascii="Calibri" w:cs="Calibri" w:eastAsia="Calibri" w:hAnsi="Calibri"/>
                <w:i w:val="false"/>
                <w:iCs w:val="false"/>
                <w:color w:val="1A202C"/>
                <w:sz w:val="16"/>
                <w:szCs w:val="16"/>
              </w:rPr>
              <w:t xml:space="preserve">VICTORIAN ONLY. Requires students to evaluate movement compositions and apply feedback. No AC v9.0 equivalent. Creates the one-position offset for everything below.</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6"/>
                <w:szCs w:val="16"/>
              </w:rPr>
              <w:t xml:space="preserve">VC2HP10M05</w:t>
            </w:r>
          </w:p>
        </w:tc>
        <w:tc>
          <w:tcPr>
            <w:tcW w:type="dxa" w:w="3000"/>
            <w:shd w:fill="EEF3F9" w:color="auto" w:val="clear"/>
            <w:tcMar>
              <w:top w:type="dxa" w:w="80"/>
              <w:left w:type="dxa" w:w="110"/>
              <w:bottom w:type="dxa" w:w="80"/>
              <w:right w:type="dxa" w:w="110"/>
            </w:tcMar>
          </w:tcPr>
          <w:p>
            <w:r>
              <w:rPr>
                <w:rFonts w:ascii="Calibri" w:cs="Calibri" w:eastAsia="Calibri" w:hAnsi="Calibri"/>
                <w:sz w:val="16"/>
                <w:szCs w:val="16"/>
              </w:rPr>
              <w:t xml:space="preserve">participate in and evaluate physical activities designed to enhance health, fitness and wellbeing</w:t>
            </w:r>
          </w:p>
        </w:tc>
        <w:tc>
          <w:tcPr>
            <w:tcW w:type="dxa" w:w="15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AC9HP10M04</w:t>
            </w:r>
          </w:p>
        </w:tc>
        <w:tc>
          <w:tcPr>
            <w:tcW w:type="dxa" w:w="3026"/>
            <w:shd w:fill="EEF3F9" w:color="auto" w:val="clear"/>
            <w:tcMar>
              <w:top w:type="dxa" w:w="80"/>
              <w:left w:type="dxa" w:w="110"/>
              <w:bottom w:type="dxa" w:w="80"/>
              <w:right w:type="dxa" w:w="110"/>
            </w:tcMar>
          </w:tcPr>
          <w:p>
            <w:r>
              <w:rPr>
                <w:rFonts w:ascii="Calibri" w:cs="Calibri" w:eastAsia="Calibri" w:hAnsi="Calibri"/>
                <w:i w:val="false"/>
                <w:iCs w:val="false"/>
                <w:color w:val="1A202C"/>
                <w:sz w:val="16"/>
                <w:szCs w:val="16"/>
              </w:rPr>
              <w:t xml:space="preserve">Offset by one. Victoria asks students to participate in and evaluate; the AC additionally requires designing strategies for incorporating activity into their lives.</w:t>
            </w:r>
          </w:p>
        </w:tc>
      </w:tr>
      <w:tr>
        <w:tc>
          <w:tcPr>
            <w:tcW w:type="dxa" w:w="1500"/>
            <w:tcMar>
              <w:top w:type="dxa" w:w="80"/>
              <w:left w:type="dxa" w:w="110"/>
              <w:bottom w:type="dxa" w:w="80"/>
              <w:right w:type="dxa" w:w="110"/>
            </w:tcMar>
          </w:tcPr>
          <w:p>
            <w:r>
              <w:rPr>
                <w:rFonts w:ascii="Calibri" w:cs="Calibri" w:eastAsia="Calibri" w:hAnsi="Calibri"/>
                <w:b/>
                <w:bCs/>
                <w:color w:val="12335C"/>
                <w:sz w:val="16"/>
                <w:szCs w:val="16"/>
              </w:rPr>
              <w:t xml:space="preserve">VC2HP10M06</w:t>
            </w:r>
          </w:p>
        </w:tc>
        <w:tc>
          <w:tcPr>
            <w:tcW w:type="dxa" w:w="3000"/>
            <w:tcMar>
              <w:top w:type="dxa" w:w="80"/>
              <w:left w:type="dxa" w:w="110"/>
              <w:bottom w:type="dxa" w:w="80"/>
              <w:right w:type="dxa" w:w="110"/>
            </w:tcMar>
          </w:tcPr>
          <w:p>
            <w:r>
              <w:rPr>
                <w:rFonts w:ascii="Calibri" w:cs="Calibri" w:eastAsia="Calibri" w:hAnsi="Calibri"/>
                <w:sz w:val="16"/>
                <w:szCs w:val="16"/>
              </w:rPr>
              <w:t xml:space="preserve">participate in physical activities that promote health, safety and social outcomes in outdoor environments and aquatic settings to design and evaluate participation strategies for themselves and others</w:t>
            </w:r>
          </w:p>
        </w:tc>
        <w:tc>
          <w:tcPr>
            <w:tcW w:type="dxa" w:w="1500"/>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AC9HP10M05</w:t>
            </w:r>
          </w:p>
        </w:tc>
        <w:tc>
          <w:tcPr>
            <w:tcW w:type="dxa" w:w="3026"/>
            <w:tcMar>
              <w:top w:type="dxa" w:w="80"/>
              <w:left w:type="dxa" w:w="110"/>
              <w:bottom w:type="dxa" w:w="80"/>
              <w:right w:type="dxa" w:w="110"/>
            </w:tcMar>
          </w:tcPr>
          <w:p>
            <w:r>
              <w:rPr>
                <w:rFonts w:ascii="Calibri" w:cs="Calibri" w:eastAsia="Calibri" w:hAnsi="Calibri"/>
                <w:i w:val="false"/>
                <w:iCs w:val="false"/>
                <w:color w:val="1A202C"/>
                <w:sz w:val="16"/>
                <w:szCs w:val="16"/>
              </w:rPr>
              <w:t xml:space="preserve">Offset by one. Victoria specifies outdoor environments and aquatic settings and adds safety outcomes.</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6"/>
                <w:szCs w:val="16"/>
              </w:rPr>
              <w:t xml:space="preserve">VC2HP10M07</w:t>
            </w:r>
          </w:p>
        </w:tc>
        <w:tc>
          <w:tcPr>
            <w:tcW w:type="dxa" w:w="3000"/>
            <w:shd w:fill="EEF3F9" w:color="auto" w:val="clear"/>
            <w:tcMar>
              <w:top w:type="dxa" w:w="80"/>
              <w:left w:type="dxa" w:w="110"/>
              <w:bottom w:type="dxa" w:w="80"/>
              <w:right w:type="dxa" w:w="110"/>
            </w:tcMar>
          </w:tcPr>
          <w:p>
            <w:r>
              <w:rPr>
                <w:rFonts w:ascii="Calibri" w:cs="Calibri" w:eastAsia="Calibri" w:hAnsi="Calibri"/>
                <w:sz w:val="16"/>
                <w:szCs w:val="16"/>
              </w:rPr>
              <w:t xml:space="preserve">design, implement and evaluate personalised plans for improving or maintaining their own or others’ physical activity levels to achieve health-related fitness, health and wellbeing outcomes</w:t>
            </w:r>
          </w:p>
        </w:tc>
        <w:tc>
          <w:tcPr>
            <w:tcW w:type="dxa" w:w="15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AC9HP10M06</w:t>
            </w:r>
          </w:p>
        </w:tc>
        <w:tc>
          <w:tcPr>
            <w:tcW w:type="dxa" w:w="3026"/>
            <w:shd w:fill="EEF3F9" w:color="auto" w:val="clear"/>
            <w:tcMar>
              <w:top w:type="dxa" w:w="80"/>
              <w:left w:type="dxa" w:w="110"/>
              <w:bottom w:type="dxa" w:w="80"/>
              <w:right w:type="dxa" w:w="110"/>
            </w:tcMar>
          </w:tcPr>
          <w:p>
            <w:r>
              <w:rPr>
                <w:rFonts w:ascii="Calibri" w:cs="Calibri" w:eastAsia="Calibri" w:hAnsi="Calibri"/>
                <w:i w:val="false"/>
                <w:iCs w:val="false"/>
                <w:color w:val="1A202C"/>
                <w:sz w:val="16"/>
                <w:szCs w:val="16"/>
              </w:rPr>
              <w:t xml:space="preserve">Offset by one. Victoria specifies health-related fitness.</w:t>
            </w:r>
          </w:p>
        </w:tc>
      </w:tr>
      <w:tr>
        <w:tc>
          <w:tcPr>
            <w:tcW w:type="dxa" w:w="1500"/>
            <w:tcMar>
              <w:top w:type="dxa" w:w="80"/>
              <w:left w:type="dxa" w:w="110"/>
              <w:bottom w:type="dxa" w:w="80"/>
              <w:right w:type="dxa" w:w="110"/>
            </w:tcMar>
          </w:tcPr>
          <w:p>
            <w:r>
              <w:rPr>
                <w:rFonts w:ascii="Calibri" w:cs="Calibri" w:eastAsia="Calibri" w:hAnsi="Calibri"/>
                <w:b/>
                <w:bCs/>
                <w:color w:val="12335C"/>
                <w:sz w:val="16"/>
                <w:szCs w:val="16"/>
              </w:rPr>
              <w:t xml:space="preserve">VC2HP10M08</w:t>
            </w:r>
          </w:p>
        </w:tc>
        <w:tc>
          <w:tcPr>
            <w:tcW w:type="dxa" w:w="3000"/>
            <w:tcMar>
              <w:top w:type="dxa" w:w="80"/>
              <w:left w:type="dxa" w:w="110"/>
              <w:bottom w:type="dxa" w:w="80"/>
              <w:right w:type="dxa" w:w="110"/>
            </w:tcMar>
          </w:tcPr>
          <w:p>
            <w:r>
              <w:rPr>
                <w:rFonts w:ascii="Calibri" w:cs="Calibri" w:eastAsia="Calibri" w:hAnsi="Calibri"/>
                <w:sz w:val="16"/>
                <w:szCs w:val="16"/>
              </w:rPr>
              <w:t xml:space="preserve">transfer and adapt skills and strategies from previous experiences to create successful outcomes in unfamiliar movement situations</w:t>
            </w:r>
          </w:p>
        </w:tc>
        <w:tc>
          <w:tcPr>
            <w:tcW w:type="dxa" w:w="1500"/>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AC9HP10M07</w:t>
            </w:r>
          </w:p>
        </w:tc>
        <w:tc>
          <w:tcPr>
            <w:tcW w:type="dxa" w:w="3026"/>
            <w:tcMar>
              <w:top w:type="dxa" w:w="80"/>
              <w:left w:type="dxa" w:w="110"/>
              <w:bottom w:type="dxa" w:w="80"/>
              <w:right w:type="dxa" w:w="110"/>
            </w:tcMar>
          </w:tcPr>
          <w:p>
            <w:r>
              <w:rPr>
                <w:rFonts w:ascii="Calibri" w:cs="Calibri" w:eastAsia="Calibri" w:hAnsi="Calibri"/>
                <w:i w:val="false"/>
                <w:iCs w:val="false"/>
                <w:color w:val="1A202C"/>
                <w:sz w:val="16"/>
                <w:szCs w:val="16"/>
              </w:rPr>
              <w:t xml:space="preserve">Offset by one. Wording otherwise identical.</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6"/>
                <w:szCs w:val="16"/>
              </w:rPr>
              <w:t xml:space="preserve">VC2HP10M09</w:t>
            </w:r>
          </w:p>
        </w:tc>
        <w:tc>
          <w:tcPr>
            <w:tcW w:type="dxa" w:w="3000"/>
            <w:shd w:fill="EEF3F9" w:color="auto" w:val="clear"/>
            <w:tcMar>
              <w:top w:type="dxa" w:w="80"/>
              <w:left w:type="dxa" w:w="110"/>
              <w:bottom w:type="dxa" w:w="80"/>
              <w:right w:type="dxa" w:w="110"/>
            </w:tcMar>
          </w:tcPr>
          <w:p>
            <w:r>
              <w:rPr>
                <w:rFonts w:ascii="Calibri" w:cs="Calibri" w:eastAsia="Calibri" w:hAnsi="Calibri"/>
                <w:sz w:val="16"/>
                <w:szCs w:val="16"/>
              </w:rPr>
              <w:t xml:space="preserve">demonstrate fair play and reflect on how ethical behaviour can influence physical activity outcomes for individuals and groups</w:t>
            </w:r>
          </w:p>
        </w:tc>
        <w:tc>
          <w:tcPr>
            <w:tcW w:type="dxa" w:w="15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AC9HP10M08</w:t>
            </w:r>
          </w:p>
        </w:tc>
        <w:tc>
          <w:tcPr>
            <w:tcW w:type="dxa" w:w="3026"/>
            <w:shd w:fill="EEF3F9" w:color="auto" w:val="clear"/>
            <w:tcMar>
              <w:top w:type="dxa" w:w="80"/>
              <w:left w:type="dxa" w:w="110"/>
              <w:bottom w:type="dxa" w:w="80"/>
              <w:right w:type="dxa" w:w="110"/>
            </w:tcMar>
          </w:tcPr>
          <w:p>
            <w:r>
              <w:rPr>
                <w:rFonts w:ascii="Calibri" w:cs="Calibri" w:eastAsia="Calibri" w:hAnsi="Calibri"/>
                <w:i w:val="false"/>
                <w:iCs w:val="false"/>
                <w:color w:val="1A202C"/>
                <w:sz w:val="16"/>
                <w:szCs w:val="16"/>
              </w:rPr>
              <w:t xml:space="preserve">Offset by one. Wording otherwise identical.</w:t>
            </w:r>
          </w:p>
        </w:tc>
      </w:tr>
      <w:tr>
        <w:tc>
          <w:tcPr>
            <w:tcW w:type="dxa" w:w="1500"/>
            <w:tcMar>
              <w:top w:type="dxa" w:w="80"/>
              <w:left w:type="dxa" w:w="110"/>
              <w:bottom w:type="dxa" w:w="80"/>
              <w:right w:type="dxa" w:w="110"/>
            </w:tcMar>
          </w:tcPr>
          <w:p>
            <w:r>
              <w:rPr>
                <w:rFonts w:ascii="Calibri" w:cs="Calibri" w:eastAsia="Calibri" w:hAnsi="Calibri"/>
                <w:b/>
                <w:bCs/>
                <w:color w:val="12335C"/>
                <w:sz w:val="16"/>
                <w:szCs w:val="16"/>
              </w:rPr>
              <w:t xml:space="preserve">VC2HP10M10</w:t>
            </w:r>
          </w:p>
        </w:tc>
        <w:tc>
          <w:tcPr>
            <w:tcW w:type="dxa" w:w="3000"/>
            <w:tcMar>
              <w:top w:type="dxa" w:w="80"/>
              <w:left w:type="dxa" w:w="110"/>
              <w:bottom w:type="dxa" w:w="80"/>
              <w:right w:type="dxa" w:w="110"/>
            </w:tcMar>
          </w:tcPr>
          <w:p>
            <w:r>
              <w:rPr>
                <w:rFonts w:ascii="Calibri" w:cs="Calibri" w:eastAsia="Calibri" w:hAnsi="Calibri"/>
                <w:sz w:val="16"/>
                <w:szCs w:val="16"/>
              </w:rPr>
              <w:t xml:space="preserve">devise, implement and refine strategies for decision-making when working in groups or teams that demonstrate leadership and collaboration skills</w:t>
            </w:r>
          </w:p>
        </w:tc>
        <w:tc>
          <w:tcPr>
            <w:tcW w:type="dxa" w:w="1500"/>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AC9HP10M09</w:t>
            </w:r>
          </w:p>
        </w:tc>
        <w:tc>
          <w:tcPr>
            <w:tcW w:type="dxa" w:w="3026"/>
            <w:tcMar>
              <w:top w:type="dxa" w:w="80"/>
              <w:left w:type="dxa" w:w="110"/>
              <w:bottom w:type="dxa" w:w="80"/>
              <w:right w:type="dxa" w:w="110"/>
            </w:tcMar>
          </w:tcPr>
          <w:p>
            <w:r>
              <w:rPr>
                <w:rFonts w:ascii="Calibri" w:cs="Calibri" w:eastAsia="Calibri" w:hAnsi="Calibri"/>
                <w:i w:val="false"/>
                <w:iCs w:val="false"/>
                <w:color w:val="1A202C"/>
                <w:sz w:val="16"/>
                <w:szCs w:val="16"/>
              </w:rPr>
              <w:t xml:space="preserve">Offset by one. Wording otherwise identical.</w:t>
            </w:r>
          </w:p>
        </w:tc>
      </w:tr>
    </w:tbl>
    <w:p>
      <w:r>
        <w:br w:type="page"/>
      </w:r>
    </w:p>
    <w:p>
      <w:pPr>
        <w:pStyle w:val="Heading1"/>
        <w:pBdr>
          <w:bottom w:val="single" w:color="1F6FB2" w:sz="12" w:space="6"/>
        </w:pBdr>
        <w:spacing w:after="160" w:before="340"/>
      </w:pPr>
      <w:r>
        <w:rPr>
          <w:rFonts w:ascii="Calibri" w:cs="Calibri" w:eastAsia="Calibri" w:hAnsi="Calibri"/>
          <w:b/>
          <w:bCs/>
          <w:color w:val="12335C"/>
          <w:sz w:val="30"/>
          <w:szCs w:val="30"/>
        </w:rPr>
        <w:t xml:space="preserve">Sources</w:t>
      </w:r>
    </w:p>
    <w:p>
      <w:pPr>
        <w:spacing w:after="120" w:line="264"/>
      </w:pPr>
      <w:r>
        <w:rPr>
          <w:rFonts w:ascii="Calibri" w:cs="Calibri" w:eastAsia="Calibri" w:hAnsi="Calibri"/>
          <w:sz w:val="20"/>
          <w:szCs w:val="20"/>
        </w:rPr>
        <w:t xml:space="preserve">Victorian wording is taken verbatim from the VCAA Version 2.0 curriculum export for Health and Physical Education. The VCAA Version 2.0 site is a JavaScript application and its content descriptions are not reliably indexed by search engines — the Download curriculum function at f10.vcaa.vic.edu.au/download-curriculum is the authoritative way to obtain them.</w:t>
      </w:r>
    </w:p>
    <w:p>
      <w:pPr>
        <w:spacing w:after="120" w:line="264"/>
      </w:pPr>
      <w:r>
        <w:rPr>
          <w:rFonts w:ascii="Calibri" w:cs="Calibri" w:eastAsia="Calibri" w:hAnsi="Calibri"/>
          <w:sz w:val="20"/>
          <w:szCs w:val="20"/>
        </w:rPr>
        <w:t xml:space="preserve">Australian Curriculum wording is taken from the published Years 7–10 sequence of content descriptions. Australian Curriculum material is © ACARA 2010–present, licensed CC BY 4.0. Victorian Curriculum content is © Victorian Curriculum and Assessment Authority.</w:t>
      </w:r>
    </w:p>
    <w:p>
      <w:pPr>
        <w:spacing w:after="120" w:line="264"/>
      </w:pPr>
      <w:r>
        <w:rPr>
          <w:rFonts w:ascii="Calibri" w:cs="Calibri" w:eastAsia="Calibri" w:hAnsi="Calibri"/>
          <w:i/>
          <w:iCs/>
          <w:sz w:val="20"/>
          <w:szCs w:val="20"/>
        </w:rPr>
        <w:t xml:space="preserve">Both curricula are revised periodically. Verify against the source before submitting curriculum documentation. Verified September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568"/>
        <w:sz w:val="15"/>
        <w:szCs w:val="15"/>
      </w:rPr>
      <w:t xml:space="preserve">© 2026 Emilie Harrison · CC BY 4.0 · Page </w:t>
    </w:r>
    <w:r>
      <w:rPr>
        <w:color w:val="4A5568"/>
        <w:sz w:val="15"/>
        <w:szCs w:val="15"/>
      </w:rPr>
      <w:fldChar w:fldCharType="begin"/>
      <w:instrText xml:space="preserve">PAGE</w:instrText>
      <w:fldChar w:fldCharType="separate"/>
      <w:fldChar w:fldCharType="end"/>
    </w:r>
    <w:r>
      <w:rPr>
        <w:rFonts w:ascii="Calibri" w:cs="Calibri" w:eastAsia="Calibri" w:hAnsi="Calibri"/>
        <w:color w:val="4A5568"/>
        <w:sz w:val="15"/>
        <w:szCs w:val="15"/>
      </w:rPr>
      <w:t xml:space="preserve"> of </w:t>
    </w:r>
    <w:r>
      <w:rPr>
        <w:color w:val="4A556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6E5" w:sz="4" w:space="4"/>
      </w:pBdr>
      <w:jc w:val="right"/>
    </w:pPr>
    <w:r>
      <w:rPr>
        <w:rFonts w:ascii="Calibri" w:cs="Calibri" w:eastAsia="Calibri" w:hAnsi="Calibri"/>
        <w:color w:val="4A5568"/>
        <w:sz w:val="15"/>
        <w:szCs w:val="15"/>
      </w:rPr>
      <w:t xml:space="preserve">Victorian Curriculum 2.0 vs Australian Curriculum 9.0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Victorian Curriculum 2.0 vs Australian Curriculum 9.0</dc:title>
  <dc:creator>Emilie Harrison</dc:creator>
  <dc:description>HPE content description comparison · Levels 7–8 and 9–10 · all 40 Victorian codes mapped</dc:description>
  <cp:lastModifiedBy>Un-named</cp:lastModifiedBy>
  <cp:revision>1</cp:revision>
  <dcterms:created xsi:type="dcterms:W3CDTF">2026-09-16T01:45:13.764Z</dcterms:created>
  <dcterms:modified xsi:type="dcterms:W3CDTF">2026-09-16T01:45:13.773Z</dcterms:modified>
</cp:coreProperties>
</file>

<file path=docProps/custom.xml><?xml version="1.0" encoding="utf-8"?>
<Properties xmlns="http://schemas.openxmlformats.org/officeDocument/2006/custom-properties" xmlns:vt="http://schemas.openxmlformats.org/officeDocument/2006/docPropsVTypes"/>
</file>