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1F6FB2"/>
          <w:spacing w:val="40"/>
          <w:sz w:val="18"/>
          <w:szCs w:val="18"/>
        </w:rPr>
        <w:t xml:space="preserve">TEACHER REFERENCE  ·  VERSION 8</w:t>
      </w:r>
    </w:p>
    <w:p>
      <w:pPr>
        <w:spacing w:after="0" w:before="200"/>
      </w:pPr>
      <w:r>
        <w:rPr>
          <w:rFonts w:ascii="Calibri" w:cs="Calibri" w:eastAsia="Calibri" w:hAnsi="Calibri"/>
          <w:b/>
          <w:bCs/>
          <w:color w:val="12335C"/>
          <w:sz w:val="64"/>
          <w:szCs w:val="64"/>
        </w:rPr>
        <w:t xml:space="preserve">HPE Secondary</w:t>
      </w:r>
    </w:p>
    <w:p>
      <w:pPr>
        <w:spacing w:after="0"/>
      </w:pPr>
      <w:r>
        <w:rPr>
          <w:rFonts w:ascii="Calibri" w:cs="Calibri" w:eastAsia="Calibri" w:hAnsi="Calibri"/>
          <w:b/>
          <w:bCs/>
          <w:color w:val="1F6FB2"/>
          <w:sz w:val="64"/>
          <w:szCs w:val="64"/>
        </w:rPr>
        <w:t xml:space="preserve">Resource Directory</w:t>
      </w:r>
    </w:p>
    <w:p>
      <w:pPr>
        <w:pBdr>
          <w:top w:val="single" w:color="1F6FB2" w:sz="12" w:space="8"/>
        </w:pBdr>
        <w:spacing w:after="0" w:before="240"/>
      </w:pPr>
      <w:r>
        <w:rPr>
          <w:rFonts w:ascii="Calibri" w:cs="Calibri" w:eastAsia="Calibri" w:hAnsi="Calibri"/>
          <w:color w:val="4A5568"/>
          <w:sz w:val="22"/>
          <w:szCs w:val="22"/>
        </w:rPr>
        <w:t xml:space="preserve">Victorian Curriculum F–10 Version 2.0  ·  Health and Physical Education  ·  Levels 7–8 and 9–10</w:t>
      </w:r>
    </w:p>
    <w:p>
      <w:pPr>
        <w:spacing w:before="400"/>
      </w:pPr>
      <w:r>
        <w:rPr>
          <w:rFonts w:ascii="Calibri" w:cs="Calibri" w:eastAsia="Calibri" w:hAnsi="Calibri"/>
          <w:color w:val="1A202C"/>
          <w:sz w:val="20"/>
          <w:szCs w:val="20"/>
        </w:rPr>
        <w:t xml:space="preserve">Curriculum codes and content description wording in this directory are taken verbatim from the VCAA Version 2.0 curriculum export dated 16 September 2026. Every one of the 40 Levels 7–10 content descriptions is accounted for.</w:t>
      </w:r>
    </w:p>
    <w:p>
      <w:pPr>
        <w:spacing w:before="200"/>
      </w:pPr>
      <w:r>
        <w:rPr>
          <w:rFonts w:ascii="Calibri" w:cs="Calibri" w:eastAsia="Calibri" w:hAnsi="Calibri"/>
          <w:i/>
          <w:iCs/>
          <w:color w:val="4A5568"/>
          <w:sz w:val="18"/>
          <w:szCs w:val="18"/>
        </w:rPr>
        <w:t xml:space="preserve">Compiled for Victorian secondary HPE teachers. Editable — annotate, delete and adapt for your faculty.</w:t>
      </w:r>
    </w:p>
    <w:p>
      <w:r>
        <w:br w:type="page"/>
      </w:r>
    </w:p>
    <w:p>
      <w:pPr>
        <w:pStyle w:val="Heading1"/>
        <w:pBdr>
          <w:bottom w:val="single" w:color="1F6FB2" w:sz="12" w:space="6"/>
        </w:pBdr>
        <w:spacing w:after="180" w:before="360"/>
      </w:pPr>
      <w:r>
        <w:rPr>
          <w:rFonts w:ascii="Calibri" w:cs="Calibri" w:eastAsia="Calibri" w:hAnsi="Calibri"/>
          <w:b/>
          <w:bCs/>
          <w:color w:val="12335C"/>
          <w:sz w:val="30"/>
          <w:szCs w:val="30"/>
        </w:rPr>
        <w:t xml:space="preserve">How to Use This Directory</w:t>
      </w:r>
    </w:p>
    <w:p>
      <w:pPr>
        <w:spacing w:after="120" w:line="264"/>
      </w:pPr>
      <w:r>
        <w:rPr>
          <w:rFonts w:ascii="Calibri" w:cs="Calibri" w:eastAsia="Calibri" w:hAnsi="Calibri"/>
          <w:color w:val="1A202C"/>
          <w:sz w:val="20"/>
          <w:szCs w:val="20"/>
        </w:rPr>
        <w:t xml:space="preserve">This directory maps free and low-cost teaching resources to the Victorian Curriculum F–10 Version 2.0 Health and Physical Education curriculum, which is mandated for Victorian government and Catholic schools from 2026.</w:t>
      </w:r>
    </w:p>
    <w:p>
      <w:pPr>
        <w:spacing w:after="120" w:line="264"/>
      </w:pPr>
      <w:r>
        <w:rPr>
          <w:rFonts w:ascii="Calibri" w:cs="Calibri" w:eastAsia="Calibri" w:hAnsi="Calibri"/>
          <w:color w:val="1A202C"/>
          <w:sz w:val="20"/>
          <w:szCs w:val="20"/>
        </w:rPr>
        <w:t xml:space="preserve">Sections are grouped by the two curriculum strands, then by cross-cutting resources. Each section opens with its focus areas, the exact content description codes it services, and a short teaching note. The note is the part worth reading — it says what the section is actually good for, and where programs commonly fall short.</w:t>
      </w:r>
    </w:p>
    <w:p>
      <w:pPr>
        <w:pStyle w:val="Heading2"/>
        <w:pBdr>
          <w:bottom w:val="single" w:color="C8D6E5" w:sz="6" w:space="4"/>
        </w:pBdr>
        <w:spacing w:after="120" w:before="300"/>
      </w:pPr>
      <w:r>
        <w:rPr>
          <w:rFonts w:ascii="Calibri" w:cs="Calibri" w:eastAsia="Calibri" w:hAnsi="Calibri"/>
          <w:b/>
          <w:bCs/>
          <w:color w:val="12335C"/>
          <w:sz w:val="24"/>
          <w:szCs w:val="24"/>
        </w:rPr>
        <w:t xml:space="preserve">Reading the flags</w:t>
      </w:r>
    </w:p>
    <w:p>
      <w:pPr>
        <w:pStyle w:val="ListParagraph"/>
        <w:numPr>
          <w:ilvl w:val="0"/>
          <w:numId w:val="2"/>
        </w:numPr>
        <w:spacing w:after="60"/>
      </w:pPr>
      <w:r>
        <w:rPr>
          <w:rFonts w:ascii="Calibri" w:cs="Calibri" w:eastAsia="Calibri" w:hAnsi="Calibri"/>
          <w:sz w:val="20"/>
          <w:szCs w:val="20"/>
        </w:rPr>
        <w:t xml:space="preserve">Free · Paid · Cost varies · Membership — what the resource costs a school.</w:t>
      </w:r>
    </w:p>
    <w:p>
      <w:pPr>
        <w:pStyle w:val="ListParagraph"/>
        <w:numPr>
          <w:ilvl w:val="0"/>
          <w:numId w:val="2"/>
        </w:numPr>
        <w:spacing w:after="60"/>
      </w:pPr>
      <w:r>
        <w:rPr>
          <w:rFonts w:ascii="Calibri" w:cs="Calibri" w:eastAsia="Calibri" w:hAnsi="Calibri"/>
          <w:sz w:val="20"/>
          <w:szCs w:val="20"/>
        </w:rPr>
        <w:t xml:space="preserve">V — verified during this revision (September 2026): the page was retrieved and confirmed live.</w:t>
      </w:r>
    </w:p>
    <w:p>
      <w:pPr>
        <w:pStyle w:val="ListParagraph"/>
        <w:numPr>
          <w:ilvl w:val="0"/>
          <w:numId w:val="2"/>
        </w:numPr>
        <w:spacing w:after="60"/>
      </w:pPr>
      <w:r>
        <w:rPr>
          <w:rFonts w:ascii="Calibri" w:cs="Calibri" w:eastAsia="Calibri" w:hAnsi="Calibri"/>
          <w:sz w:val="20"/>
          <w:szCs w:val="20"/>
        </w:rPr>
        <w:t xml:space="preserve">C — canonical entry page. The organisation’s primary landing page, chosen because it is the address least likely to break. Not individually re-fetched this revision.</w:t>
      </w:r>
    </w:p>
    <w:p>
      <w:pPr>
        <w:pStyle w:val="ListParagraph"/>
        <w:numPr>
          <w:ilvl w:val="0"/>
          <w:numId w:val="2"/>
        </w:numPr>
        <w:spacing w:after="60"/>
      </w:pPr>
      <w:r>
        <w:rPr>
          <w:rFonts w:ascii="Calibri" w:cs="Calibri" w:eastAsia="Calibri" w:hAnsi="Calibri"/>
          <w:sz w:val="20"/>
          <w:szCs w:val="20"/>
        </w:rPr>
        <w:t xml:space="preserve">? — carried forward from Version 7 and not verified. Treat with caution.</w:t>
      </w:r>
    </w:p>
    <w:p>
      <w:pPr>
        <w:spacing w:after="120" w:line="264"/>
      </w:pPr>
      <w:r>
        <w:rPr>
          <w:rFonts w:ascii="Calibri" w:cs="Calibri" w:eastAsia="Calibri" w:hAnsi="Calibri"/>
          <w:i/>
          <w:iCs/>
          <w:color w:val="1A202C"/>
          <w:sz w:val="20"/>
          <w:szCs w:val="20"/>
        </w:rPr>
        <w:t xml:space="preserve">Deep links are used sparingly and deliberately. Version 7 carried 237 unique URLs, many of them pointing several levels into organisational sites; several had already broken. Entry pages survive site rebuilds. Deep links do not.</w:t>
      </w:r>
    </w:p>
    <w:p>
      <w:pPr>
        <w:pStyle w:val="Heading2"/>
        <w:pBdr>
          <w:bottom w:val="single" w:color="C8D6E5" w:sz="6" w:space="4"/>
        </w:pBdr>
        <w:spacing w:after="120" w:before="300"/>
      </w:pPr>
      <w:r>
        <w:rPr>
          <w:rFonts w:ascii="Calibri" w:cs="Calibri" w:eastAsia="Calibri" w:hAnsi="Calibri"/>
          <w:b/>
          <w:bCs/>
          <w:color w:val="12335C"/>
          <w:sz w:val="24"/>
          <w:szCs w:val="24"/>
        </w:rPr>
        <w:t xml:space="preserve">Codes describe teaching, not reporting</w:t>
      </w:r>
    </w:p>
    <w:p>
      <w:pPr>
        <w:spacing w:after="120" w:line="264"/>
      </w:pPr>
      <w:r>
        <w:rPr>
          <w:rFonts w:ascii="Calibri" w:cs="Calibri" w:eastAsia="Calibri" w:hAnsi="Calibri"/>
          <w:color w:val="1A202C"/>
          <w:sz w:val="20"/>
          <w:szCs w:val="20"/>
        </w:rPr>
        <w:t xml:space="preserve">Victorian Curriculum 2.0 reports against achievement standards. Content description codes record what was taught; the achievement standard is what you report against. Curriculum documentation that lists codes but produces no achievement standard evidence will not withstand review.</w:t>
      </w:r>
    </w:p>
    <w:p>
      <w:r>
        <w:br w:type="page"/>
      </w:r>
    </w:p>
    <w:p>
      <w:pPr>
        <w:pStyle w:val="Heading1"/>
        <w:pBdr>
          <w:bottom w:val="single" w:color="1F6FB2" w:sz="12" w:space="6"/>
        </w:pBdr>
        <w:spacing w:after="180" w:before="360"/>
      </w:pPr>
      <w:r>
        <w:rPr>
          <w:rFonts w:ascii="Calibri" w:cs="Calibri" w:eastAsia="Calibri" w:hAnsi="Calibri"/>
          <w:b/>
          <w:bCs/>
          <w:color w:val="12335C"/>
          <w:sz w:val="30"/>
          <w:szCs w:val="30"/>
        </w:rPr>
        <w:t xml:space="preserve">Contents</w:t>
      </w:r>
    </w:p>
    <w:p>
      <w:pPr>
        <w:spacing w:after="80"/>
      </w:pPr>
      <w:r>
        <w:rPr>
          <w:rFonts w:ascii="Calibri" w:cs="Calibri" w:eastAsia="Calibri" w:hAnsi="Calibri"/>
          <w:color w:val="4A5568"/>
          <w:sz w:val="17"/>
          <w:szCs w:val="17"/>
        </w:rPr>
        <w:t xml:space="preserve">Page numbers are current as at the date of this version. If you restructure the document, regenerate them.</w:t>
      </w:r>
    </w:p>
    <w:p>
      <w:pPr>
        <w:tabs>
          <w:tab w:val="right" w:pos="9026" w:leader="dot"/>
        </w:tabs>
        <w:spacing w:after="60" w:before="140"/>
        <w:ind w:left="0"/>
      </w:pPr>
      <w:r>
        <w:rPr>
          <w:rFonts w:ascii="Calibri" w:cs="Calibri" w:eastAsia="Calibri" w:hAnsi="Calibri"/>
          <w:b/>
          <w:bCs/>
          <w:color w:val="12335C"/>
          <w:sz w:val="19"/>
          <w:szCs w:val="19"/>
        </w:rPr>
        <w:t xml:space="preserve">How to Use This Directory</w:t>
      </w:r>
      <w:r>
        <w:rPr>
          <w:rFonts w:ascii="Calibri" w:cs="Calibri" w:eastAsia="Calibri" w:hAnsi="Calibri"/>
          <w:b/>
          <w:bCs/>
          <w:color w:val="12335C"/>
          <w:sz w:val="19"/>
          <w:szCs w:val="19"/>
        </w:rPr>
        <w:t xml:space="preserve">	2</w:t>
      </w:r>
    </w:p>
    <w:p>
      <w:pPr>
        <w:tabs>
          <w:tab w:val="right" w:pos="9026" w:leader="dot"/>
        </w:tabs>
        <w:spacing w:after="30" w:before="0"/>
        <w:ind w:left="300"/>
      </w:pPr>
      <w:r>
        <w:rPr>
          <w:rFonts w:ascii="Calibri" w:cs="Calibri" w:eastAsia="Calibri" w:hAnsi="Calibri"/>
          <w:b w:val="false"/>
          <w:bCs w:val="false"/>
          <w:color w:val="1A202C"/>
          <w:sz w:val="18"/>
          <w:szCs w:val="18"/>
        </w:rPr>
        <w:t xml:space="preserve">Reading the flags</w:t>
      </w:r>
      <w:r>
        <w:rPr>
          <w:rFonts w:ascii="Calibri" w:cs="Calibri" w:eastAsia="Calibri" w:hAnsi="Calibri"/>
          <w:b w:val="false"/>
          <w:bCs w:val="false"/>
          <w:color w:val="4A5568"/>
          <w:sz w:val="18"/>
          <w:szCs w:val="18"/>
        </w:rPr>
        <w:t xml:space="preserve">	2</w:t>
      </w:r>
    </w:p>
    <w:p>
      <w:pPr>
        <w:tabs>
          <w:tab w:val="right" w:pos="9026" w:leader="dot"/>
        </w:tabs>
        <w:spacing w:after="30" w:before="0"/>
        <w:ind w:left="300"/>
      </w:pPr>
      <w:r>
        <w:rPr>
          <w:rFonts w:ascii="Calibri" w:cs="Calibri" w:eastAsia="Calibri" w:hAnsi="Calibri"/>
          <w:b w:val="false"/>
          <w:bCs w:val="false"/>
          <w:color w:val="1A202C"/>
          <w:sz w:val="18"/>
          <w:szCs w:val="18"/>
        </w:rPr>
        <w:t xml:space="preserve">Codes describe teaching, not reporting</w:t>
      </w:r>
      <w:r>
        <w:rPr>
          <w:rFonts w:ascii="Calibri" w:cs="Calibri" w:eastAsia="Calibri" w:hAnsi="Calibri"/>
          <w:b w:val="false"/>
          <w:bCs w:val="false"/>
          <w:color w:val="4A5568"/>
          <w:sz w:val="18"/>
          <w:szCs w:val="18"/>
        </w:rPr>
        <w:t xml:space="preserve">	2</w:t>
      </w:r>
    </w:p>
    <w:p>
      <w:pPr>
        <w:tabs>
          <w:tab w:val="right" w:pos="9026" w:leader="dot"/>
        </w:tabs>
        <w:spacing w:after="60" w:before="140"/>
        <w:ind w:left="0"/>
      </w:pPr>
      <w:r>
        <w:rPr>
          <w:rFonts w:ascii="Calibri" w:cs="Calibri" w:eastAsia="Calibri" w:hAnsi="Calibri"/>
          <w:b/>
          <w:bCs/>
          <w:color w:val="12335C"/>
          <w:sz w:val="19"/>
          <w:szCs w:val="19"/>
        </w:rPr>
        <w:t xml:space="preserve">Contents</w:t>
      </w:r>
      <w:r>
        <w:rPr>
          <w:rFonts w:ascii="Calibri" w:cs="Calibri" w:eastAsia="Calibri" w:hAnsi="Calibri"/>
          <w:b/>
          <w:bCs/>
          <w:color w:val="12335C"/>
          <w:sz w:val="19"/>
          <w:szCs w:val="19"/>
        </w:rPr>
        <w:t xml:space="preserve">	3</w:t>
      </w:r>
    </w:p>
    <w:p>
      <w:pPr>
        <w:tabs>
          <w:tab w:val="right" w:pos="9026" w:leader="dot"/>
        </w:tabs>
        <w:spacing w:after="60" w:before="140"/>
        <w:ind w:left="0"/>
      </w:pPr>
      <w:r>
        <w:rPr>
          <w:rFonts w:ascii="Calibri" w:cs="Calibri" w:eastAsia="Calibri" w:hAnsi="Calibri"/>
          <w:b/>
          <w:bCs/>
          <w:color w:val="12335C"/>
          <w:sz w:val="19"/>
          <w:szCs w:val="19"/>
        </w:rPr>
        <w:t xml:space="preserve">The Curriculum Architecture</w:t>
      </w:r>
      <w:r>
        <w:rPr>
          <w:rFonts w:ascii="Calibri" w:cs="Calibri" w:eastAsia="Calibri" w:hAnsi="Calibri"/>
          <w:b/>
          <w:bCs/>
          <w:color w:val="12335C"/>
          <w:sz w:val="19"/>
          <w:szCs w:val="19"/>
        </w:rPr>
        <w:t xml:space="preserve">	4</w:t>
      </w:r>
    </w:p>
    <w:p>
      <w:pPr>
        <w:tabs>
          <w:tab w:val="right" w:pos="9026" w:leader="dot"/>
        </w:tabs>
        <w:spacing w:after="30" w:before="0"/>
        <w:ind w:left="300"/>
      </w:pPr>
      <w:r>
        <w:rPr>
          <w:rFonts w:ascii="Calibri" w:cs="Calibri" w:eastAsia="Calibri" w:hAnsi="Calibri"/>
          <w:b w:val="false"/>
          <w:bCs w:val="false"/>
          <w:color w:val="1A202C"/>
          <w:sz w:val="18"/>
          <w:szCs w:val="18"/>
        </w:rPr>
        <w:t xml:space="preserve">The 12 focus areas</w:t>
      </w:r>
      <w:r>
        <w:rPr>
          <w:rFonts w:ascii="Calibri" w:cs="Calibri" w:eastAsia="Calibri" w:hAnsi="Calibri"/>
          <w:b w:val="false"/>
          <w:bCs w:val="false"/>
          <w:color w:val="4A5568"/>
          <w:sz w:val="18"/>
          <w:szCs w:val="18"/>
        </w:rPr>
        <w:t xml:space="preserve">	4</w:t>
      </w:r>
    </w:p>
    <w:p>
      <w:pPr>
        <w:tabs>
          <w:tab w:val="right" w:pos="9026" w:leader="dot"/>
        </w:tabs>
        <w:spacing w:after="30" w:before="0"/>
        <w:ind w:left="300"/>
      </w:pPr>
      <w:r>
        <w:rPr>
          <w:rFonts w:ascii="Calibri" w:cs="Calibri" w:eastAsia="Calibri" w:hAnsi="Calibri"/>
          <w:b w:val="false"/>
          <w:bCs w:val="false"/>
          <w:color w:val="1A202C"/>
          <w:sz w:val="18"/>
          <w:szCs w:val="18"/>
        </w:rPr>
        <w:t xml:space="preserve">Where Victoria differs from the Australian Curriculum</w:t>
      </w:r>
      <w:r>
        <w:rPr>
          <w:rFonts w:ascii="Calibri" w:cs="Calibri" w:eastAsia="Calibri" w:hAnsi="Calibri"/>
          <w:b w:val="false"/>
          <w:bCs w:val="false"/>
          <w:color w:val="4A5568"/>
          <w:sz w:val="18"/>
          <w:szCs w:val="18"/>
        </w:rPr>
        <w:t xml:space="preserve">	5</w:t>
      </w:r>
    </w:p>
    <w:p>
      <w:pPr>
        <w:tabs>
          <w:tab w:val="right" w:pos="9026" w:leader="dot"/>
        </w:tabs>
        <w:spacing w:after="30" w:before="0"/>
        <w:ind w:left="300"/>
      </w:pPr>
      <w:r>
        <w:rPr>
          <w:rFonts w:ascii="Calibri" w:cs="Calibri" w:eastAsia="Calibri" w:hAnsi="Calibri"/>
          <w:b w:val="false"/>
          <w:bCs w:val="false"/>
          <w:color w:val="1A202C"/>
          <w:sz w:val="18"/>
          <w:szCs w:val="18"/>
        </w:rPr>
        <w:t xml:space="preserve">Levels 7–8 — all 20 content descriptions</w:t>
      </w:r>
      <w:r>
        <w:rPr>
          <w:rFonts w:ascii="Calibri" w:cs="Calibri" w:eastAsia="Calibri" w:hAnsi="Calibri"/>
          <w:b w:val="false"/>
          <w:bCs w:val="false"/>
          <w:color w:val="4A5568"/>
          <w:sz w:val="18"/>
          <w:szCs w:val="18"/>
        </w:rPr>
        <w:t xml:space="preserve">	6</w:t>
      </w:r>
    </w:p>
    <w:p>
      <w:pPr>
        <w:tabs>
          <w:tab w:val="right" w:pos="9026" w:leader="dot"/>
        </w:tabs>
        <w:spacing w:after="30" w:before="0"/>
        <w:ind w:left="300"/>
      </w:pPr>
      <w:r>
        <w:rPr>
          <w:rFonts w:ascii="Calibri" w:cs="Calibri" w:eastAsia="Calibri" w:hAnsi="Calibri"/>
          <w:b w:val="false"/>
          <w:bCs w:val="false"/>
          <w:color w:val="1A202C"/>
          <w:sz w:val="18"/>
          <w:szCs w:val="18"/>
        </w:rPr>
        <w:t xml:space="preserve">Levels 9–10 — all 20 content descriptions</w:t>
      </w:r>
      <w:r>
        <w:rPr>
          <w:rFonts w:ascii="Calibri" w:cs="Calibri" w:eastAsia="Calibri" w:hAnsi="Calibri"/>
          <w:b w:val="false"/>
          <w:bCs w:val="false"/>
          <w:color w:val="4A5568"/>
          <w:sz w:val="18"/>
          <w:szCs w:val="18"/>
        </w:rPr>
        <w:t xml:space="preserve">	8</w:t>
      </w:r>
    </w:p>
    <w:p>
      <w:pPr>
        <w:tabs>
          <w:tab w:val="right" w:pos="9026" w:leader="dot"/>
        </w:tabs>
        <w:spacing w:after="60" w:before="140"/>
        <w:ind w:left="0"/>
      </w:pPr>
      <w:r>
        <w:rPr>
          <w:rFonts w:ascii="Calibri" w:cs="Calibri" w:eastAsia="Calibri" w:hAnsi="Calibri"/>
          <w:b/>
          <w:bCs/>
          <w:color w:val="12335C"/>
          <w:sz w:val="19"/>
          <w:szCs w:val="19"/>
        </w:rPr>
        <w:t xml:space="preserve">Movement and Physical Activity (Physical Education)</w:t>
      </w:r>
      <w:r>
        <w:rPr>
          <w:rFonts w:ascii="Calibri" w:cs="Calibri" w:eastAsia="Calibri" w:hAnsi="Calibri"/>
          <w:b/>
          <w:bCs/>
          <w:color w:val="12335C"/>
          <w:sz w:val="19"/>
          <w:szCs w:val="19"/>
        </w:rPr>
        <w:t xml:space="preserve">	10</w:t>
      </w:r>
    </w:p>
    <w:p>
      <w:pPr>
        <w:tabs>
          <w:tab w:val="right" w:pos="9026" w:leader="dot"/>
        </w:tabs>
        <w:spacing w:after="30" w:before="0"/>
        <w:ind w:left="300"/>
      </w:pPr>
      <w:r>
        <w:rPr>
          <w:rFonts w:ascii="Calibri" w:cs="Calibri" w:eastAsia="Calibri" w:hAnsi="Calibri"/>
          <w:b w:val="false"/>
          <w:bCs w:val="false"/>
          <w:color w:val="1A202C"/>
          <w:sz w:val="18"/>
          <w:szCs w:val="18"/>
        </w:rPr>
        <w:t xml:space="preserve">Invasion Games — Basketball</w:t>
      </w:r>
      <w:r>
        <w:rPr>
          <w:rFonts w:ascii="Calibri" w:cs="Calibri" w:eastAsia="Calibri" w:hAnsi="Calibri"/>
          <w:b w:val="false"/>
          <w:bCs w:val="false"/>
          <w:color w:val="4A5568"/>
          <w:sz w:val="18"/>
          <w:szCs w:val="18"/>
        </w:rPr>
        <w:t xml:space="preserve">	10</w:t>
      </w:r>
    </w:p>
    <w:p>
      <w:pPr>
        <w:tabs>
          <w:tab w:val="right" w:pos="9026" w:leader="dot"/>
        </w:tabs>
        <w:spacing w:after="30" w:before="0"/>
        <w:ind w:left="300"/>
      </w:pPr>
      <w:r>
        <w:rPr>
          <w:rFonts w:ascii="Calibri" w:cs="Calibri" w:eastAsia="Calibri" w:hAnsi="Calibri"/>
          <w:b w:val="false"/>
          <w:bCs w:val="false"/>
          <w:color w:val="1A202C"/>
          <w:sz w:val="18"/>
          <w:szCs w:val="18"/>
        </w:rPr>
        <w:t xml:space="preserve">Invasion Games — Netball</w:t>
      </w:r>
      <w:r>
        <w:rPr>
          <w:rFonts w:ascii="Calibri" w:cs="Calibri" w:eastAsia="Calibri" w:hAnsi="Calibri"/>
          <w:b w:val="false"/>
          <w:bCs w:val="false"/>
          <w:color w:val="4A5568"/>
          <w:sz w:val="18"/>
          <w:szCs w:val="18"/>
        </w:rPr>
        <w:t xml:space="preserve">	10</w:t>
      </w:r>
    </w:p>
    <w:p>
      <w:pPr>
        <w:tabs>
          <w:tab w:val="right" w:pos="9026" w:leader="dot"/>
        </w:tabs>
        <w:spacing w:after="30" w:before="0"/>
        <w:ind w:left="300"/>
      </w:pPr>
      <w:r>
        <w:rPr>
          <w:rFonts w:ascii="Calibri" w:cs="Calibri" w:eastAsia="Calibri" w:hAnsi="Calibri"/>
          <w:b w:val="false"/>
          <w:bCs w:val="false"/>
          <w:color w:val="1A202C"/>
          <w:sz w:val="18"/>
          <w:szCs w:val="18"/>
        </w:rPr>
        <w:t xml:space="preserve">Invasion Games — Football Codes, Hockey &amp; Handball</w:t>
      </w:r>
      <w:r>
        <w:rPr>
          <w:rFonts w:ascii="Calibri" w:cs="Calibri" w:eastAsia="Calibri" w:hAnsi="Calibri"/>
          <w:b w:val="false"/>
          <w:bCs w:val="false"/>
          <w:color w:val="4A5568"/>
          <w:sz w:val="18"/>
          <w:szCs w:val="18"/>
        </w:rPr>
        <w:t xml:space="preserve">	11</w:t>
      </w:r>
    </w:p>
    <w:p>
      <w:pPr>
        <w:tabs>
          <w:tab w:val="right" w:pos="9026" w:leader="dot"/>
        </w:tabs>
        <w:spacing w:after="30" w:before="0"/>
        <w:ind w:left="300"/>
      </w:pPr>
      <w:r>
        <w:rPr>
          <w:rFonts w:ascii="Calibri" w:cs="Calibri" w:eastAsia="Calibri" w:hAnsi="Calibri"/>
          <w:b w:val="false"/>
          <w:bCs w:val="false"/>
          <w:color w:val="1A202C"/>
          <w:sz w:val="18"/>
          <w:szCs w:val="18"/>
        </w:rPr>
        <w:t xml:space="preserve">Striking &amp; Fielding — Cricket</w:t>
      </w:r>
      <w:r>
        <w:rPr>
          <w:rFonts w:ascii="Calibri" w:cs="Calibri" w:eastAsia="Calibri" w:hAnsi="Calibri"/>
          <w:b w:val="false"/>
          <w:bCs w:val="false"/>
          <w:color w:val="4A5568"/>
          <w:sz w:val="18"/>
          <w:szCs w:val="18"/>
        </w:rPr>
        <w:t xml:space="preserve">	11</w:t>
      </w:r>
    </w:p>
    <w:p>
      <w:pPr>
        <w:tabs>
          <w:tab w:val="right" w:pos="9026" w:leader="dot"/>
        </w:tabs>
        <w:spacing w:after="30" w:before="0"/>
        <w:ind w:left="300"/>
      </w:pPr>
      <w:r>
        <w:rPr>
          <w:rFonts w:ascii="Calibri" w:cs="Calibri" w:eastAsia="Calibri" w:hAnsi="Calibri"/>
          <w:b w:val="false"/>
          <w:bCs w:val="false"/>
          <w:color w:val="1A202C"/>
          <w:sz w:val="18"/>
          <w:szCs w:val="18"/>
        </w:rPr>
        <w:t xml:space="preserve">Striking &amp; Fielding — Softball &amp; Baseball</w:t>
      </w:r>
      <w:r>
        <w:rPr>
          <w:rFonts w:ascii="Calibri" w:cs="Calibri" w:eastAsia="Calibri" w:hAnsi="Calibri"/>
          <w:b w:val="false"/>
          <w:bCs w:val="false"/>
          <w:color w:val="4A5568"/>
          <w:sz w:val="18"/>
          <w:szCs w:val="18"/>
        </w:rPr>
        <w:t xml:space="preserve">	12</w:t>
      </w:r>
    </w:p>
    <w:p>
      <w:pPr>
        <w:tabs>
          <w:tab w:val="right" w:pos="9026" w:leader="dot"/>
        </w:tabs>
        <w:spacing w:after="30" w:before="0"/>
        <w:ind w:left="300"/>
      </w:pPr>
      <w:r>
        <w:rPr>
          <w:rFonts w:ascii="Calibri" w:cs="Calibri" w:eastAsia="Calibri" w:hAnsi="Calibri"/>
          <w:b w:val="false"/>
          <w:bCs w:val="false"/>
          <w:color w:val="1A202C"/>
          <w:sz w:val="18"/>
          <w:szCs w:val="18"/>
        </w:rPr>
        <w:t xml:space="preserve">Net &amp; Wall Games — Tennis, Volleyball, Badminton, Table Tennis</w:t>
      </w:r>
      <w:r>
        <w:rPr>
          <w:rFonts w:ascii="Calibri" w:cs="Calibri" w:eastAsia="Calibri" w:hAnsi="Calibri"/>
          <w:b w:val="false"/>
          <w:bCs w:val="false"/>
          <w:color w:val="4A5568"/>
          <w:sz w:val="18"/>
          <w:szCs w:val="18"/>
        </w:rPr>
        <w:t xml:space="preserve">	12</w:t>
      </w:r>
    </w:p>
    <w:p>
      <w:pPr>
        <w:tabs>
          <w:tab w:val="right" w:pos="9026" w:leader="dot"/>
        </w:tabs>
        <w:spacing w:after="30" w:before="0"/>
        <w:ind w:left="300"/>
      </w:pPr>
      <w:r>
        <w:rPr>
          <w:rFonts w:ascii="Calibri" w:cs="Calibri" w:eastAsia="Calibri" w:hAnsi="Calibri"/>
          <w:b w:val="false"/>
          <w:bCs w:val="false"/>
          <w:color w:val="1A202C"/>
          <w:sz w:val="18"/>
          <w:szCs w:val="18"/>
        </w:rPr>
        <w:t xml:space="preserve">Gymnastics &amp; Movement Composition</w:t>
      </w:r>
      <w:r>
        <w:rPr>
          <w:rFonts w:ascii="Calibri" w:cs="Calibri" w:eastAsia="Calibri" w:hAnsi="Calibri"/>
          <w:b w:val="false"/>
          <w:bCs w:val="false"/>
          <w:color w:val="4A5568"/>
          <w:sz w:val="18"/>
          <w:szCs w:val="18"/>
        </w:rPr>
        <w:t xml:space="preserve">	13</w:t>
      </w:r>
    </w:p>
    <w:p>
      <w:pPr>
        <w:tabs>
          <w:tab w:val="right" w:pos="9026" w:leader="dot"/>
        </w:tabs>
        <w:spacing w:after="30" w:before="0"/>
        <w:ind w:left="300"/>
      </w:pPr>
      <w:r>
        <w:rPr>
          <w:rFonts w:ascii="Calibri" w:cs="Calibri" w:eastAsia="Calibri" w:hAnsi="Calibri"/>
          <w:b w:val="false"/>
          <w:bCs w:val="false"/>
          <w:color w:val="1A202C"/>
          <w:sz w:val="18"/>
          <w:szCs w:val="18"/>
        </w:rPr>
        <w:t xml:space="preserve">Rhythmic &amp; Expressive Movement — Dance</w:t>
      </w:r>
      <w:r>
        <w:rPr>
          <w:rFonts w:ascii="Calibri" w:cs="Calibri" w:eastAsia="Calibri" w:hAnsi="Calibri"/>
          <w:b w:val="false"/>
          <w:bCs w:val="false"/>
          <w:color w:val="4A5568"/>
          <w:sz w:val="18"/>
          <w:szCs w:val="18"/>
        </w:rPr>
        <w:t xml:space="preserve">	13</w:t>
      </w:r>
    </w:p>
    <w:p>
      <w:pPr>
        <w:tabs>
          <w:tab w:val="right" w:pos="9026" w:leader="dot"/>
        </w:tabs>
        <w:spacing w:after="30" w:before="0"/>
        <w:ind w:left="300"/>
      </w:pPr>
      <w:r>
        <w:rPr>
          <w:rFonts w:ascii="Calibri" w:cs="Calibri" w:eastAsia="Calibri" w:hAnsi="Calibri"/>
          <w:b w:val="false"/>
          <w:bCs w:val="false"/>
          <w:color w:val="1A202C"/>
          <w:sz w:val="18"/>
          <w:szCs w:val="18"/>
        </w:rPr>
        <w:t xml:space="preserve">Athletics &amp; Fundamental Movement Skills</w:t>
      </w:r>
      <w:r>
        <w:rPr>
          <w:rFonts w:ascii="Calibri" w:cs="Calibri" w:eastAsia="Calibri" w:hAnsi="Calibri"/>
          <w:b w:val="false"/>
          <w:bCs w:val="false"/>
          <w:color w:val="4A5568"/>
          <w:sz w:val="18"/>
          <w:szCs w:val="18"/>
        </w:rPr>
        <w:t xml:space="preserve">	13</w:t>
      </w:r>
    </w:p>
    <w:p>
      <w:pPr>
        <w:tabs>
          <w:tab w:val="right" w:pos="9026" w:leader="dot"/>
        </w:tabs>
        <w:spacing w:after="30" w:before="0"/>
        <w:ind w:left="300"/>
      </w:pPr>
      <w:r>
        <w:rPr>
          <w:rFonts w:ascii="Calibri" w:cs="Calibri" w:eastAsia="Calibri" w:hAnsi="Calibri"/>
          <w:b w:val="false"/>
          <w:bCs w:val="false"/>
          <w:color w:val="1A202C"/>
          <w:sz w:val="18"/>
          <w:szCs w:val="18"/>
        </w:rPr>
        <w:t xml:space="preserve">Aquatics, Swimming &amp; Water Safety</w:t>
      </w:r>
      <w:r>
        <w:rPr>
          <w:rFonts w:ascii="Calibri" w:cs="Calibri" w:eastAsia="Calibri" w:hAnsi="Calibri"/>
          <w:b w:val="false"/>
          <w:bCs w:val="false"/>
          <w:color w:val="4A5568"/>
          <w:sz w:val="18"/>
          <w:szCs w:val="18"/>
        </w:rPr>
        <w:t xml:space="preserve">	14</w:t>
      </w:r>
    </w:p>
    <w:p>
      <w:pPr>
        <w:tabs>
          <w:tab w:val="right" w:pos="9026" w:leader="dot"/>
        </w:tabs>
        <w:spacing w:after="30" w:before="0"/>
        <w:ind w:left="300"/>
      </w:pPr>
      <w:r>
        <w:rPr>
          <w:rFonts w:ascii="Calibri" w:cs="Calibri" w:eastAsia="Calibri" w:hAnsi="Calibri"/>
          <w:b w:val="false"/>
          <w:bCs w:val="false"/>
          <w:color w:val="1A202C"/>
          <w:sz w:val="18"/>
          <w:szCs w:val="18"/>
        </w:rPr>
        <w:t xml:space="preserve">Challenge &amp; Adventure Activities / Outdoor Education</w:t>
      </w:r>
      <w:r>
        <w:rPr>
          <w:rFonts w:ascii="Calibri" w:cs="Calibri" w:eastAsia="Calibri" w:hAnsi="Calibri"/>
          <w:b w:val="false"/>
          <w:bCs w:val="false"/>
          <w:color w:val="4A5568"/>
          <w:sz w:val="18"/>
          <w:szCs w:val="18"/>
        </w:rPr>
        <w:t xml:space="preserve">	15</w:t>
      </w:r>
    </w:p>
    <w:p>
      <w:pPr>
        <w:tabs>
          <w:tab w:val="right" w:pos="9026" w:leader="dot"/>
        </w:tabs>
        <w:spacing w:after="30" w:before="0"/>
        <w:ind w:left="300"/>
      </w:pPr>
      <w:r>
        <w:rPr>
          <w:rFonts w:ascii="Calibri" w:cs="Calibri" w:eastAsia="Calibri" w:hAnsi="Calibri"/>
          <w:b w:val="false"/>
          <w:bCs w:val="false"/>
          <w:color w:val="1A202C"/>
          <w:sz w:val="18"/>
          <w:szCs w:val="18"/>
        </w:rPr>
        <w:t xml:space="preserve">Lifelong Physical Activities &amp; Fitness</w:t>
      </w:r>
      <w:r>
        <w:rPr>
          <w:rFonts w:ascii="Calibri" w:cs="Calibri" w:eastAsia="Calibri" w:hAnsi="Calibri"/>
          <w:b w:val="false"/>
          <w:bCs w:val="false"/>
          <w:color w:val="4A5568"/>
          <w:sz w:val="18"/>
          <w:szCs w:val="18"/>
        </w:rPr>
        <w:t xml:space="preserve">	15</w:t>
      </w:r>
    </w:p>
    <w:p>
      <w:pPr>
        <w:tabs>
          <w:tab w:val="right" w:pos="9026" w:leader="dot"/>
        </w:tabs>
        <w:spacing w:after="30" w:before="0"/>
        <w:ind w:left="300"/>
      </w:pPr>
      <w:r>
        <w:rPr>
          <w:rFonts w:ascii="Calibri" w:cs="Calibri" w:eastAsia="Calibri" w:hAnsi="Calibri"/>
          <w:b w:val="false"/>
          <w:bCs w:val="false"/>
          <w:color w:val="1A202C"/>
          <w:sz w:val="18"/>
          <w:szCs w:val="18"/>
        </w:rPr>
        <w:t xml:space="preserve">Inclusive Practice &amp; Disability Sport</w:t>
      </w:r>
      <w:r>
        <w:rPr>
          <w:rFonts w:ascii="Calibri" w:cs="Calibri" w:eastAsia="Calibri" w:hAnsi="Calibri"/>
          <w:b w:val="false"/>
          <w:bCs w:val="false"/>
          <w:color w:val="4A5568"/>
          <w:sz w:val="18"/>
          <w:szCs w:val="18"/>
        </w:rPr>
        <w:t xml:space="preserve">	16</w:t>
      </w:r>
    </w:p>
    <w:p>
      <w:pPr>
        <w:tabs>
          <w:tab w:val="right" w:pos="9026" w:leader="dot"/>
        </w:tabs>
        <w:spacing w:after="60" w:before="140"/>
        <w:ind w:left="0"/>
      </w:pPr>
      <w:r>
        <w:rPr>
          <w:rFonts w:ascii="Calibri" w:cs="Calibri" w:eastAsia="Calibri" w:hAnsi="Calibri"/>
          <w:b/>
          <w:bCs/>
          <w:color w:val="12335C"/>
          <w:sz w:val="19"/>
          <w:szCs w:val="19"/>
        </w:rPr>
        <w:t xml:space="preserve">Personal, Social and Community Health (Health Education)</w:t>
      </w:r>
      <w:r>
        <w:rPr>
          <w:rFonts w:ascii="Calibri" w:cs="Calibri" w:eastAsia="Calibri" w:hAnsi="Calibri"/>
          <w:b/>
          <w:bCs/>
          <w:color w:val="12335C"/>
          <w:sz w:val="19"/>
          <w:szCs w:val="19"/>
        </w:rPr>
        <w:t xml:space="preserve">	17</w:t>
      </w:r>
    </w:p>
    <w:p>
      <w:pPr>
        <w:tabs>
          <w:tab w:val="right" w:pos="9026" w:leader="dot"/>
        </w:tabs>
        <w:spacing w:after="30" w:before="0"/>
        <w:ind w:left="300"/>
      </w:pPr>
      <w:r>
        <w:rPr>
          <w:rFonts w:ascii="Calibri" w:cs="Calibri" w:eastAsia="Calibri" w:hAnsi="Calibri"/>
          <w:b w:val="false"/>
          <w:bCs w:val="false"/>
          <w:color w:val="1A202C"/>
          <w:sz w:val="18"/>
          <w:szCs w:val="18"/>
        </w:rPr>
        <w:t xml:space="preserve">Mental Health &amp; Wellbeing</w:t>
      </w:r>
      <w:r>
        <w:rPr>
          <w:rFonts w:ascii="Calibri" w:cs="Calibri" w:eastAsia="Calibri" w:hAnsi="Calibri"/>
          <w:b w:val="false"/>
          <w:bCs w:val="false"/>
          <w:color w:val="4A5568"/>
          <w:sz w:val="18"/>
          <w:szCs w:val="18"/>
        </w:rPr>
        <w:t xml:space="preserve">	17</w:t>
      </w:r>
    </w:p>
    <w:p>
      <w:pPr>
        <w:tabs>
          <w:tab w:val="right" w:pos="9026" w:leader="dot"/>
        </w:tabs>
        <w:spacing w:after="30" w:before="0"/>
        <w:ind w:left="300"/>
      </w:pPr>
      <w:r>
        <w:rPr>
          <w:rFonts w:ascii="Calibri" w:cs="Calibri" w:eastAsia="Calibri" w:hAnsi="Calibri"/>
          <w:b w:val="false"/>
          <w:bCs w:val="false"/>
          <w:color w:val="1A202C"/>
          <w:sz w:val="18"/>
          <w:szCs w:val="18"/>
        </w:rPr>
        <w:t xml:space="preserve">Vaping &amp; Tobacco</w:t>
      </w:r>
      <w:r>
        <w:rPr>
          <w:rFonts w:ascii="Calibri" w:cs="Calibri" w:eastAsia="Calibri" w:hAnsi="Calibri"/>
          <w:b w:val="false"/>
          <w:bCs w:val="false"/>
          <w:color w:val="4A5568"/>
          <w:sz w:val="18"/>
          <w:szCs w:val="18"/>
        </w:rPr>
        <w:t xml:space="preserve">	17</w:t>
      </w:r>
    </w:p>
    <w:p>
      <w:pPr>
        <w:tabs>
          <w:tab w:val="right" w:pos="9026" w:leader="dot"/>
        </w:tabs>
        <w:spacing w:after="30" w:before="0"/>
        <w:ind w:left="300"/>
      </w:pPr>
      <w:r>
        <w:rPr>
          <w:rFonts w:ascii="Calibri" w:cs="Calibri" w:eastAsia="Calibri" w:hAnsi="Calibri"/>
          <w:b w:val="false"/>
          <w:bCs w:val="false"/>
          <w:color w:val="1A202C"/>
          <w:sz w:val="18"/>
          <w:szCs w:val="18"/>
        </w:rPr>
        <w:t xml:space="preserve">Alcohol &amp; Other Drugs</w:t>
      </w:r>
      <w:r>
        <w:rPr>
          <w:rFonts w:ascii="Calibri" w:cs="Calibri" w:eastAsia="Calibri" w:hAnsi="Calibri"/>
          <w:b w:val="false"/>
          <w:bCs w:val="false"/>
          <w:color w:val="4A5568"/>
          <w:sz w:val="18"/>
          <w:szCs w:val="18"/>
        </w:rPr>
        <w:t xml:space="preserve">	18</w:t>
      </w:r>
    </w:p>
    <w:p>
      <w:pPr>
        <w:tabs>
          <w:tab w:val="right" w:pos="9026" w:leader="dot"/>
        </w:tabs>
        <w:spacing w:after="30" w:before="0"/>
        <w:ind w:left="300"/>
      </w:pPr>
      <w:r>
        <w:rPr>
          <w:rFonts w:ascii="Calibri" w:cs="Calibri" w:eastAsia="Calibri" w:hAnsi="Calibri"/>
          <w:b w:val="false"/>
          <w:bCs w:val="false"/>
          <w:color w:val="1A202C"/>
          <w:sz w:val="18"/>
          <w:szCs w:val="18"/>
        </w:rPr>
        <w:t xml:space="preserve">Social Media &amp; Digital Wellbeing</w:t>
      </w:r>
      <w:r>
        <w:rPr>
          <w:rFonts w:ascii="Calibri" w:cs="Calibri" w:eastAsia="Calibri" w:hAnsi="Calibri"/>
          <w:b w:val="false"/>
          <w:bCs w:val="false"/>
          <w:color w:val="4A5568"/>
          <w:sz w:val="18"/>
          <w:szCs w:val="18"/>
        </w:rPr>
        <w:t xml:space="preserve">	18</w:t>
      </w:r>
    </w:p>
    <w:p>
      <w:pPr>
        <w:tabs>
          <w:tab w:val="right" w:pos="9026" w:leader="dot"/>
        </w:tabs>
        <w:spacing w:after="30" w:before="0"/>
        <w:ind w:left="300"/>
      </w:pPr>
      <w:r>
        <w:rPr>
          <w:rFonts w:ascii="Calibri" w:cs="Calibri" w:eastAsia="Calibri" w:hAnsi="Calibri"/>
          <w:b w:val="false"/>
          <w:bCs w:val="false"/>
          <w:color w:val="1A202C"/>
          <w:sz w:val="18"/>
          <w:szCs w:val="18"/>
        </w:rPr>
        <w:t xml:space="preserve">Bullying, Harassment &amp; Respectful Relationships</w:t>
      </w:r>
      <w:r>
        <w:rPr>
          <w:rFonts w:ascii="Calibri" w:cs="Calibri" w:eastAsia="Calibri" w:hAnsi="Calibri"/>
          <w:b w:val="false"/>
          <w:bCs w:val="false"/>
          <w:color w:val="4A5568"/>
          <w:sz w:val="18"/>
          <w:szCs w:val="18"/>
        </w:rPr>
        <w:t xml:space="preserve">	19</w:t>
      </w:r>
    </w:p>
    <w:p>
      <w:pPr>
        <w:tabs>
          <w:tab w:val="right" w:pos="9026" w:leader="dot"/>
        </w:tabs>
        <w:spacing w:after="30" w:before="0"/>
        <w:ind w:left="300"/>
      </w:pPr>
      <w:r>
        <w:rPr>
          <w:rFonts w:ascii="Calibri" w:cs="Calibri" w:eastAsia="Calibri" w:hAnsi="Calibri"/>
          <w:b w:val="false"/>
          <w:bCs w:val="false"/>
          <w:color w:val="1A202C"/>
          <w:sz w:val="18"/>
          <w:szCs w:val="18"/>
        </w:rPr>
        <w:t xml:space="preserve">Relationships, Sexuality &amp; Consent</w:t>
      </w:r>
      <w:r>
        <w:rPr>
          <w:rFonts w:ascii="Calibri" w:cs="Calibri" w:eastAsia="Calibri" w:hAnsi="Calibri"/>
          <w:b w:val="false"/>
          <w:bCs w:val="false"/>
          <w:color w:val="4A5568"/>
          <w:sz w:val="18"/>
          <w:szCs w:val="18"/>
        </w:rPr>
        <w:t xml:space="preserve">	20</w:t>
      </w:r>
    </w:p>
    <w:p>
      <w:pPr>
        <w:tabs>
          <w:tab w:val="right" w:pos="9026" w:leader="dot"/>
        </w:tabs>
        <w:spacing w:after="30" w:before="0"/>
        <w:ind w:left="300"/>
      </w:pPr>
      <w:r>
        <w:rPr>
          <w:rFonts w:ascii="Calibri" w:cs="Calibri" w:eastAsia="Calibri" w:hAnsi="Calibri"/>
          <w:b w:val="false"/>
          <w:bCs w:val="false"/>
          <w:color w:val="1A202C"/>
          <w:sz w:val="18"/>
          <w:szCs w:val="18"/>
        </w:rPr>
        <w:t xml:space="preserve">Food &amp; Nutrition</w:t>
      </w:r>
      <w:r>
        <w:rPr>
          <w:rFonts w:ascii="Calibri" w:cs="Calibri" w:eastAsia="Calibri" w:hAnsi="Calibri"/>
          <w:b w:val="false"/>
          <w:bCs w:val="false"/>
          <w:color w:val="4A5568"/>
          <w:sz w:val="18"/>
          <w:szCs w:val="18"/>
        </w:rPr>
        <w:t xml:space="preserve">	20</w:t>
      </w:r>
    </w:p>
    <w:p>
      <w:pPr>
        <w:tabs>
          <w:tab w:val="right" w:pos="9026" w:leader="dot"/>
        </w:tabs>
        <w:spacing w:after="30" w:before="0"/>
        <w:ind w:left="300"/>
      </w:pPr>
      <w:r>
        <w:rPr>
          <w:rFonts w:ascii="Calibri" w:cs="Calibri" w:eastAsia="Calibri" w:hAnsi="Calibri"/>
          <w:b w:val="false"/>
          <w:bCs w:val="false"/>
          <w:color w:val="1A202C"/>
          <w:sz w:val="18"/>
          <w:szCs w:val="18"/>
        </w:rPr>
        <w:t xml:space="preserve">Safety — First Aid &amp; Emergency Response</w:t>
      </w:r>
      <w:r>
        <w:rPr>
          <w:rFonts w:ascii="Calibri" w:cs="Calibri" w:eastAsia="Calibri" w:hAnsi="Calibri"/>
          <w:b w:val="false"/>
          <w:bCs w:val="false"/>
          <w:color w:val="4A5568"/>
          <w:sz w:val="18"/>
          <w:szCs w:val="18"/>
        </w:rPr>
        <w:t xml:space="preserve">	21</w:t>
      </w:r>
    </w:p>
    <w:p>
      <w:pPr>
        <w:tabs>
          <w:tab w:val="right" w:pos="9026" w:leader="dot"/>
        </w:tabs>
        <w:spacing w:after="30" w:before="0"/>
        <w:ind w:left="300"/>
      </w:pPr>
      <w:r>
        <w:rPr>
          <w:rFonts w:ascii="Calibri" w:cs="Calibri" w:eastAsia="Calibri" w:hAnsi="Calibri"/>
          <w:b w:val="false"/>
          <w:bCs w:val="false"/>
          <w:color w:val="1A202C"/>
          <w:sz w:val="18"/>
          <w:szCs w:val="18"/>
        </w:rPr>
        <w:t xml:space="preserve">Safety — Road, Sun, Fire &amp; Workplace</w:t>
      </w:r>
      <w:r>
        <w:rPr>
          <w:rFonts w:ascii="Calibri" w:cs="Calibri" w:eastAsia="Calibri" w:hAnsi="Calibri"/>
          <w:b w:val="false"/>
          <w:bCs w:val="false"/>
          <w:color w:val="4A5568"/>
          <w:sz w:val="18"/>
          <w:szCs w:val="18"/>
        </w:rPr>
        <w:t xml:space="preserve">	21</w:t>
      </w:r>
    </w:p>
    <w:p>
      <w:pPr>
        <w:tabs>
          <w:tab w:val="right" w:pos="9026" w:leader="dot"/>
        </w:tabs>
        <w:spacing w:after="30" w:before="0"/>
        <w:ind w:left="300"/>
      </w:pPr>
      <w:r>
        <w:rPr>
          <w:rFonts w:ascii="Calibri" w:cs="Calibri" w:eastAsia="Calibri" w:hAnsi="Calibri"/>
          <w:b w:val="false"/>
          <w:bCs w:val="false"/>
          <w:color w:val="1A202C"/>
          <w:sz w:val="18"/>
          <w:szCs w:val="18"/>
        </w:rPr>
        <w:t xml:space="preserve">Sleep, Recovery &amp; Health Benefits of Physical Activity</w:t>
      </w:r>
      <w:r>
        <w:rPr>
          <w:rFonts w:ascii="Calibri" w:cs="Calibri" w:eastAsia="Calibri" w:hAnsi="Calibri"/>
          <w:b w:val="false"/>
          <w:bCs w:val="false"/>
          <w:color w:val="4A5568"/>
          <w:sz w:val="18"/>
          <w:szCs w:val="18"/>
        </w:rPr>
        <w:t xml:space="preserve">	22</w:t>
      </w:r>
    </w:p>
    <w:p>
      <w:pPr>
        <w:tabs>
          <w:tab w:val="right" w:pos="9026" w:leader="dot"/>
        </w:tabs>
        <w:spacing w:after="60" w:before="140"/>
        <w:ind w:left="0"/>
      </w:pPr>
      <w:r>
        <w:rPr>
          <w:rFonts w:ascii="Calibri" w:cs="Calibri" w:eastAsia="Calibri" w:hAnsi="Calibri"/>
          <w:b/>
          <w:bCs/>
          <w:color w:val="12335C"/>
          <w:sz w:val="19"/>
          <w:szCs w:val="19"/>
        </w:rPr>
        <w:t xml:space="preserve">Cross-Cutting Resources</w:t>
      </w:r>
      <w:r>
        <w:rPr>
          <w:rFonts w:ascii="Calibri" w:cs="Calibri" w:eastAsia="Calibri" w:hAnsi="Calibri"/>
          <w:b/>
          <w:bCs/>
          <w:color w:val="12335C"/>
          <w:sz w:val="19"/>
          <w:szCs w:val="19"/>
        </w:rPr>
        <w:t xml:space="preserve">	23</w:t>
      </w:r>
    </w:p>
    <w:p>
      <w:pPr>
        <w:tabs>
          <w:tab w:val="right" w:pos="9026" w:leader="dot"/>
        </w:tabs>
        <w:spacing w:after="30" w:before="0"/>
        <w:ind w:left="300"/>
      </w:pPr>
      <w:r>
        <w:rPr>
          <w:rFonts w:ascii="Calibri" w:cs="Calibri" w:eastAsia="Calibri" w:hAnsi="Calibri"/>
          <w:b w:val="false"/>
          <w:bCs w:val="false"/>
          <w:color w:val="1A202C"/>
          <w:sz w:val="18"/>
          <w:szCs w:val="18"/>
        </w:rPr>
        <w:t xml:space="preserve">Cultural Competency &amp; First Nations Perspectives</w:t>
      </w:r>
      <w:r>
        <w:rPr>
          <w:rFonts w:ascii="Calibri" w:cs="Calibri" w:eastAsia="Calibri" w:hAnsi="Calibri"/>
          <w:b w:val="false"/>
          <w:bCs w:val="false"/>
          <w:color w:val="4A5568"/>
          <w:sz w:val="18"/>
          <w:szCs w:val="18"/>
        </w:rPr>
        <w:t xml:space="preserve">	23</w:t>
      </w:r>
    </w:p>
    <w:p>
      <w:pPr>
        <w:tabs>
          <w:tab w:val="right" w:pos="9026" w:leader="dot"/>
        </w:tabs>
        <w:spacing w:after="30" w:before="0"/>
        <w:ind w:left="300"/>
      </w:pPr>
      <w:r>
        <w:rPr>
          <w:rFonts w:ascii="Calibri" w:cs="Calibri" w:eastAsia="Calibri" w:hAnsi="Calibri"/>
          <w:b w:val="false"/>
          <w:bCs w:val="false"/>
          <w:color w:val="1A202C"/>
          <w:sz w:val="18"/>
          <w:szCs w:val="18"/>
        </w:rPr>
        <w:t xml:space="preserve">Assessment Tools &amp; Frameworks</w:t>
      </w:r>
      <w:r>
        <w:rPr>
          <w:rFonts w:ascii="Calibri" w:cs="Calibri" w:eastAsia="Calibri" w:hAnsi="Calibri"/>
          <w:b w:val="false"/>
          <w:bCs w:val="false"/>
          <w:color w:val="4A5568"/>
          <w:sz w:val="18"/>
          <w:szCs w:val="18"/>
        </w:rPr>
        <w:t xml:space="preserve">	23</w:t>
      </w:r>
    </w:p>
    <w:p>
      <w:pPr>
        <w:tabs>
          <w:tab w:val="right" w:pos="9026" w:leader="dot"/>
        </w:tabs>
        <w:spacing w:after="30" w:before="0"/>
        <w:ind w:left="300"/>
      </w:pPr>
      <w:r>
        <w:rPr>
          <w:rFonts w:ascii="Calibri" w:cs="Calibri" w:eastAsia="Calibri" w:hAnsi="Calibri"/>
          <w:b w:val="false"/>
          <w:bCs w:val="false"/>
          <w:color w:val="1A202C"/>
          <w:sz w:val="18"/>
          <w:szCs w:val="18"/>
        </w:rPr>
        <w:t xml:space="preserve">Teacher Professional Learning</w:t>
      </w:r>
      <w:r>
        <w:rPr>
          <w:rFonts w:ascii="Calibri" w:cs="Calibri" w:eastAsia="Calibri" w:hAnsi="Calibri"/>
          <w:b w:val="false"/>
          <w:bCs w:val="false"/>
          <w:color w:val="4A5568"/>
          <w:sz w:val="18"/>
          <w:szCs w:val="18"/>
        </w:rPr>
        <w:t xml:space="preserve">	24</w:t>
      </w:r>
    </w:p>
    <w:p>
      <w:pPr>
        <w:tabs>
          <w:tab w:val="right" w:pos="9026" w:leader="dot"/>
        </w:tabs>
        <w:spacing w:after="30" w:before="0"/>
        <w:ind w:left="300"/>
      </w:pPr>
      <w:r>
        <w:rPr>
          <w:rFonts w:ascii="Calibri" w:cs="Calibri" w:eastAsia="Calibri" w:hAnsi="Calibri"/>
          <w:b w:val="false"/>
          <w:bCs w:val="false"/>
          <w:color w:val="1A202C"/>
          <w:sz w:val="18"/>
          <w:szCs w:val="18"/>
        </w:rPr>
        <w:t xml:space="preserve">Victorian Government &amp; Curriculum Authorities</w:t>
      </w:r>
      <w:r>
        <w:rPr>
          <w:rFonts w:ascii="Calibri" w:cs="Calibri" w:eastAsia="Calibri" w:hAnsi="Calibri"/>
          <w:b w:val="false"/>
          <w:bCs w:val="false"/>
          <w:color w:val="4A5568"/>
          <w:sz w:val="18"/>
          <w:szCs w:val="18"/>
        </w:rPr>
        <w:t xml:space="preserve">	24</w:t>
      </w:r>
    </w:p>
    <w:p>
      <w:pPr>
        <w:tabs>
          <w:tab w:val="right" w:pos="9026" w:leader="dot"/>
        </w:tabs>
        <w:spacing w:after="60" w:before="140"/>
        <w:ind w:left="0"/>
      </w:pPr>
      <w:r>
        <w:rPr>
          <w:rFonts w:ascii="Calibri" w:cs="Calibri" w:eastAsia="Calibri" w:hAnsi="Calibri"/>
          <w:b/>
          <w:bCs/>
          <w:color w:val="12335C"/>
          <w:sz w:val="19"/>
          <w:szCs w:val="19"/>
        </w:rPr>
        <w:t xml:space="preserve">Currency, Verification and Copyright</w:t>
      </w:r>
      <w:r>
        <w:rPr>
          <w:rFonts w:ascii="Calibri" w:cs="Calibri" w:eastAsia="Calibri" w:hAnsi="Calibri"/>
          <w:b/>
          <w:bCs/>
          <w:color w:val="12335C"/>
          <w:sz w:val="19"/>
          <w:szCs w:val="19"/>
        </w:rPr>
        <w:t xml:space="preserve">	26</w:t>
      </w:r>
    </w:p>
    <w:p>
      <w:pPr>
        <w:tabs>
          <w:tab w:val="right" w:pos="9026" w:leader="dot"/>
        </w:tabs>
        <w:spacing w:after="30" w:before="0"/>
        <w:ind w:left="300"/>
      </w:pPr>
      <w:r>
        <w:rPr>
          <w:rFonts w:ascii="Calibri" w:cs="Calibri" w:eastAsia="Calibri" w:hAnsi="Calibri"/>
          <w:b w:val="false"/>
          <w:bCs w:val="false"/>
          <w:color w:val="1A202C"/>
          <w:sz w:val="18"/>
          <w:szCs w:val="18"/>
        </w:rPr>
        <w:t xml:space="preserve">Data currency</w:t>
      </w:r>
      <w:r>
        <w:rPr>
          <w:rFonts w:ascii="Calibri" w:cs="Calibri" w:eastAsia="Calibri" w:hAnsi="Calibri"/>
          <w:b w:val="false"/>
          <w:bCs w:val="false"/>
          <w:color w:val="4A5568"/>
          <w:sz w:val="18"/>
          <w:szCs w:val="18"/>
        </w:rPr>
        <w:t xml:space="preserve">	26</w:t>
      </w:r>
    </w:p>
    <w:p>
      <w:pPr>
        <w:tabs>
          <w:tab w:val="right" w:pos="9026" w:leader="dot"/>
        </w:tabs>
        <w:spacing w:after="30" w:before="0"/>
        <w:ind w:left="300"/>
      </w:pPr>
      <w:r>
        <w:rPr>
          <w:rFonts w:ascii="Calibri" w:cs="Calibri" w:eastAsia="Calibri" w:hAnsi="Calibri"/>
          <w:b w:val="false"/>
          <w:bCs w:val="false"/>
          <w:color w:val="1A202C"/>
          <w:sz w:val="18"/>
          <w:szCs w:val="18"/>
        </w:rPr>
        <w:t xml:space="preserve">Link verification</w:t>
      </w:r>
      <w:r>
        <w:rPr>
          <w:rFonts w:ascii="Calibri" w:cs="Calibri" w:eastAsia="Calibri" w:hAnsi="Calibri"/>
          <w:b w:val="false"/>
          <w:bCs w:val="false"/>
          <w:color w:val="4A5568"/>
          <w:sz w:val="18"/>
          <w:szCs w:val="18"/>
        </w:rPr>
        <w:t xml:space="preserve">	26</w:t>
      </w:r>
    </w:p>
    <w:p>
      <w:pPr>
        <w:tabs>
          <w:tab w:val="right" w:pos="9026" w:leader="dot"/>
        </w:tabs>
        <w:spacing w:after="30" w:before="0"/>
        <w:ind w:left="300"/>
      </w:pPr>
      <w:r>
        <w:rPr>
          <w:rFonts w:ascii="Calibri" w:cs="Calibri" w:eastAsia="Calibri" w:hAnsi="Calibri"/>
          <w:b w:val="false"/>
          <w:bCs w:val="false"/>
          <w:color w:val="1A202C"/>
          <w:sz w:val="18"/>
          <w:szCs w:val="18"/>
        </w:rPr>
        <w:t xml:space="preserve">Copyright</w:t>
      </w:r>
      <w:r>
        <w:rPr>
          <w:rFonts w:ascii="Calibri" w:cs="Calibri" w:eastAsia="Calibri" w:hAnsi="Calibri"/>
          <w:b w:val="false"/>
          <w:bCs w:val="false"/>
          <w:color w:val="4A5568"/>
          <w:sz w:val="18"/>
          <w:szCs w:val="18"/>
        </w:rPr>
        <w:t xml:space="preserve">	26</w:t>
      </w:r>
    </w:p>
    <w:p>
      <w:pPr>
        <w:tabs>
          <w:tab w:val="right" w:pos="9026" w:leader="dot"/>
        </w:tabs>
        <w:spacing w:after="30" w:before="0"/>
        <w:ind w:left="300"/>
      </w:pPr>
      <w:r>
        <w:rPr>
          <w:rFonts w:ascii="Calibri" w:cs="Calibri" w:eastAsia="Calibri" w:hAnsi="Calibri"/>
          <w:b w:val="false"/>
          <w:bCs w:val="false"/>
          <w:color w:val="1A202C"/>
          <w:sz w:val="18"/>
          <w:szCs w:val="18"/>
        </w:rPr>
        <w:t xml:space="preserve">What changed from Version 7</w:t>
      </w:r>
      <w:r>
        <w:rPr>
          <w:rFonts w:ascii="Calibri" w:cs="Calibri" w:eastAsia="Calibri" w:hAnsi="Calibri"/>
          <w:b w:val="false"/>
          <w:bCs w:val="false"/>
          <w:color w:val="4A5568"/>
          <w:sz w:val="18"/>
          <w:szCs w:val="18"/>
        </w:rPr>
        <w:t xml:space="preserve">	26</w:t>
      </w:r>
    </w:p>
    <w:p>
      <w:r>
        <w:br w:type="page"/>
      </w:r>
    </w:p>
    <w:p>
      <w:pPr>
        <w:pStyle w:val="Heading1"/>
        <w:pBdr>
          <w:bottom w:val="single" w:color="1F6FB2" w:sz="12" w:space="6"/>
        </w:pBdr>
        <w:spacing w:after="180" w:before="360"/>
      </w:pPr>
      <w:r>
        <w:rPr>
          <w:rFonts w:ascii="Calibri" w:cs="Calibri" w:eastAsia="Calibri" w:hAnsi="Calibri"/>
          <w:b/>
          <w:bCs/>
          <w:color w:val="12335C"/>
          <w:sz w:val="30"/>
          <w:szCs w:val="30"/>
        </w:rPr>
        <w:t xml:space="preserve">The Curriculum Architecture</w:t>
      </w:r>
    </w:p>
    <w:p>
      <w:pPr>
        <w:pStyle w:val="Heading2"/>
        <w:pBdr>
          <w:bottom w:val="single" w:color="C8D6E5" w:sz="6" w:space="4"/>
        </w:pBdr>
        <w:spacing w:after="120" w:before="300"/>
      </w:pPr>
      <w:r>
        <w:rPr>
          <w:rFonts w:ascii="Calibri" w:cs="Calibri" w:eastAsia="Calibri" w:hAnsi="Calibri"/>
          <w:b/>
          <w:bCs/>
          <w:color w:val="12335C"/>
          <w:sz w:val="24"/>
          <w:szCs w:val="24"/>
        </w:rPr>
        <w:t xml:space="preserve">The 12 focus areas</w:t>
      </w:r>
    </w:p>
    <w:p>
      <w:pPr>
        <w:spacing w:after="120" w:line="264"/>
      </w:pPr>
      <w:r>
        <w:rPr>
          <w:rFonts w:ascii="Calibri" w:cs="Calibri" w:eastAsia="Calibri" w:hAnsi="Calibri"/>
          <w:color w:val="1A202C"/>
          <w:sz w:val="20"/>
          <w:szCs w:val="20"/>
        </w:rPr>
        <w:t xml:space="preserve">Content descriptions in HPE are taught through 12 focus areas. All 12 must be addressed in each band of learning — they are not a menu. Every elaboration in the curriculum ends with a cross-reference to one or more of them, and this directory uses the same abbreviations.</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1100"/>
        <w:gridCol w:w="3413"/>
        <w:gridCol w:w="1100"/>
        <w:gridCol w:w="3413"/>
      </w:tblGrid>
      <w:tr>
        <w:trPr>
          <w:tblHeader/>
        </w:trPr>
        <w:tc>
          <w:tcPr>
            <w:tcW w:type="dxa" w:w="11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Code</w:t>
            </w:r>
          </w:p>
        </w:tc>
        <w:tc>
          <w:tcPr>
            <w:tcW w:type="dxa" w:w="3413"/>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Focus area</w:t>
            </w:r>
          </w:p>
        </w:tc>
        <w:tc>
          <w:tcPr>
            <w:tcW w:type="dxa" w:w="11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Code</w:t>
            </w:r>
          </w:p>
        </w:tc>
        <w:tc>
          <w:tcPr>
            <w:tcW w:type="dxa" w:w="3413"/>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Focus area</w:t>
            </w:r>
          </w:p>
        </w:tc>
      </w:tr>
      <w:tr>
        <w:tc>
          <w:tcPr>
            <w:tcW w:type="dxa" w:w="11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AD</w:t>
            </w:r>
          </w:p>
        </w:tc>
        <w:tc>
          <w:tcPr>
            <w:tcW w:type="dxa" w:w="3413"/>
            <w:shd w:fill="EEF3F9" w:color="auto" w:val="clear"/>
            <w:tcMar>
              <w:top w:type="dxa" w:w="80"/>
              <w:left w:type="dxa" w:w="110"/>
              <w:bottom w:type="dxa" w:w="80"/>
              <w:right w:type="dxa" w:w="110"/>
            </w:tcMar>
          </w:tcPr>
          <w:p>
            <w:r>
              <w:rPr>
                <w:rFonts w:ascii="Calibri" w:cs="Calibri" w:eastAsia="Calibri" w:hAnsi="Calibri"/>
                <w:sz w:val="17"/>
                <w:szCs w:val="17"/>
              </w:rPr>
              <w:t xml:space="preserve">Alcohol and other drugs</w:t>
            </w:r>
          </w:p>
        </w:tc>
        <w:tc>
          <w:tcPr>
            <w:tcW w:type="dxa" w:w="11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AP</w:t>
            </w:r>
          </w:p>
        </w:tc>
        <w:tc>
          <w:tcPr>
            <w:tcW w:type="dxa" w:w="3413"/>
            <w:shd w:fill="EEF3F9" w:color="auto" w:val="clear"/>
            <w:tcMar>
              <w:top w:type="dxa" w:w="80"/>
              <w:left w:type="dxa" w:w="110"/>
              <w:bottom w:type="dxa" w:w="80"/>
              <w:right w:type="dxa" w:w="110"/>
            </w:tcMar>
          </w:tcPr>
          <w:p>
            <w:r>
              <w:rPr>
                <w:rFonts w:ascii="Calibri" w:cs="Calibri" w:eastAsia="Calibri" w:hAnsi="Calibri"/>
                <w:sz w:val="17"/>
                <w:szCs w:val="17"/>
              </w:rPr>
              <w:t xml:space="preserve">Active play and minor games</w:t>
            </w:r>
          </w:p>
        </w:tc>
      </w:tr>
      <w:tr>
        <w:tc>
          <w:tcPr>
            <w:tcW w:type="dxa" w:w="1100"/>
            <w:tcMar>
              <w:top w:type="dxa" w:w="80"/>
              <w:left w:type="dxa" w:w="110"/>
              <w:bottom w:type="dxa" w:w="80"/>
              <w:right w:type="dxa" w:w="110"/>
            </w:tcMar>
          </w:tcPr>
          <w:p>
            <w:r>
              <w:rPr>
                <w:rFonts w:ascii="Calibri" w:cs="Calibri" w:eastAsia="Calibri" w:hAnsi="Calibri"/>
                <w:b/>
                <w:bCs/>
                <w:color w:val="12335C"/>
                <w:sz w:val="17"/>
                <w:szCs w:val="17"/>
              </w:rPr>
              <w:t xml:space="preserve">FN</w:t>
            </w:r>
          </w:p>
        </w:tc>
        <w:tc>
          <w:tcPr>
            <w:tcW w:type="dxa" w:w="3413"/>
            <w:tcMar>
              <w:top w:type="dxa" w:w="80"/>
              <w:left w:type="dxa" w:w="110"/>
              <w:bottom w:type="dxa" w:w="80"/>
              <w:right w:type="dxa" w:w="110"/>
            </w:tcMar>
          </w:tcPr>
          <w:p>
            <w:r>
              <w:rPr>
                <w:rFonts w:ascii="Calibri" w:cs="Calibri" w:eastAsia="Calibri" w:hAnsi="Calibri"/>
                <w:sz w:val="17"/>
                <w:szCs w:val="17"/>
              </w:rPr>
              <w:t xml:space="preserve">Food and nutrition</w:t>
            </w:r>
          </w:p>
        </w:tc>
        <w:tc>
          <w:tcPr>
            <w:tcW w:type="dxa" w:w="1100"/>
            <w:tcMar>
              <w:top w:type="dxa" w:w="80"/>
              <w:left w:type="dxa" w:w="110"/>
              <w:bottom w:type="dxa" w:w="80"/>
              <w:right w:type="dxa" w:w="110"/>
            </w:tcMar>
          </w:tcPr>
          <w:p>
            <w:r>
              <w:rPr>
                <w:rFonts w:ascii="Calibri" w:cs="Calibri" w:eastAsia="Calibri" w:hAnsi="Calibri"/>
                <w:b/>
                <w:bCs/>
                <w:color w:val="12335C"/>
                <w:sz w:val="17"/>
                <w:szCs w:val="17"/>
              </w:rPr>
              <w:t xml:space="preserve">CA</w:t>
            </w:r>
          </w:p>
        </w:tc>
        <w:tc>
          <w:tcPr>
            <w:tcW w:type="dxa" w:w="3413"/>
            <w:tcMar>
              <w:top w:type="dxa" w:w="80"/>
              <w:left w:type="dxa" w:w="110"/>
              <w:bottom w:type="dxa" w:w="80"/>
              <w:right w:type="dxa" w:w="110"/>
            </w:tcMar>
          </w:tcPr>
          <w:p>
            <w:r>
              <w:rPr>
                <w:rFonts w:ascii="Calibri" w:cs="Calibri" w:eastAsia="Calibri" w:hAnsi="Calibri"/>
                <w:sz w:val="17"/>
                <w:szCs w:val="17"/>
              </w:rPr>
              <w:t xml:space="preserve">Challenge and adventure activities</w:t>
            </w:r>
          </w:p>
        </w:tc>
      </w:tr>
      <w:tr>
        <w:tc>
          <w:tcPr>
            <w:tcW w:type="dxa" w:w="11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HBPA</w:t>
            </w:r>
          </w:p>
        </w:tc>
        <w:tc>
          <w:tcPr>
            <w:tcW w:type="dxa" w:w="3413"/>
            <w:shd w:fill="EEF3F9" w:color="auto" w:val="clear"/>
            <w:tcMar>
              <w:top w:type="dxa" w:w="80"/>
              <w:left w:type="dxa" w:w="110"/>
              <w:bottom w:type="dxa" w:w="80"/>
              <w:right w:type="dxa" w:w="110"/>
            </w:tcMar>
          </w:tcPr>
          <w:p>
            <w:r>
              <w:rPr>
                <w:rFonts w:ascii="Calibri" w:cs="Calibri" w:eastAsia="Calibri" w:hAnsi="Calibri"/>
                <w:sz w:val="17"/>
                <w:szCs w:val="17"/>
              </w:rPr>
              <w:t xml:space="preserve">Health benefits of physical activity</w:t>
            </w:r>
          </w:p>
        </w:tc>
        <w:tc>
          <w:tcPr>
            <w:tcW w:type="dxa" w:w="11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FMS</w:t>
            </w:r>
          </w:p>
        </w:tc>
        <w:tc>
          <w:tcPr>
            <w:tcW w:type="dxa" w:w="3413"/>
            <w:shd w:fill="EEF3F9" w:color="auto" w:val="clear"/>
            <w:tcMar>
              <w:top w:type="dxa" w:w="80"/>
              <w:left w:type="dxa" w:w="110"/>
              <w:bottom w:type="dxa" w:w="80"/>
              <w:right w:type="dxa" w:w="110"/>
            </w:tcMar>
          </w:tcPr>
          <w:p>
            <w:r>
              <w:rPr>
                <w:rFonts w:ascii="Calibri" w:cs="Calibri" w:eastAsia="Calibri" w:hAnsi="Calibri"/>
                <w:sz w:val="17"/>
                <w:szCs w:val="17"/>
              </w:rPr>
              <w:t xml:space="preserve">Fundamental movement skills</w:t>
            </w:r>
          </w:p>
        </w:tc>
      </w:tr>
      <w:tr>
        <w:tc>
          <w:tcPr>
            <w:tcW w:type="dxa" w:w="1100"/>
            <w:tcMar>
              <w:top w:type="dxa" w:w="80"/>
              <w:left w:type="dxa" w:w="110"/>
              <w:bottom w:type="dxa" w:w="80"/>
              <w:right w:type="dxa" w:w="110"/>
            </w:tcMar>
          </w:tcPr>
          <w:p>
            <w:r>
              <w:rPr>
                <w:rFonts w:ascii="Calibri" w:cs="Calibri" w:eastAsia="Calibri" w:hAnsi="Calibri"/>
                <w:b/>
                <w:bCs/>
                <w:color w:val="12335C"/>
                <w:sz w:val="17"/>
                <w:szCs w:val="17"/>
              </w:rPr>
              <w:t xml:space="preserve">MH</w:t>
            </w:r>
          </w:p>
        </w:tc>
        <w:tc>
          <w:tcPr>
            <w:tcW w:type="dxa" w:w="3413"/>
            <w:tcMar>
              <w:top w:type="dxa" w:w="80"/>
              <w:left w:type="dxa" w:w="110"/>
              <w:bottom w:type="dxa" w:w="80"/>
              <w:right w:type="dxa" w:w="110"/>
            </w:tcMar>
          </w:tcPr>
          <w:p>
            <w:r>
              <w:rPr>
                <w:rFonts w:ascii="Calibri" w:cs="Calibri" w:eastAsia="Calibri" w:hAnsi="Calibri"/>
                <w:sz w:val="17"/>
                <w:szCs w:val="17"/>
              </w:rPr>
              <w:t xml:space="preserve">Mental health and wellbeing</w:t>
            </w:r>
          </w:p>
        </w:tc>
        <w:tc>
          <w:tcPr>
            <w:tcW w:type="dxa" w:w="1100"/>
            <w:tcMar>
              <w:top w:type="dxa" w:w="80"/>
              <w:left w:type="dxa" w:w="110"/>
              <w:bottom w:type="dxa" w:w="80"/>
              <w:right w:type="dxa" w:w="110"/>
            </w:tcMar>
          </w:tcPr>
          <w:p>
            <w:r>
              <w:rPr>
                <w:rFonts w:ascii="Calibri" w:cs="Calibri" w:eastAsia="Calibri" w:hAnsi="Calibri"/>
                <w:b/>
                <w:bCs/>
                <w:color w:val="12335C"/>
                <w:sz w:val="17"/>
                <w:szCs w:val="17"/>
              </w:rPr>
              <w:t xml:space="preserve">GS</w:t>
            </w:r>
          </w:p>
        </w:tc>
        <w:tc>
          <w:tcPr>
            <w:tcW w:type="dxa" w:w="3413"/>
            <w:tcMar>
              <w:top w:type="dxa" w:w="80"/>
              <w:left w:type="dxa" w:w="110"/>
              <w:bottom w:type="dxa" w:w="80"/>
              <w:right w:type="dxa" w:w="110"/>
            </w:tcMar>
          </w:tcPr>
          <w:p>
            <w:r>
              <w:rPr>
                <w:rFonts w:ascii="Calibri" w:cs="Calibri" w:eastAsia="Calibri" w:hAnsi="Calibri"/>
                <w:sz w:val="17"/>
                <w:szCs w:val="17"/>
              </w:rPr>
              <w:t xml:space="preserve">Games and sports</w:t>
            </w:r>
          </w:p>
        </w:tc>
      </w:tr>
      <w:tr>
        <w:tc>
          <w:tcPr>
            <w:tcW w:type="dxa" w:w="11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RS</w:t>
            </w:r>
          </w:p>
        </w:tc>
        <w:tc>
          <w:tcPr>
            <w:tcW w:type="dxa" w:w="3413"/>
            <w:shd w:fill="EEF3F9" w:color="auto" w:val="clear"/>
            <w:tcMar>
              <w:top w:type="dxa" w:w="80"/>
              <w:left w:type="dxa" w:w="110"/>
              <w:bottom w:type="dxa" w:w="80"/>
              <w:right w:type="dxa" w:w="110"/>
            </w:tcMar>
          </w:tcPr>
          <w:p>
            <w:r>
              <w:rPr>
                <w:rFonts w:ascii="Calibri" w:cs="Calibri" w:eastAsia="Calibri" w:hAnsi="Calibri"/>
                <w:sz w:val="17"/>
                <w:szCs w:val="17"/>
              </w:rPr>
              <w:t xml:space="preserve">Relationships and sexuality</w:t>
            </w:r>
          </w:p>
        </w:tc>
        <w:tc>
          <w:tcPr>
            <w:tcW w:type="dxa" w:w="11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LLPA</w:t>
            </w:r>
          </w:p>
        </w:tc>
        <w:tc>
          <w:tcPr>
            <w:tcW w:type="dxa" w:w="3413"/>
            <w:shd w:fill="EEF3F9" w:color="auto" w:val="clear"/>
            <w:tcMar>
              <w:top w:type="dxa" w:w="80"/>
              <w:left w:type="dxa" w:w="110"/>
              <w:bottom w:type="dxa" w:w="80"/>
              <w:right w:type="dxa" w:w="110"/>
            </w:tcMar>
          </w:tcPr>
          <w:p>
            <w:r>
              <w:rPr>
                <w:rFonts w:ascii="Calibri" w:cs="Calibri" w:eastAsia="Calibri" w:hAnsi="Calibri"/>
                <w:sz w:val="17"/>
                <w:szCs w:val="17"/>
              </w:rPr>
              <w:t xml:space="preserve">Lifelong physical activities</w:t>
            </w:r>
          </w:p>
        </w:tc>
      </w:tr>
      <w:tr>
        <w:tc>
          <w:tcPr>
            <w:tcW w:type="dxa" w:w="1100"/>
            <w:tcMar>
              <w:top w:type="dxa" w:w="80"/>
              <w:left w:type="dxa" w:w="110"/>
              <w:bottom w:type="dxa" w:w="80"/>
              <w:right w:type="dxa" w:w="110"/>
            </w:tcMar>
          </w:tcPr>
          <w:p>
            <w:r>
              <w:rPr>
                <w:rFonts w:ascii="Calibri" w:cs="Calibri" w:eastAsia="Calibri" w:hAnsi="Calibri"/>
                <w:b/>
                <w:bCs/>
                <w:color w:val="12335C"/>
                <w:sz w:val="17"/>
                <w:szCs w:val="17"/>
              </w:rPr>
              <w:t xml:space="preserve">S</w:t>
            </w:r>
          </w:p>
        </w:tc>
        <w:tc>
          <w:tcPr>
            <w:tcW w:type="dxa" w:w="3413"/>
            <w:tcMar>
              <w:top w:type="dxa" w:w="80"/>
              <w:left w:type="dxa" w:w="110"/>
              <w:bottom w:type="dxa" w:w="80"/>
              <w:right w:type="dxa" w:w="110"/>
            </w:tcMar>
          </w:tcPr>
          <w:p>
            <w:r>
              <w:rPr>
                <w:rFonts w:ascii="Calibri" w:cs="Calibri" w:eastAsia="Calibri" w:hAnsi="Calibri"/>
                <w:sz w:val="17"/>
                <w:szCs w:val="17"/>
              </w:rPr>
              <w:t xml:space="preserve">Safety</w:t>
            </w:r>
          </w:p>
        </w:tc>
        <w:tc>
          <w:tcPr>
            <w:tcW w:type="dxa" w:w="1100"/>
            <w:tcMar>
              <w:top w:type="dxa" w:w="80"/>
              <w:left w:type="dxa" w:w="110"/>
              <w:bottom w:type="dxa" w:w="80"/>
              <w:right w:type="dxa" w:w="110"/>
            </w:tcMar>
          </w:tcPr>
          <w:p>
            <w:r>
              <w:rPr>
                <w:rFonts w:ascii="Calibri" w:cs="Calibri" w:eastAsia="Calibri" w:hAnsi="Calibri"/>
                <w:b/>
                <w:bCs/>
                <w:color w:val="12335C"/>
                <w:sz w:val="17"/>
                <w:szCs w:val="17"/>
              </w:rPr>
              <w:t xml:space="preserve">RE</w:t>
            </w:r>
          </w:p>
        </w:tc>
        <w:tc>
          <w:tcPr>
            <w:tcW w:type="dxa" w:w="3413"/>
            <w:tcMar>
              <w:top w:type="dxa" w:w="80"/>
              <w:left w:type="dxa" w:w="110"/>
              <w:bottom w:type="dxa" w:w="80"/>
              <w:right w:type="dxa" w:w="110"/>
            </w:tcMar>
          </w:tcPr>
          <w:p>
            <w:r>
              <w:rPr>
                <w:rFonts w:ascii="Calibri" w:cs="Calibri" w:eastAsia="Calibri" w:hAnsi="Calibri"/>
                <w:sz w:val="17"/>
                <w:szCs w:val="17"/>
              </w:rPr>
              <w:t xml:space="preserve">Rhythmic and expressive movement activities</w:t>
            </w:r>
          </w:p>
        </w:tc>
      </w:tr>
    </w:tbl>
    <w:p>
      <w:pPr>
        <w:spacing w:after="120" w:line="264"/>
      </w:pPr>
      <w:r>
        <w:rPr>
          <w:rFonts w:ascii="Calibri" w:cs="Calibri" w:eastAsia="Calibri" w:hAnsi="Calibri"/>
          <w:i/>
          <w:iCs/>
          <w:color w:val="1A202C"/>
          <w:sz w:val="20"/>
          <w:szCs w:val="20"/>
        </w:rPr>
        <w:t xml:space="preserve">Four of the 12 refer specifically to swimming and water safety. In practice the focus areas most often under-delivered in secondary programs are Rhythmic and expressive movement activities (RE) and Challenge and adventure activities (CA) — both are mandated.</w:t>
      </w:r>
    </w:p>
    <w:p>
      <w:r>
        <w:br w:type="page"/>
      </w:r>
    </w:p>
    <w:p>
      <w:pPr>
        <w:pStyle w:val="Heading2"/>
        <w:pBdr>
          <w:bottom w:val="single" w:color="C8D6E5" w:sz="6" w:space="4"/>
        </w:pBdr>
        <w:spacing w:after="120" w:before="300"/>
      </w:pPr>
      <w:r>
        <w:rPr>
          <w:rFonts w:ascii="Calibri" w:cs="Calibri" w:eastAsia="Calibri" w:hAnsi="Calibri"/>
          <w:b/>
          <w:bCs/>
          <w:color w:val="12335C"/>
          <w:sz w:val="24"/>
          <w:szCs w:val="24"/>
        </w:rPr>
        <w:t xml:space="preserve">Where Victoria differs from the Australian Curriculum</w:t>
      </w:r>
    </w:p>
    <w:p>
      <w:pPr>
        <w:spacing w:after="120" w:line="264"/>
      </w:pPr>
      <w:r>
        <w:rPr>
          <w:rFonts w:ascii="Calibri" w:cs="Calibri" w:eastAsia="Calibri" w:hAnsi="Calibri"/>
          <w:color w:val="1A202C"/>
          <w:sz w:val="20"/>
          <w:szCs w:val="20"/>
        </w:rPr>
        <w:t xml:space="preserve">This directory is built on the Victorian curriculum. A separate adaptation guide covers interstate use. But the differences matter enough to state here, because assuming the two frameworks are a straight renumber will produce incorrect mappings.</w:t>
      </w:r>
    </w:p>
    <w:p>
      <w:pPr>
        <w:pStyle w:val="ListParagraph"/>
        <w:numPr>
          <w:ilvl w:val="0"/>
          <w:numId w:val="2"/>
        </w:numPr>
        <w:spacing w:after="60"/>
      </w:pPr>
      <w:r>
        <w:rPr>
          <w:rFonts w:ascii="Calibri" w:cs="Calibri" w:eastAsia="Calibri" w:hAnsi="Calibri"/>
          <w:sz w:val="20"/>
          <w:szCs w:val="20"/>
        </w:rPr>
        <w:t xml:space="preserve">Victoria has ten movement content descriptions per band (M01–M10). The Australian Curriculum has nine (M01–M09).</w:t>
      </w:r>
    </w:p>
    <w:p>
      <w:pPr>
        <w:pStyle w:val="ListParagraph"/>
        <w:numPr>
          <w:ilvl w:val="0"/>
          <w:numId w:val="2"/>
        </w:numPr>
        <w:spacing w:after="60"/>
      </w:pPr>
      <w:r>
        <w:rPr>
          <w:rFonts w:ascii="Calibri" w:cs="Calibri" w:eastAsia="Calibri" w:hAnsi="Calibri"/>
          <w:sz w:val="20"/>
          <w:szCs w:val="20"/>
        </w:rPr>
        <w:t xml:space="preserve">The extra description is VC2HP8M04 / VC2HP10M04, which requires students to compose, perform and evaluate movement sequences. There is no Australian Curriculum equivalent.</w:t>
      </w:r>
    </w:p>
    <w:p>
      <w:pPr>
        <w:pStyle w:val="ListParagraph"/>
        <w:numPr>
          <w:ilvl w:val="0"/>
          <w:numId w:val="2"/>
        </w:numPr>
        <w:spacing w:after="60"/>
      </w:pPr>
      <w:r>
        <w:rPr>
          <w:rFonts w:ascii="Calibri" w:cs="Calibri" w:eastAsia="Calibri" w:hAnsi="Calibri"/>
          <w:sz w:val="20"/>
          <w:szCs w:val="20"/>
        </w:rPr>
        <w:t xml:space="preserve">Because that description is inserted at position four, every Victorian movement code from M05 onward sits one position ahead of its Australian counterpart. VC2HP8M05 corresponds to AC9HP8M04, VC2HP8M06 to AC9HP8M05, and so on.</w:t>
      </w:r>
    </w:p>
    <w:p>
      <w:pPr>
        <w:pStyle w:val="ListParagraph"/>
        <w:numPr>
          <w:ilvl w:val="0"/>
          <w:numId w:val="2"/>
        </w:numPr>
        <w:spacing w:after="60"/>
      </w:pPr>
      <w:r>
        <w:rPr>
          <w:rFonts w:ascii="Calibri" w:cs="Calibri" w:eastAsia="Calibri" w:hAnsi="Calibri"/>
          <w:sz w:val="20"/>
          <w:szCs w:val="20"/>
        </w:rPr>
        <w:t xml:space="preserve">Health strand codes (P01–P10) align 1:1 by number in both bands, but several carry additional Victorian wording.</w:t>
      </w:r>
    </w:p>
    <w:p>
      <w:pPr>
        <w:pStyle w:val="ListParagraph"/>
        <w:numPr>
          <w:ilvl w:val="0"/>
          <w:numId w:val="2"/>
        </w:numPr>
        <w:spacing w:after="60"/>
      </w:pPr>
      <w:r>
        <w:rPr>
          <w:rFonts w:ascii="Calibri" w:cs="Calibri" w:eastAsia="Calibri" w:hAnsi="Calibri"/>
          <w:sz w:val="20"/>
          <w:szCs w:val="20"/>
        </w:rPr>
        <w:t xml:space="preserve">VC2HP8P08 and VC2HP10P08 add first aid and CPR explicitly. The Australian Curriculum descriptions do not mention them. In Victoria, first aid and CPR are mandated content at both bands.</w:t>
      </w:r>
    </w:p>
    <w:p>
      <w:pPr>
        <w:pStyle w:val="ListParagraph"/>
        <w:numPr>
          <w:ilvl w:val="0"/>
          <w:numId w:val="2"/>
        </w:numPr>
        <w:spacing w:after="60"/>
      </w:pPr>
      <w:r>
        <w:rPr>
          <w:rFonts w:ascii="Calibri" w:cs="Calibri" w:eastAsia="Calibri" w:hAnsi="Calibri"/>
          <w:sz w:val="20"/>
          <w:szCs w:val="20"/>
        </w:rPr>
        <w:t xml:space="preserve">VC2HP8P07 adds consent skills “across multiple settings (including online and offline)”. Online consent is explicit Victorian content.</w:t>
      </w:r>
    </w:p>
    <w:p>
      <w:pPr>
        <w:pStyle w:val="ListParagraph"/>
        <w:numPr>
          <w:ilvl w:val="0"/>
          <w:numId w:val="2"/>
        </w:numPr>
        <w:spacing w:after="60"/>
      </w:pPr>
      <w:r>
        <w:rPr>
          <w:rFonts w:ascii="Calibri" w:cs="Calibri" w:eastAsia="Calibri" w:hAnsi="Calibri"/>
          <w:sz w:val="20"/>
          <w:szCs w:val="20"/>
        </w:rPr>
        <w:t xml:space="preserve">VC2HP8M01 and VC2HP10M01 name indoor, outdoor and aquatic settings. The Australian Curriculum wording does not specify aquatic.</w:t>
      </w:r>
    </w:p>
    <w:p>
      <w:pPr>
        <w:spacing w:after="120" w:line="264"/>
      </w:pPr>
      <w:r>
        <w:rPr>
          <w:rFonts w:ascii="Calibri" w:cs="Calibri" w:eastAsia="Calibri" w:hAnsi="Calibri"/>
          <w:i/>
          <w:iCs/>
          <w:color w:val="1A202C"/>
          <w:sz w:val="20"/>
          <w:szCs w:val="20"/>
        </w:rPr>
        <w:t xml:space="preserve">The AC v9.0 equivalents in the tables below are given for cross-reference only. Where a Victorian description has no Australian counterpart, that is marked in red.</w:t>
      </w:r>
    </w:p>
    <w:p>
      <w:r>
        <w:br w:type="page"/>
      </w:r>
    </w:p>
    <w:p>
      <w:pPr>
        <w:pStyle w:val="Heading2"/>
        <w:pBdr>
          <w:bottom w:val="single" w:color="C8D6E5" w:sz="6" w:space="4"/>
        </w:pBdr>
        <w:spacing w:after="120" w:before="300"/>
      </w:pPr>
      <w:r>
        <w:rPr>
          <w:rFonts w:ascii="Calibri" w:cs="Calibri" w:eastAsia="Calibri" w:hAnsi="Calibri"/>
          <w:b/>
          <w:bCs/>
          <w:color w:val="12335C"/>
          <w:sz w:val="24"/>
          <w:szCs w:val="24"/>
        </w:rPr>
        <w:t xml:space="preserve">Levels 7–8 — all 20 content descriptions</w:t>
      </w:r>
    </w:p>
    <w:p>
      <w:pPr>
        <w:spacing w:after="80"/>
      </w:pPr>
      <w:r>
        <w:rPr>
          <w:rFonts w:ascii="Calibri" w:cs="Calibri" w:eastAsia="Calibri" w:hAnsi="Calibri"/>
          <w:color w:val="4A5568"/>
          <w:sz w:val="17"/>
          <w:szCs w:val="17"/>
        </w:rPr>
        <w:t xml:space="preserve">Health strand</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1500"/>
        <w:gridCol w:w="5726"/>
        <w:gridCol w:w="1800"/>
      </w:tblGrid>
      <w:tr>
        <w:trPr>
          <w:tblHeader/>
        </w:trPr>
        <w:tc>
          <w:tcPr>
            <w:tcW w:type="dxa" w:w="1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Code</w:t>
            </w:r>
          </w:p>
        </w:tc>
        <w:tc>
          <w:tcPr>
            <w:tcW w:type="dxa" w:w="57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Students learn to …</w:t>
            </w:r>
          </w:p>
        </w:tc>
        <w:tc>
          <w:tcPr>
            <w:tcW w:type="dxa" w:w="18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AC v9.0 equivalent</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VC2HP8P01</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analyse and reflect on the influence of values and beliefs on the development of identities</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AC9HP8P01</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VC2HP8P02</w:t>
            </w:r>
          </w:p>
        </w:tc>
        <w:tc>
          <w:tcPr>
            <w:tcW w:type="dxa" w:w="5726"/>
            <w:tcMar>
              <w:top w:type="dxa" w:w="80"/>
              <w:left w:type="dxa" w:w="110"/>
              <w:bottom w:type="dxa" w:w="80"/>
              <w:right w:type="dxa" w:w="110"/>
            </w:tcMar>
          </w:tcPr>
          <w:p>
            <w:r>
              <w:rPr>
                <w:rFonts w:ascii="Calibri" w:cs="Calibri" w:eastAsia="Calibri" w:hAnsi="Calibri"/>
                <w:sz w:val="17"/>
                <w:szCs w:val="17"/>
              </w:rPr>
              <w:t xml:space="preserve">analyse the impact of changes and transitions, and devise strategies to support themselves and others through these changes</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AC9HP8P02</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VC2HP8P03</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examine how roles, decision-making, and levels of power, coercion and control within relationships can be influenced by gender stereotypes</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AC9HP8P03</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VC2HP8P04</w:t>
            </w:r>
          </w:p>
        </w:tc>
        <w:tc>
          <w:tcPr>
            <w:tcW w:type="dxa" w:w="5726"/>
            <w:tcMar>
              <w:top w:type="dxa" w:w="80"/>
              <w:left w:type="dxa" w:w="110"/>
              <w:bottom w:type="dxa" w:w="80"/>
              <w:right w:type="dxa" w:w="110"/>
            </w:tcMar>
          </w:tcPr>
          <w:p>
            <w:r>
              <w:rPr>
                <w:rFonts w:ascii="Calibri" w:cs="Calibri" w:eastAsia="Calibri" w:hAnsi="Calibri"/>
                <w:sz w:val="17"/>
                <w:szCs w:val="17"/>
              </w:rPr>
              <w:t xml:space="preserve">examine the roles of respect, empathy, power and coercion in developing respectful relationships</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AC9HP8P04</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VC2HP8P05</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investigate strategies that influence how communities value diversity and propose actions they can take to promote inclusion in their communities</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AC9HP8P05</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VC2HP8P06</w:t>
            </w:r>
          </w:p>
        </w:tc>
        <w:tc>
          <w:tcPr>
            <w:tcW w:type="dxa" w:w="5726"/>
            <w:tcMar>
              <w:top w:type="dxa" w:w="80"/>
              <w:left w:type="dxa" w:w="110"/>
              <w:bottom w:type="dxa" w:w="80"/>
              <w:right w:type="dxa" w:w="110"/>
            </w:tcMar>
          </w:tcPr>
          <w:p>
            <w:r>
              <w:rPr>
                <w:rFonts w:ascii="Calibri" w:cs="Calibri" w:eastAsia="Calibri" w:hAnsi="Calibri"/>
                <w:sz w:val="17"/>
                <w:szCs w:val="17"/>
              </w:rPr>
              <w:t xml:space="preserve">analyse factors that influence emotional responses and devise strategies to self-manage emotions</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AC9HP8P06</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VC2HP8P07</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explain and apply skills and strategies to communicate assertively and respectfully when seeking, giving or denying consent across multiple settings (including online and offline)</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AC9HP8P07</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VC2HP8P08</w:t>
            </w:r>
          </w:p>
        </w:tc>
        <w:tc>
          <w:tcPr>
            <w:tcW w:type="dxa" w:w="5726"/>
            <w:tcMar>
              <w:top w:type="dxa" w:w="80"/>
              <w:left w:type="dxa" w:w="110"/>
              <w:bottom w:type="dxa" w:w="80"/>
              <w:right w:type="dxa" w:w="110"/>
            </w:tcMar>
          </w:tcPr>
          <w:p>
            <w:r>
              <w:rPr>
                <w:rFonts w:ascii="Calibri" w:cs="Calibri" w:eastAsia="Calibri" w:hAnsi="Calibri"/>
                <w:sz w:val="17"/>
                <w:szCs w:val="17"/>
              </w:rPr>
              <w:t xml:space="preserve">refine protective behaviours and evaluate community resources to seek help for themselves and others (including basic first aid and CPR)</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AC9HP8P08</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VC2HP8P09</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investigate how media and influential people in the community impact attitudes, beliefs, decisions and behaviours in relation to health, safety, relationships and wellbeing</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AC9HP8P09</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VC2HP8P10</w:t>
            </w:r>
          </w:p>
        </w:tc>
        <w:tc>
          <w:tcPr>
            <w:tcW w:type="dxa" w:w="5726"/>
            <w:tcMar>
              <w:top w:type="dxa" w:w="80"/>
              <w:left w:type="dxa" w:w="110"/>
              <w:bottom w:type="dxa" w:w="80"/>
              <w:right w:type="dxa" w:w="110"/>
            </w:tcMar>
          </w:tcPr>
          <w:p>
            <w:r>
              <w:rPr>
                <w:rFonts w:ascii="Calibri" w:cs="Calibri" w:eastAsia="Calibri" w:hAnsi="Calibri"/>
                <w:sz w:val="17"/>
                <w:szCs w:val="17"/>
              </w:rPr>
              <w:t xml:space="preserve">plan and implement strategies, using health resources, to enhance their own and others’ health, safety, relationships and wellbeing</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AC9HP8P10</w:t>
            </w:r>
          </w:p>
        </w:tc>
      </w:tr>
    </w:tbl>
    <w:p>
      <w:pPr>
        <w:spacing w:before="200"/>
      </w:pPr>
      <w:r>
        <w:rPr>
          <w:rFonts w:ascii="Calibri" w:cs="Calibri" w:eastAsia="Calibri" w:hAnsi="Calibri"/>
          <w:color w:val="4A5568"/>
          <w:sz w:val="17"/>
          <w:szCs w:val="17"/>
        </w:rPr>
        <w:t xml:space="preserve">Movement strand</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1500"/>
        <w:gridCol w:w="5726"/>
        <w:gridCol w:w="1800"/>
      </w:tblGrid>
      <w:tr>
        <w:trPr>
          <w:tblHeader/>
        </w:trPr>
        <w:tc>
          <w:tcPr>
            <w:tcW w:type="dxa" w:w="1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Code</w:t>
            </w:r>
          </w:p>
        </w:tc>
        <w:tc>
          <w:tcPr>
            <w:tcW w:type="dxa" w:w="57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Students learn to …</w:t>
            </w:r>
          </w:p>
        </w:tc>
        <w:tc>
          <w:tcPr>
            <w:tcW w:type="dxa" w:w="18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AC v9.0 equivalent</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VC2HP8M01</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refine and transfer movement skills in a variety of movement situations, including indoor, outdoor and aquatic settings</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AC9HP8M01</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VC2HP8M02</w:t>
            </w:r>
          </w:p>
        </w:tc>
        <w:tc>
          <w:tcPr>
            <w:tcW w:type="dxa" w:w="5726"/>
            <w:tcMar>
              <w:top w:type="dxa" w:w="80"/>
              <w:left w:type="dxa" w:w="110"/>
              <w:bottom w:type="dxa" w:w="80"/>
              <w:right w:type="dxa" w:w="110"/>
            </w:tcMar>
          </w:tcPr>
          <w:p>
            <w:r>
              <w:rPr>
                <w:rFonts w:ascii="Calibri" w:cs="Calibri" w:eastAsia="Calibri" w:hAnsi="Calibri"/>
                <w:sz w:val="17"/>
                <w:szCs w:val="17"/>
              </w:rPr>
              <w:t xml:space="preserve">design and demonstrate how movement strategies can be manipulated to improve movement outcomes</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AC9HP8M02</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VC2HP8M03</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demonstrate and explain how movement concepts related to effort, space, time, objects and people can be manipulated to improve movement outcomes</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AC9HP8M03</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VC2HP8M04</w:t>
            </w:r>
          </w:p>
        </w:tc>
        <w:tc>
          <w:tcPr>
            <w:tcW w:type="dxa" w:w="5726"/>
            <w:tcMar>
              <w:top w:type="dxa" w:w="80"/>
              <w:left w:type="dxa" w:w="110"/>
              <w:bottom w:type="dxa" w:w="80"/>
              <w:right w:type="dxa" w:w="110"/>
            </w:tcMar>
          </w:tcPr>
          <w:p>
            <w:r>
              <w:rPr>
                <w:rFonts w:ascii="Calibri" w:cs="Calibri" w:eastAsia="Calibri" w:hAnsi="Calibri"/>
                <w:sz w:val="17"/>
                <w:szCs w:val="17"/>
              </w:rPr>
              <w:t xml:space="preserve">adapt and perform movement sequences in a variety of contexts, demonstrating how the movement elements of time, effort, space, people and objects can enhance performance</w:t>
            </w:r>
          </w:p>
        </w:tc>
        <w:tc>
          <w:tcPr>
            <w:tcW w:type="dxa" w:w="1800"/>
            <w:tcMar>
              <w:top w:type="dxa" w:w="80"/>
              <w:left w:type="dxa" w:w="110"/>
              <w:bottom w:type="dxa" w:w="80"/>
              <w:right w:type="dxa" w:w="110"/>
            </w:tcMar>
          </w:tcPr>
          <w:p>
            <w:r>
              <w:rPr>
                <w:rFonts w:ascii="Calibri" w:cs="Calibri" w:eastAsia="Calibri" w:hAnsi="Calibri"/>
                <w:b/>
                <w:bCs/>
                <w:color w:val="B02A20"/>
                <w:sz w:val="16"/>
                <w:szCs w:val="16"/>
              </w:rPr>
              <w:t xml:space="preserve">(no AC equivalent)</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VC2HP8M05</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participate in physical activities designed to improve fitness to investigate the impact of regular participation on health and wellbeing</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AC9HP8M04</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VC2HP8M06</w:t>
            </w:r>
          </w:p>
        </w:tc>
        <w:tc>
          <w:tcPr>
            <w:tcW w:type="dxa" w:w="5726"/>
            <w:tcMar>
              <w:top w:type="dxa" w:w="80"/>
              <w:left w:type="dxa" w:w="110"/>
              <w:bottom w:type="dxa" w:w="80"/>
              <w:right w:type="dxa" w:w="110"/>
            </w:tcMar>
          </w:tcPr>
          <w:p>
            <w:r>
              <w:rPr>
                <w:rFonts w:ascii="Calibri" w:cs="Calibri" w:eastAsia="Calibri" w:hAnsi="Calibri"/>
                <w:sz w:val="17"/>
                <w:szCs w:val="17"/>
              </w:rPr>
              <w:t xml:space="preserve">participate in physical activities that utilise community spaces, outdoor environments and aquatic settings safely, and evaluate strategies to support the increased use of these spaces</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AC9HP8M05</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VC2HP8M07</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design and justify a physical activity plan that incorporates strategies to increase physical activity levels to achieve health and wellbeing outcomes</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AC9HP8M06</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VC2HP8M08</w:t>
            </w:r>
          </w:p>
        </w:tc>
        <w:tc>
          <w:tcPr>
            <w:tcW w:type="dxa" w:w="5726"/>
            <w:tcMar>
              <w:top w:type="dxa" w:w="80"/>
              <w:left w:type="dxa" w:w="110"/>
              <w:bottom w:type="dxa" w:w="80"/>
              <w:right w:type="dxa" w:w="110"/>
            </w:tcMar>
          </w:tcPr>
          <w:p>
            <w:r>
              <w:rPr>
                <w:rFonts w:ascii="Calibri" w:cs="Calibri" w:eastAsia="Calibri" w:hAnsi="Calibri"/>
                <w:sz w:val="17"/>
                <w:szCs w:val="17"/>
              </w:rPr>
              <w:t xml:space="preserve">propose, test and evaluate movement strategies and skills that would be most effective in different movement situations</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AC9HP8M07</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VC2HP8M09</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analyse modifications to equipment, rules and scoring systems that support fair play and inclusive participation</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AC9HP8M08</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VC2HP8M10</w:t>
            </w:r>
          </w:p>
        </w:tc>
        <w:tc>
          <w:tcPr>
            <w:tcW w:type="dxa" w:w="5726"/>
            <w:tcMar>
              <w:top w:type="dxa" w:w="80"/>
              <w:left w:type="dxa" w:w="110"/>
              <w:bottom w:type="dxa" w:w="80"/>
              <w:right w:type="dxa" w:w="110"/>
            </w:tcMar>
          </w:tcPr>
          <w:p>
            <w:r>
              <w:rPr>
                <w:rFonts w:ascii="Calibri" w:cs="Calibri" w:eastAsia="Calibri" w:hAnsi="Calibri"/>
                <w:sz w:val="17"/>
                <w:szCs w:val="17"/>
              </w:rPr>
              <w:t xml:space="preserve">practise and apply leadership, collaboration and group decision-making processes when participating in a range of physical activities</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AC9HP8M09</w:t>
            </w:r>
          </w:p>
        </w:tc>
      </w:tr>
    </w:tbl>
    <w:p>
      <w:r>
        <w:br w:type="page"/>
      </w:r>
    </w:p>
    <w:p>
      <w:pPr>
        <w:pStyle w:val="Heading2"/>
        <w:pBdr>
          <w:bottom w:val="single" w:color="C8D6E5" w:sz="6" w:space="4"/>
        </w:pBdr>
        <w:spacing w:after="120" w:before="300"/>
      </w:pPr>
      <w:r>
        <w:rPr>
          <w:rFonts w:ascii="Calibri" w:cs="Calibri" w:eastAsia="Calibri" w:hAnsi="Calibri"/>
          <w:b/>
          <w:bCs/>
          <w:color w:val="12335C"/>
          <w:sz w:val="24"/>
          <w:szCs w:val="24"/>
        </w:rPr>
        <w:t xml:space="preserve">Levels 9–10 — all 20 content descriptions</w:t>
      </w:r>
    </w:p>
    <w:p>
      <w:pPr>
        <w:spacing w:after="80"/>
      </w:pPr>
      <w:r>
        <w:rPr>
          <w:rFonts w:ascii="Calibri" w:cs="Calibri" w:eastAsia="Calibri" w:hAnsi="Calibri"/>
          <w:color w:val="4A5568"/>
          <w:sz w:val="17"/>
          <w:szCs w:val="17"/>
        </w:rPr>
        <w:t xml:space="preserve">Health strand</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1500"/>
        <w:gridCol w:w="5726"/>
        <w:gridCol w:w="1800"/>
      </w:tblGrid>
      <w:tr>
        <w:trPr>
          <w:tblHeader/>
        </w:trPr>
        <w:tc>
          <w:tcPr>
            <w:tcW w:type="dxa" w:w="1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Code</w:t>
            </w:r>
          </w:p>
        </w:tc>
        <w:tc>
          <w:tcPr>
            <w:tcW w:type="dxa" w:w="57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Students learn to …</w:t>
            </w:r>
          </w:p>
        </w:tc>
        <w:tc>
          <w:tcPr>
            <w:tcW w:type="dxa" w:w="18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AC v9.0 equivalent</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VC2HP10P01</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evaluate factors that shape identities and evaluate how individuals influence the identities of others</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AC9HP10P01</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VC2HP10P02</w:t>
            </w:r>
          </w:p>
        </w:tc>
        <w:tc>
          <w:tcPr>
            <w:tcW w:type="dxa" w:w="5726"/>
            <w:tcMar>
              <w:top w:type="dxa" w:w="80"/>
              <w:left w:type="dxa" w:w="110"/>
              <w:bottom w:type="dxa" w:w="80"/>
              <w:right w:type="dxa" w:w="110"/>
            </w:tcMar>
          </w:tcPr>
          <w:p>
            <w:r>
              <w:rPr>
                <w:rFonts w:ascii="Calibri" w:cs="Calibri" w:eastAsia="Calibri" w:hAnsi="Calibri"/>
                <w:sz w:val="17"/>
                <w:szCs w:val="17"/>
              </w:rPr>
              <w:t xml:space="preserve">refine, evaluate and adapt strategies for managing changes and transitions</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AC9HP10P02</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VC2HP10P03</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investigate how gender equality and challenging assumptions about gender can prevent violence and abuse in relationships</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AC9HP10P03</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VC2HP10P04</w:t>
            </w:r>
          </w:p>
        </w:tc>
        <w:tc>
          <w:tcPr>
            <w:tcW w:type="dxa" w:w="5726"/>
            <w:tcMar>
              <w:top w:type="dxa" w:w="80"/>
              <w:left w:type="dxa" w:w="110"/>
              <w:bottom w:type="dxa" w:w="80"/>
              <w:right w:type="dxa" w:w="110"/>
            </w:tcMar>
          </w:tcPr>
          <w:p>
            <w:r>
              <w:rPr>
                <w:rFonts w:ascii="Calibri" w:cs="Calibri" w:eastAsia="Calibri" w:hAnsi="Calibri"/>
                <w:sz w:val="17"/>
                <w:szCs w:val="17"/>
              </w:rPr>
              <w:t xml:space="preserve">evaluate the influence of respect, empathy, power and coercion on establishing and maintaining respectful relationships</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AC9HP10P04</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VC2HP10P05</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propose strategies and actions individuals and groups can implement to challenge biases, stereotypes, prejudices and discrimination, and promote inclusion in their communities</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AC9HP10P05</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VC2HP10P06</w:t>
            </w:r>
          </w:p>
        </w:tc>
        <w:tc>
          <w:tcPr>
            <w:tcW w:type="dxa" w:w="5726"/>
            <w:tcMar>
              <w:top w:type="dxa" w:w="80"/>
              <w:left w:type="dxa" w:w="110"/>
              <w:bottom w:type="dxa" w:w="80"/>
              <w:right w:type="dxa" w:w="110"/>
            </w:tcMar>
          </w:tcPr>
          <w:p>
            <w:r>
              <w:rPr>
                <w:rFonts w:ascii="Calibri" w:cs="Calibri" w:eastAsia="Calibri" w:hAnsi="Calibri"/>
                <w:sz w:val="17"/>
                <w:szCs w:val="17"/>
              </w:rPr>
              <w:t xml:space="preserve">evaluate emotional responses in different situations to refine strategies for managing emotions to positively impact health and wellbeing</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AC9HP10P06</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VC2HP10P07</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examine how strategies, such as communicating choices, seeking, giving and denying consent, and expressing opinions and needs can support the development of respectful relationships, including sexual relationships</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AC9HP10P07</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VC2HP10P08</w:t>
            </w:r>
          </w:p>
        </w:tc>
        <w:tc>
          <w:tcPr>
            <w:tcW w:type="dxa" w:w="5726"/>
            <w:tcMar>
              <w:top w:type="dxa" w:w="80"/>
              <w:left w:type="dxa" w:w="110"/>
              <w:bottom w:type="dxa" w:w="80"/>
              <w:right w:type="dxa" w:w="110"/>
            </w:tcMar>
          </w:tcPr>
          <w:p>
            <w:r>
              <w:rPr>
                <w:rFonts w:ascii="Calibri" w:cs="Calibri" w:eastAsia="Calibri" w:hAnsi="Calibri"/>
                <w:sz w:val="17"/>
                <w:szCs w:val="17"/>
              </w:rPr>
              <w:t xml:space="preserve">plan, rehearse and evaluate strategies (including first aid and CPR) for managing situations where their own or others’ health, safety or wellbeing may be negatively impacted at home, school and in the community</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AC9HP10P08</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VC2HP10P09</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critique health information, services and media messaging about relationships, lifestyle choices, health decisions and behaviours to evaluate their influence on their own, others’ and community’s attitudes and actions</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AC9HP10P09</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VC2HP10P10</w:t>
            </w:r>
          </w:p>
        </w:tc>
        <w:tc>
          <w:tcPr>
            <w:tcW w:type="dxa" w:w="5726"/>
            <w:tcMar>
              <w:top w:type="dxa" w:w="80"/>
              <w:left w:type="dxa" w:w="110"/>
              <w:bottom w:type="dxa" w:w="80"/>
              <w:right w:type="dxa" w:w="110"/>
            </w:tcMar>
          </w:tcPr>
          <w:p>
            <w:r>
              <w:rPr>
                <w:rFonts w:ascii="Calibri" w:cs="Calibri" w:eastAsia="Calibri" w:hAnsi="Calibri"/>
                <w:sz w:val="17"/>
                <w:szCs w:val="17"/>
              </w:rPr>
              <w:t xml:space="preserve">plan, justify and critique strategies to enhance their own, others’ and community’s health, safety, relationships and wellbeing</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AC9HP10P10</w:t>
            </w:r>
          </w:p>
        </w:tc>
      </w:tr>
    </w:tbl>
    <w:p>
      <w:pPr>
        <w:spacing w:before="200"/>
      </w:pPr>
      <w:r>
        <w:rPr>
          <w:rFonts w:ascii="Calibri" w:cs="Calibri" w:eastAsia="Calibri" w:hAnsi="Calibri"/>
          <w:color w:val="4A5568"/>
          <w:sz w:val="17"/>
          <w:szCs w:val="17"/>
        </w:rPr>
        <w:t xml:space="preserve">Movement strand</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1500"/>
        <w:gridCol w:w="5726"/>
        <w:gridCol w:w="1800"/>
      </w:tblGrid>
      <w:tr>
        <w:trPr>
          <w:tblHeader/>
        </w:trPr>
        <w:tc>
          <w:tcPr>
            <w:tcW w:type="dxa" w:w="1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Code</w:t>
            </w:r>
          </w:p>
        </w:tc>
        <w:tc>
          <w:tcPr>
            <w:tcW w:type="dxa" w:w="57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Students learn to …</w:t>
            </w:r>
          </w:p>
        </w:tc>
        <w:tc>
          <w:tcPr>
            <w:tcW w:type="dxa" w:w="18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AC v9.0 equivalent</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VC2HP10M01</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analyse, apply and adapt their own and others’ movement skills in a range of challenging movement situations to enhance performance in indoor, outdoor and aquatic settings</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AC9HP10M01</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VC2HP10M02</w:t>
            </w:r>
          </w:p>
        </w:tc>
        <w:tc>
          <w:tcPr>
            <w:tcW w:type="dxa" w:w="5726"/>
            <w:tcMar>
              <w:top w:type="dxa" w:w="80"/>
              <w:left w:type="dxa" w:w="110"/>
              <w:bottom w:type="dxa" w:w="80"/>
              <w:right w:type="dxa" w:w="110"/>
            </w:tcMar>
          </w:tcPr>
          <w:p>
            <w:r>
              <w:rPr>
                <w:rFonts w:ascii="Calibri" w:cs="Calibri" w:eastAsia="Calibri" w:hAnsi="Calibri"/>
                <w:sz w:val="17"/>
                <w:szCs w:val="17"/>
              </w:rPr>
              <w:t xml:space="preserve">create and refine movement strategies to achieve successful outcomes across a range of challenging movement situations</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AC9HP10M02</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VC2HP10M03</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apply movement concepts in new or challenging movement situations and analyse the impact they have on movement outcomes</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AC9HP10M03</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VC2HP10M04</w:t>
            </w:r>
          </w:p>
        </w:tc>
        <w:tc>
          <w:tcPr>
            <w:tcW w:type="dxa" w:w="5726"/>
            <w:tcMar>
              <w:top w:type="dxa" w:w="80"/>
              <w:left w:type="dxa" w:w="110"/>
              <w:bottom w:type="dxa" w:w="80"/>
              <w:right w:type="dxa" w:w="110"/>
            </w:tcMar>
          </w:tcPr>
          <w:p>
            <w:r>
              <w:rPr>
                <w:rFonts w:ascii="Calibri" w:cs="Calibri" w:eastAsia="Calibri" w:hAnsi="Calibri"/>
                <w:sz w:val="17"/>
                <w:szCs w:val="17"/>
              </w:rPr>
              <w:t xml:space="preserve">evaluate their own and others’ movement compositions and provide and apply feedback to enhance performance, including the impact of the movement elements of time, effort, space, people and objects</w:t>
            </w:r>
          </w:p>
        </w:tc>
        <w:tc>
          <w:tcPr>
            <w:tcW w:type="dxa" w:w="1800"/>
            <w:tcMar>
              <w:top w:type="dxa" w:w="80"/>
              <w:left w:type="dxa" w:w="110"/>
              <w:bottom w:type="dxa" w:w="80"/>
              <w:right w:type="dxa" w:w="110"/>
            </w:tcMar>
          </w:tcPr>
          <w:p>
            <w:r>
              <w:rPr>
                <w:rFonts w:ascii="Calibri" w:cs="Calibri" w:eastAsia="Calibri" w:hAnsi="Calibri"/>
                <w:b/>
                <w:bCs/>
                <w:color w:val="B02A20"/>
                <w:sz w:val="16"/>
                <w:szCs w:val="16"/>
              </w:rPr>
              <w:t xml:space="preserve">(no AC equivalent)</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VC2HP10M05</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participate in and evaluate physical activities designed to enhance health, fitness and wellbeing</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AC9HP10M04</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VC2HP10M06</w:t>
            </w:r>
          </w:p>
        </w:tc>
        <w:tc>
          <w:tcPr>
            <w:tcW w:type="dxa" w:w="5726"/>
            <w:tcMar>
              <w:top w:type="dxa" w:w="80"/>
              <w:left w:type="dxa" w:w="110"/>
              <w:bottom w:type="dxa" w:w="80"/>
              <w:right w:type="dxa" w:w="110"/>
            </w:tcMar>
          </w:tcPr>
          <w:p>
            <w:r>
              <w:rPr>
                <w:rFonts w:ascii="Calibri" w:cs="Calibri" w:eastAsia="Calibri" w:hAnsi="Calibri"/>
                <w:sz w:val="17"/>
                <w:szCs w:val="17"/>
              </w:rPr>
              <w:t xml:space="preserve">participate in physical activities that promote health, safety and social outcomes in outdoor environments and aquatic settings to design and evaluate participation strategies for themselves and others</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AC9HP10M05</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VC2HP10M07</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design, implement and evaluate personalised plans for improving or maintaining their own or others’ physical activity levels to achieve health-related fitness, health and wellbeing outcomes</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AC9HP10M06</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VC2HP10M08</w:t>
            </w:r>
          </w:p>
        </w:tc>
        <w:tc>
          <w:tcPr>
            <w:tcW w:type="dxa" w:w="5726"/>
            <w:tcMar>
              <w:top w:type="dxa" w:w="80"/>
              <w:left w:type="dxa" w:w="110"/>
              <w:bottom w:type="dxa" w:w="80"/>
              <w:right w:type="dxa" w:w="110"/>
            </w:tcMar>
          </w:tcPr>
          <w:p>
            <w:r>
              <w:rPr>
                <w:rFonts w:ascii="Calibri" w:cs="Calibri" w:eastAsia="Calibri" w:hAnsi="Calibri"/>
                <w:sz w:val="17"/>
                <w:szCs w:val="17"/>
              </w:rPr>
              <w:t xml:space="preserve">transfer and adapt skills and strategies from previous experiences to create successful outcomes in unfamiliar movement situations</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AC9HP10M07</w:t>
            </w:r>
          </w:p>
        </w:tc>
      </w:tr>
      <w:tr>
        <w:tc>
          <w:tcPr>
            <w:tcW w:type="dxa" w:w="1500"/>
            <w:shd w:fill="EEF3F9" w:color="auto" w:val="clear"/>
            <w:tcMar>
              <w:top w:type="dxa" w:w="80"/>
              <w:left w:type="dxa" w:w="110"/>
              <w:bottom w:type="dxa" w:w="80"/>
              <w:right w:type="dxa" w:w="110"/>
            </w:tcMar>
          </w:tcPr>
          <w:p>
            <w:r>
              <w:rPr>
                <w:rFonts w:ascii="Calibri" w:cs="Calibri" w:eastAsia="Calibri" w:hAnsi="Calibri"/>
                <w:b/>
                <w:bCs/>
                <w:color w:val="12335C"/>
                <w:sz w:val="17"/>
                <w:szCs w:val="17"/>
              </w:rPr>
              <w:t xml:space="preserve">VC2HP10M09</w:t>
            </w:r>
          </w:p>
        </w:tc>
        <w:tc>
          <w:tcPr>
            <w:tcW w:type="dxa" w:w="5726"/>
            <w:shd w:fill="EEF3F9" w:color="auto" w:val="clear"/>
            <w:tcMar>
              <w:top w:type="dxa" w:w="80"/>
              <w:left w:type="dxa" w:w="110"/>
              <w:bottom w:type="dxa" w:w="80"/>
              <w:right w:type="dxa" w:w="110"/>
            </w:tcMar>
          </w:tcPr>
          <w:p>
            <w:r>
              <w:rPr>
                <w:rFonts w:ascii="Calibri" w:cs="Calibri" w:eastAsia="Calibri" w:hAnsi="Calibri"/>
                <w:sz w:val="17"/>
                <w:szCs w:val="17"/>
              </w:rPr>
              <w:t xml:space="preserve">demonstrate fair play and reflect on how ethical behaviour can influence physical activity outcomes for individuals and groups</w:t>
            </w:r>
          </w:p>
        </w:tc>
        <w:tc>
          <w:tcPr>
            <w:tcW w:type="dxa" w:w="1800"/>
            <w:shd w:fill="EEF3F9" w:color="auto" w:val="clear"/>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AC9HP10M08</w:t>
            </w:r>
          </w:p>
        </w:tc>
      </w:tr>
      <w:tr>
        <w:tc>
          <w:tcPr>
            <w:tcW w:type="dxa" w:w="1500"/>
            <w:tcMar>
              <w:top w:type="dxa" w:w="80"/>
              <w:left w:type="dxa" w:w="110"/>
              <w:bottom w:type="dxa" w:w="80"/>
              <w:right w:type="dxa" w:w="110"/>
            </w:tcMar>
          </w:tcPr>
          <w:p>
            <w:r>
              <w:rPr>
                <w:rFonts w:ascii="Calibri" w:cs="Calibri" w:eastAsia="Calibri" w:hAnsi="Calibri"/>
                <w:b/>
                <w:bCs/>
                <w:color w:val="12335C"/>
                <w:sz w:val="17"/>
                <w:szCs w:val="17"/>
              </w:rPr>
              <w:t xml:space="preserve">VC2HP10M10</w:t>
            </w:r>
          </w:p>
        </w:tc>
        <w:tc>
          <w:tcPr>
            <w:tcW w:type="dxa" w:w="5726"/>
            <w:tcMar>
              <w:top w:type="dxa" w:w="80"/>
              <w:left w:type="dxa" w:w="110"/>
              <w:bottom w:type="dxa" w:w="80"/>
              <w:right w:type="dxa" w:w="110"/>
            </w:tcMar>
          </w:tcPr>
          <w:p>
            <w:r>
              <w:rPr>
                <w:rFonts w:ascii="Calibri" w:cs="Calibri" w:eastAsia="Calibri" w:hAnsi="Calibri"/>
                <w:sz w:val="17"/>
                <w:szCs w:val="17"/>
              </w:rPr>
              <w:t xml:space="preserve">devise, implement and refine strategies for decision-making when working in groups or teams that demonstrate leadership and collaboration skills</w:t>
            </w:r>
          </w:p>
        </w:tc>
        <w:tc>
          <w:tcPr>
            <w:tcW w:type="dxa" w:w="1800"/>
            <w:tcMar>
              <w:top w:type="dxa" w:w="80"/>
              <w:left w:type="dxa" w:w="110"/>
              <w:bottom w:type="dxa" w:w="80"/>
              <w:right w:type="dxa" w:w="110"/>
            </w:tcMar>
          </w:tcPr>
          <w:p>
            <w:r>
              <w:rPr>
                <w:rFonts w:ascii="Calibri" w:cs="Calibri" w:eastAsia="Calibri" w:hAnsi="Calibri"/>
                <w:b w:val="false"/>
                <w:bCs w:val="false"/>
                <w:color w:val="4A5568"/>
                <w:sz w:val="16"/>
                <w:szCs w:val="16"/>
              </w:rPr>
              <w:t xml:space="preserve">AC9HP10M09</w:t>
            </w:r>
          </w:p>
        </w:tc>
      </w:tr>
    </w:tbl>
    <w:p>
      <w:r>
        <w:br w:type="page"/>
      </w:r>
    </w:p>
    <w:p>
      <w:pPr>
        <w:pStyle w:val="Heading1"/>
        <w:pBdr>
          <w:bottom w:val="single" w:color="1F6FB2" w:sz="12" w:space="6"/>
        </w:pBdr>
        <w:spacing w:after="180" w:before="360"/>
      </w:pPr>
      <w:r>
        <w:rPr>
          <w:rFonts w:ascii="Calibri" w:cs="Calibri" w:eastAsia="Calibri" w:hAnsi="Calibri"/>
          <w:b/>
          <w:bCs/>
          <w:color w:val="12335C"/>
          <w:sz w:val="30"/>
          <w:szCs w:val="30"/>
        </w:rPr>
        <w:t xml:space="preserve">Movement and Physical Activity (Physical Education)</w:t>
      </w:r>
    </w:p>
    <w:p>
      <w:pPr>
        <w:pStyle w:val="Heading2"/>
        <w:pBdr>
          <w:bottom w:val="single" w:color="C8D6E5" w:sz="6" w:space="4"/>
        </w:pBdr>
        <w:spacing w:after="120" w:before="300"/>
      </w:pPr>
      <w:r>
        <w:rPr>
          <w:rFonts w:ascii="Calibri" w:cs="Calibri" w:eastAsia="Calibri" w:hAnsi="Calibri"/>
          <w:b/>
          <w:bCs/>
          <w:color w:val="12335C"/>
          <w:sz w:val="24"/>
          <w:szCs w:val="24"/>
        </w:rPr>
        <w:t xml:space="preserve">Invasion Games — Basketball</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Games and sports (GS)  ·  Fundamental movement skills (FMS)  ·  Lifelong physical activities (LLPA)  ·  Health benefits of physical activity (HBPA)</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VC2HP8M01  ·  VC2HP8M02  ·  VC2HP8M03  ·  VC2HP8M08  ·  VC2HP8M09  ·  VC2HP8M10</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VC2HP10M01  ·  VC2HP10M02  ·  VC2HP10M03  ·  VC2HP10M08  ·  VC2HP10M10</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Basketball is a strong vehicle for VC2HP8M02/M08 because offensive and defensive strategy can be isolated, modified and re-tested inside a single lesson. Use small-sided games (3v3, half-court) to generate more decision-making repetitions per student than full-court play.</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Basketball Australia — Participation &amp; Schools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National body. Aussie Hoops is the entry-level program; the participation pages carry session structures and modified-game rules that map directly to VC2HP8M09 (modifications to equipment, rules and scoring).</w:t>
            </w:r>
          </w:p>
        </w:tc>
        <w:tc>
          <w:tcPr>
            <w:tcW w:type="dxa" w:w="2400"/>
            <w:shd w:fill="EEF3F9" w:color="auto" w:val="clear"/>
            <w:tcMar>
              <w:top w:type="dxa" w:w="80"/>
              <w:left w:type="dxa" w:w="110"/>
              <w:bottom w:type="dxa" w:w="80"/>
              <w:right w:type="dxa" w:w="110"/>
            </w:tcMar>
          </w:tcPr>
          <w:p>
            <w:hyperlink w:history="1" r:id="rIdr4qykxehjgese4eq-fljy">
              <w:r>
                <w:rPr>
                  <w:rFonts w:ascii="Calibri" w:cs="Calibri" w:eastAsia="Calibri" w:hAnsi="Calibri"/>
                  <w:color w:val="1F6FB2"/>
                  <w:sz w:val="15"/>
                  <w:szCs w:val="15"/>
                  <w:u w:val="single"/>
                </w:rPr>
                <w:t xml:space="preserve">basketballaustralia.com.au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Basketball Victoria</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Victorian state body. School competition pathways, coach accreditation, and local association contacts — useful when building a community-link component for VC2HP8M06.</w:t>
            </w:r>
          </w:p>
        </w:tc>
        <w:tc>
          <w:tcPr>
            <w:tcW w:type="dxa" w:w="2400"/>
            <w:tcMar>
              <w:top w:type="dxa" w:w="80"/>
              <w:left w:type="dxa" w:w="110"/>
              <w:bottom w:type="dxa" w:w="80"/>
              <w:right w:type="dxa" w:w="110"/>
            </w:tcMar>
          </w:tcPr>
          <w:p>
            <w:hyperlink w:history="1" r:id="rIdtmhec7cf7bl8vupnojpov">
              <w:r>
                <w:rPr>
                  <w:rFonts w:ascii="Calibri" w:cs="Calibri" w:eastAsia="Calibri" w:hAnsi="Calibri"/>
                  <w:color w:val="1F6FB2"/>
                  <w:sz w:val="15"/>
                  <w:szCs w:val="15"/>
                  <w:u w:val="single"/>
                </w:rPr>
                <w:t xml:space="preserve">basketballvictoria.com.au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Australian Sports Commission — Sporting Schools</w:t>
            </w:r>
          </w:p>
          <w:p>
            <w:pPr>
              <w:spacing w:before="40"/>
            </w:pPr>
            <w:r>
              <w:rPr>
                <w:rFonts w:ascii="Calibri" w:cs="Calibri" w:eastAsia="Calibri" w:hAnsi="Calibri"/>
                <w:i/>
                <w:iCs/>
                <w:color w:val="4A5568"/>
                <w:sz w:val="15"/>
                <w:szCs w:val="15"/>
              </w:rPr>
              <w:t xml:space="preserve">Free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Government-funded program providing free coaching delivery into schools, plus a searchable activity library with skill cards. The strongest single source of ready-made invasion-game session plans.</w:t>
            </w:r>
          </w:p>
        </w:tc>
        <w:tc>
          <w:tcPr>
            <w:tcW w:type="dxa" w:w="2400"/>
            <w:shd w:fill="EEF3F9" w:color="auto" w:val="clear"/>
            <w:tcMar>
              <w:top w:type="dxa" w:w="80"/>
              <w:left w:type="dxa" w:w="110"/>
              <w:bottom w:type="dxa" w:w="80"/>
              <w:right w:type="dxa" w:w="110"/>
            </w:tcMar>
          </w:tcPr>
          <w:p>
            <w:hyperlink w:history="1" r:id="rIdhf40so2lpuue5cy7uqxes">
              <w:r>
                <w:rPr>
                  <w:rFonts w:ascii="Calibri" w:cs="Calibri" w:eastAsia="Calibri" w:hAnsi="Calibri"/>
                  <w:color w:val="1F6FB2"/>
                  <w:sz w:val="15"/>
                  <w:szCs w:val="15"/>
                  <w:u w:val="single"/>
                </w:rPr>
                <w:t xml:space="preserve">www.sportingschools.gov.au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ASC — Play by the Rules</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Fair play, inclusion and behaviour resources. Pairs with VC2HP10M09 (ethical behaviour in physical activity) rather than with skill acquisition.</w:t>
            </w:r>
          </w:p>
        </w:tc>
        <w:tc>
          <w:tcPr>
            <w:tcW w:type="dxa" w:w="2400"/>
            <w:tcMar>
              <w:top w:type="dxa" w:w="80"/>
              <w:left w:type="dxa" w:w="110"/>
              <w:bottom w:type="dxa" w:w="80"/>
              <w:right w:type="dxa" w:w="110"/>
            </w:tcMar>
          </w:tcPr>
          <w:p>
            <w:hyperlink w:history="1" r:id="rIdcltlpczpt-ow1xlzkqtcp">
              <w:r>
                <w:rPr>
                  <w:rFonts w:ascii="Calibri" w:cs="Calibri" w:eastAsia="Calibri" w:hAnsi="Calibri"/>
                  <w:color w:val="1F6FB2"/>
                  <w:sz w:val="15"/>
                  <w:szCs w:val="15"/>
                  <w:u w:val="single"/>
                </w:rPr>
                <w:t xml:space="preserve">www.playbytherules.net.au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Invasion Games — Netball</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Games and sports (GS)  ·  Fundamental movement skills (FMS)  ·  Lifelong physical activities (LLPA)</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VC2HP8M01  ·  VC2HP8M02  ·  VC2HP8M08  ·  VC2HP8M09  ·  VC2HP8M10</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VC2HP10M01  ·  VC2HP10M02  ·  VC2HP10M08  ·  VC2HP10M10</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Netball's positional restrictions and no-travel rule make it unusually good for teaching space creation without the ball — a concept that transfers to VC2HP10M08 (transfer strategies to unfamiliar situations). Worth explicitly naming that transfer for students rather than assuming they see it.</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Netball Australia — Schools &amp; Participation</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NetSetGO is the entry program; the participation section holds modified-format rules for mixed and social play, directly serviceable for VC2HP8M09.</w:t>
            </w:r>
          </w:p>
        </w:tc>
        <w:tc>
          <w:tcPr>
            <w:tcW w:type="dxa" w:w="2400"/>
            <w:shd w:fill="EEF3F9" w:color="auto" w:val="clear"/>
            <w:tcMar>
              <w:top w:type="dxa" w:w="80"/>
              <w:left w:type="dxa" w:w="110"/>
              <w:bottom w:type="dxa" w:w="80"/>
              <w:right w:type="dxa" w:w="110"/>
            </w:tcMar>
          </w:tcPr>
          <w:p>
            <w:hyperlink w:history="1" r:id="rIdhfu9vwjsxwy-9te3pwlxt">
              <w:r>
                <w:rPr>
                  <w:rFonts w:ascii="Calibri" w:cs="Calibri" w:eastAsia="Calibri" w:hAnsi="Calibri"/>
                  <w:color w:val="1F6FB2"/>
                  <w:sz w:val="15"/>
                  <w:szCs w:val="15"/>
                  <w:u w:val="single"/>
                </w:rPr>
                <w:t xml:space="preserve">netball.com.au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Netball Victoria</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State body. School competitions, umpire pathways and association finder for community-link tasks.</w:t>
            </w:r>
          </w:p>
        </w:tc>
        <w:tc>
          <w:tcPr>
            <w:tcW w:type="dxa" w:w="2400"/>
            <w:tcMar>
              <w:top w:type="dxa" w:w="80"/>
              <w:left w:type="dxa" w:w="110"/>
              <w:bottom w:type="dxa" w:w="80"/>
              <w:right w:type="dxa" w:w="110"/>
            </w:tcMar>
          </w:tcPr>
          <w:p>
            <w:hyperlink w:history="1" r:id="rIdtweaiaqe7lqogq5hyotj2">
              <w:r>
                <w:rPr>
                  <w:rFonts w:ascii="Calibri" w:cs="Calibri" w:eastAsia="Calibri" w:hAnsi="Calibri"/>
                  <w:color w:val="1F6FB2"/>
                  <w:sz w:val="15"/>
                  <w:szCs w:val="15"/>
                  <w:u w:val="single"/>
                </w:rPr>
                <w:t xml:space="preserve">netballvic.com.au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Australian Sports Commission — Sporting Schools</w:t>
            </w:r>
          </w:p>
          <w:p>
            <w:pPr>
              <w:spacing w:before="40"/>
            </w:pPr>
            <w:r>
              <w:rPr>
                <w:rFonts w:ascii="Calibri" w:cs="Calibri" w:eastAsia="Calibri" w:hAnsi="Calibri"/>
                <w:i/>
                <w:iCs/>
                <w:color w:val="4A5568"/>
                <w:sz w:val="15"/>
                <w:szCs w:val="15"/>
              </w:rPr>
              <w:t xml:space="preserve">Free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Free in-school delivery and downloadable netball session plans.</w:t>
            </w:r>
          </w:p>
        </w:tc>
        <w:tc>
          <w:tcPr>
            <w:tcW w:type="dxa" w:w="2400"/>
            <w:shd w:fill="EEF3F9" w:color="auto" w:val="clear"/>
            <w:tcMar>
              <w:top w:type="dxa" w:w="80"/>
              <w:left w:type="dxa" w:w="110"/>
              <w:bottom w:type="dxa" w:w="80"/>
              <w:right w:type="dxa" w:w="110"/>
            </w:tcMar>
          </w:tcPr>
          <w:p>
            <w:hyperlink w:history="1" r:id="rId2thykwoqd0qq8ex3xldkf">
              <w:r>
                <w:rPr>
                  <w:rFonts w:ascii="Calibri" w:cs="Calibri" w:eastAsia="Calibri" w:hAnsi="Calibri"/>
                  <w:color w:val="1F6FB2"/>
                  <w:sz w:val="15"/>
                  <w:szCs w:val="15"/>
                  <w:u w:val="single"/>
                </w:rPr>
                <w:t xml:space="preserve">www.sportingschools.gov.au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Invasion Games — Football Codes, Hockey &amp; Handball</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Games and sports (GS)  ·  Fundamental movement skills (FMS)  ·  Active play and minor games (AP)  ·  Lifelong physical activities (LLPA)</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VC2HP8M01  ·  VC2HP8M02  ·  VC2HP8M03  ·  VC2HP8M08  ·  VC2HP8M09</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VC2HP10M01  ·  VC2HP10M02  ·  VC2HP10M08  ·  VC2HP10M09</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Grouping these codes together is deliberate. Teaching AFL, soccer, hockey and handball as one invasion-games unit with a shared strategic vocabulary (width, depth, penetration, support) produces better VC2HP10M08 outcomes than four isolated sport units.</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AFL — Schools Program</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AFL 9s and modified-contact formats with school-specific session plans. Non-contact variants remove the main risk-assessment barrier for co-educational classes.</w:t>
            </w:r>
          </w:p>
        </w:tc>
        <w:tc>
          <w:tcPr>
            <w:tcW w:type="dxa" w:w="2400"/>
            <w:shd w:fill="EEF3F9" w:color="auto" w:val="clear"/>
            <w:tcMar>
              <w:top w:type="dxa" w:w="80"/>
              <w:left w:type="dxa" w:w="110"/>
              <w:bottom w:type="dxa" w:w="80"/>
              <w:right w:type="dxa" w:w="110"/>
            </w:tcMar>
          </w:tcPr>
          <w:p>
            <w:hyperlink w:history="1" r:id="rIdaromrppar5bk7xf5qghse">
              <w:r>
                <w:rPr>
                  <w:rFonts w:ascii="Calibri" w:cs="Calibri" w:eastAsia="Calibri" w:hAnsi="Calibri"/>
                  <w:color w:val="1F6FB2"/>
                  <w:sz w:val="15"/>
                  <w:szCs w:val="15"/>
                  <w:u w:val="single"/>
                </w:rPr>
                <w:t xml:space="preserve">play.afl</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Football Australia — Schools</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National soccer body. School program pages and the Play Football club finder for community pathway tasks.</w:t>
            </w:r>
          </w:p>
        </w:tc>
        <w:tc>
          <w:tcPr>
            <w:tcW w:type="dxa" w:w="2400"/>
            <w:tcMar>
              <w:top w:type="dxa" w:w="80"/>
              <w:left w:type="dxa" w:w="110"/>
              <w:bottom w:type="dxa" w:w="80"/>
              <w:right w:type="dxa" w:w="110"/>
            </w:tcMar>
          </w:tcPr>
          <w:p>
            <w:hyperlink w:history="1" r:id="rIdxyhtgyz0ktsdqtzztflj0">
              <w:r>
                <w:rPr>
                  <w:rFonts w:ascii="Calibri" w:cs="Calibri" w:eastAsia="Calibri" w:hAnsi="Calibri"/>
                  <w:color w:val="1F6FB2"/>
                  <w:sz w:val="15"/>
                  <w:szCs w:val="15"/>
                  <w:u w:val="single"/>
                </w:rPr>
                <w:t xml:space="preserve">www.footballaustralia.com.au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Hockey Australia — Schools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Hookin2Hockey entry program plus modified stick-and-ball formats suitable for hard courts with no turf access.</w:t>
            </w:r>
          </w:p>
        </w:tc>
        <w:tc>
          <w:tcPr>
            <w:tcW w:type="dxa" w:w="2400"/>
            <w:shd w:fill="EEF3F9" w:color="auto" w:val="clear"/>
            <w:tcMar>
              <w:top w:type="dxa" w:w="80"/>
              <w:left w:type="dxa" w:w="110"/>
              <w:bottom w:type="dxa" w:w="80"/>
              <w:right w:type="dxa" w:w="110"/>
            </w:tcMar>
          </w:tcPr>
          <w:p>
            <w:hyperlink w:history="1" r:id="rIdgscnlttljw4u4uj5qgfqd">
              <w:r>
                <w:rPr>
                  <w:rFonts w:ascii="Calibri" w:cs="Calibri" w:eastAsia="Calibri" w:hAnsi="Calibri"/>
                  <w:color w:val="1F6FB2"/>
                  <w:sz w:val="15"/>
                  <w:szCs w:val="15"/>
                  <w:u w:val="single"/>
                </w:rPr>
                <w:t xml:space="preserve">www.hockey.org.au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Handball Australia</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National federation. Indoor handball needs minimal equipment and no specialist facility, making it a genuinely low-barrier invasion game for schools without ovals.</w:t>
            </w:r>
          </w:p>
        </w:tc>
        <w:tc>
          <w:tcPr>
            <w:tcW w:type="dxa" w:w="2400"/>
            <w:tcMar>
              <w:top w:type="dxa" w:w="80"/>
              <w:left w:type="dxa" w:w="110"/>
              <w:bottom w:type="dxa" w:w="80"/>
              <w:right w:type="dxa" w:w="110"/>
            </w:tcMar>
          </w:tcPr>
          <w:p>
            <w:hyperlink w:history="1" r:id="rIdmvep6lwwdfyu7lpxzryso">
              <w:r>
                <w:rPr>
                  <w:rFonts w:ascii="Calibri" w:cs="Calibri" w:eastAsia="Calibri" w:hAnsi="Calibri"/>
                  <w:color w:val="1F6FB2"/>
                  <w:sz w:val="15"/>
                  <w:szCs w:val="15"/>
                  <w:u w:val="single"/>
                </w:rPr>
                <w:t xml:space="preserve">handballaustralia.org.au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International Handball Federation — Rules of the Game</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Official rules, useful when students are asked to analyse and modify rule systems under VC2HP8M09.</w:t>
            </w:r>
          </w:p>
        </w:tc>
        <w:tc>
          <w:tcPr>
            <w:tcW w:type="dxa" w:w="2400"/>
            <w:shd w:fill="EEF3F9" w:color="auto" w:val="clear"/>
            <w:tcMar>
              <w:top w:type="dxa" w:w="80"/>
              <w:left w:type="dxa" w:w="110"/>
              <w:bottom w:type="dxa" w:w="80"/>
              <w:right w:type="dxa" w:w="110"/>
            </w:tcMar>
          </w:tcPr>
          <w:p>
            <w:hyperlink w:history="1" r:id="rIdgus8cudboujtex7uxqug1">
              <w:r>
                <w:rPr>
                  <w:rFonts w:ascii="Calibri" w:cs="Calibri" w:eastAsia="Calibri" w:hAnsi="Calibri"/>
                  <w:color w:val="1F6FB2"/>
                  <w:sz w:val="15"/>
                  <w:szCs w:val="15"/>
                  <w:u w:val="single"/>
                </w:rPr>
                <w:t xml:space="preserve">www.ihf.info</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Striking &amp; Fielding — Cricket</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Games and sports (GS)  ·  Fundamental movement skills (FMS)  ·  Lifelong physical activities (LLPA)  ·  Safety (S)</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VC2HP8M01  ·  VC2HP8M03  ·  VC2HP8M08  ·  VC2HP8M09</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VC2HP10M01  ·  VC2HP10M03  ·  VC2HP10M08</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Cricket is the clearest vehicle in the curriculum for VC2HP8M03/VC2HP10M03 (movement concepts — effort, space, time, objects). The VCAA elaboration for VC2HP10M03 names outswing bowling explicitly as an example of manipulating force and speed.</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Cricket Australia — Community &amp; Schools</w:t>
            </w:r>
          </w:p>
          <w:p>
            <w:pPr>
              <w:spacing w:before="40"/>
            </w:pPr>
            <w:r>
              <w:rPr>
                <w:rFonts w:ascii="Calibri" w:cs="Calibri" w:eastAsia="Calibri" w:hAnsi="Calibri"/>
                <w:i/>
                <w:iCs/>
                <w:color w:val="4A5568"/>
                <w:sz w:val="15"/>
                <w:szCs w:val="15"/>
              </w:rPr>
              <w:t xml:space="preserve">Free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Woolworths Cricket Blast and school program resources. Note: cricket.com.au is the live domain; cricketaustralia.com.au should not be used.</w:t>
            </w:r>
          </w:p>
        </w:tc>
        <w:tc>
          <w:tcPr>
            <w:tcW w:type="dxa" w:w="2400"/>
            <w:shd w:fill="EEF3F9" w:color="auto" w:val="clear"/>
            <w:tcMar>
              <w:top w:type="dxa" w:w="80"/>
              <w:left w:type="dxa" w:w="110"/>
              <w:bottom w:type="dxa" w:w="80"/>
              <w:right w:type="dxa" w:w="110"/>
            </w:tcMar>
          </w:tcPr>
          <w:p>
            <w:hyperlink w:history="1" r:id="rIdevl_0obudtizxucpv_fcl">
              <w:r>
                <w:rPr>
                  <w:rFonts w:ascii="Calibri" w:cs="Calibri" w:eastAsia="Calibri" w:hAnsi="Calibri"/>
                  <w:color w:val="1F6FB2"/>
                  <w:sz w:val="15"/>
                  <w:szCs w:val="15"/>
                  <w:u w:val="single"/>
                </w:rPr>
                <w:t xml:space="preserve">www.cricket.com.au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Cricket Victoria</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State body. School competition entry, coach education and association finder.</w:t>
            </w:r>
          </w:p>
        </w:tc>
        <w:tc>
          <w:tcPr>
            <w:tcW w:type="dxa" w:w="2400"/>
            <w:tcMar>
              <w:top w:type="dxa" w:w="80"/>
              <w:left w:type="dxa" w:w="110"/>
              <w:bottom w:type="dxa" w:w="80"/>
              <w:right w:type="dxa" w:w="110"/>
            </w:tcMar>
          </w:tcPr>
          <w:p>
            <w:hyperlink w:history="1" r:id="rIdmsu43lcbbddhohthdadrm">
              <w:r>
                <w:rPr>
                  <w:rFonts w:ascii="Calibri" w:cs="Calibri" w:eastAsia="Calibri" w:hAnsi="Calibri"/>
                  <w:color w:val="1F6FB2"/>
                  <w:sz w:val="15"/>
                  <w:szCs w:val="15"/>
                  <w:u w:val="single"/>
                </w:rPr>
                <w:t xml:space="preserve">www.cricketvictoria.com.au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Australian Sports Commission — Sporting Schools</w:t>
            </w:r>
          </w:p>
          <w:p>
            <w:pPr>
              <w:spacing w:before="40"/>
            </w:pPr>
            <w:r>
              <w:rPr>
                <w:rFonts w:ascii="Calibri" w:cs="Calibri" w:eastAsia="Calibri" w:hAnsi="Calibri"/>
                <w:i/>
                <w:iCs/>
                <w:color w:val="4A5568"/>
                <w:sz w:val="15"/>
                <w:szCs w:val="15"/>
              </w:rPr>
              <w:t xml:space="preserve">Free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Free cricket delivery into schools and downloadable striking/fielding skill progressions.</w:t>
            </w:r>
          </w:p>
        </w:tc>
        <w:tc>
          <w:tcPr>
            <w:tcW w:type="dxa" w:w="2400"/>
            <w:shd w:fill="EEF3F9" w:color="auto" w:val="clear"/>
            <w:tcMar>
              <w:top w:type="dxa" w:w="80"/>
              <w:left w:type="dxa" w:w="110"/>
              <w:bottom w:type="dxa" w:w="80"/>
              <w:right w:type="dxa" w:w="110"/>
            </w:tcMar>
          </w:tcPr>
          <w:p>
            <w:hyperlink w:history="1" r:id="rIdnikuf4_mfnqddb5sizlip">
              <w:r>
                <w:rPr>
                  <w:rFonts w:ascii="Calibri" w:cs="Calibri" w:eastAsia="Calibri" w:hAnsi="Calibri"/>
                  <w:color w:val="1F6FB2"/>
                  <w:sz w:val="15"/>
                  <w:szCs w:val="15"/>
                  <w:u w:val="single"/>
                </w:rPr>
                <w:t xml:space="preserve">www.sportingschools.gov.au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Striking &amp; Fielding — Softball &amp; Baseball</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Games and sports (GS)  ·  Fundamental movement skills (FMS)  ·  Active play and minor games (AP)</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VC2HP8M01  ·  VC2HP8M03  ·  VC2HP8M08  ·  VC2HP8M09</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VC2HP10M01  ·  VC2HP10M03  ·  VC2HP10M08</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Softball and baseball share a tactical structure with cricket but differ in the striking action and base-running decision load. Teaching them adjacently is the cleanest available demonstration of VC2HP10M08 (transfer to unfamiliar movement situations).</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Softball Australia</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National body. Batter Up is the modified school-entry program; tee-ball progressions suit Year 7 and lower-skill groups.</w:t>
            </w:r>
          </w:p>
        </w:tc>
        <w:tc>
          <w:tcPr>
            <w:tcW w:type="dxa" w:w="2400"/>
            <w:shd w:fill="EEF3F9" w:color="auto" w:val="clear"/>
            <w:tcMar>
              <w:top w:type="dxa" w:w="80"/>
              <w:left w:type="dxa" w:w="110"/>
              <w:bottom w:type="dxa" w:w="80"/>
              <w:right w:type="dxa" w:w="110"/>
            </w:tcMar>
          </w:tcPr>
          <w:p>
            <w:hyperlink w:history="1" r:id="rIdfywdiitutr-y0jfx9hbvd">
              <w:r>
                <w:rPr>
                  <w:rFonts w:ascii="Calibri" w:cs="Calibri" w:eastAsia="Calibri" w:hAnsi="Calibri"/>
                  <w:color w:val="1F6FB2"/>
                  <w:sz w:val="15"/>
                  <w:szCs w:val="15"/>
                  <w:u w:val="single"/>
                </w:rPr>
                <w:t xml:space="preserve">softball.org.au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Softball Victoria</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State association, school competitions and local club contacts.</w:t>
            </w:r>
          </w:p>
        </w:tc>
        <w:tc>
          <w:tcPr>
            <w:tcW w:type="dxa" w:w="2400"/>
            <w:tcMar>
              <w:top w:type="dxa" w:w="80"/>
              <w:left w:type="dxa" w:w="110"/>
              <w:bottom w:type="dxa" w:w="80"/>
              <w:right w:type="dxa" w:w="110"/>
            </w:tcMar>
          </w:tcPr>
          <w:p>
            <w:hyperlink w:history="1" r:id="rIddq1zjxotpzvxlepcnsa9c">
              <w:r>
                <w:rPr>
                  <w:rFonts w:ascii="Calibri" w:cs="Calibri" w:eastAsia="Calibri" w:hAnsi="Calibri"/>
                  <w:color w:val="1F6FB2"/>
                  <w:sz w:val="15"/>
                  <w:szCs w:val="15"/>
                  <w:u w:val="single"/>
                </w:rPr>
                <w:t xml:space="preserve">softballvic.org.au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Baseball Australia</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National body. Aussie T-Ball and modified formats requiring minimal specialist equipment.</w:t>
            </w:r>
          </w:p>
        </w:tc>
        <w:tc>
          <w:tcPr>
            <w:tcW w:type="dxa" w:w="2400"/>
            <w:shd w:fill="EEF3F9" w:color="auto" w:val="clear"/>
            <w:tcMar>
              <w:top w:type="dxa" w:w="80"/>
              <w:left w:type="dxa" w:w="110"/>
              <w:bottom w:type="dxa" w:w="80"/>
              <w:right w:type="dxa" w:w="110"/>
            </w:tcMar>
          </w:tcPr>
          <w:p>
            <w:hyperlink w:history="1" r:id="rIdarguo-b2taqup3dncaqfk">
              <w:r>
                <w:rPr>
                  <w:rFonts w:ascii="Calibri" w:cs="Calibri" w:eastAsia="Calibri" w:hAnsi="Calibri"/>
                  <w:color w:val="1F6FB2"/>
                  <w:sz w:val="15"/>
                  <w:szCs w:val="15"/>
                  <w:u w:val="single"/>
                </w:rPr>
                <w:t xml:space="preserve">www.baseball.com.au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Baseball Victoria</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State body. Schools pathway and regional association contacts.</w:t>
            </w:r>
          </w:p>
        </w:tc>
        <w:tc>
          <w:tcPr>
            <w:tcW w:type="dxa" w:w="2400"/>
            <w:tcMar>
              <w:top w:type="dxa" w:w="80"/>
              <w:left w:type="dxa" w:w="110"/>
              <w:bottom w:type="dxa" w:w="80"/>
              <w:right w:type="dxa" w:w="110"/>
            </w:tcMar>
          </w:tcPr>
          <w:p>
            <w:hyperlink w:history="1" r:id="rIdygaeeeuxyips-ywklj-_c">
              <w:r>
                <w:rPr>
                  <w:rFonts w:ascii="Calibri" w:cs="Calibri" w:eastAsia="Calibri" w:hAnsi="Calibri"/>
                  <w:color w:val="1F6FB2"/>
                  <w:sz w:val="15"/>
                  <w:szCs w:val="15"/>
                  <w:u w:val="single"/>
                </w:rPr>
                <w:t xml:space="preserve">baseballvictoria.com.au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Net &amp; Wall Games — Tennis, Volleyball, Badminton, Table Tennis</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Games and sports (GS)  ·  Fundamental movement skills (FMS)  ·  Lifelong physical activities (LLPA)  ·  Active play and minor games (AP)</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VC2HP8M01  ·  VC2HP8M02  ·  VC2HP8M03  ·  VC2HP8M09</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VC2HP10M01  ·  VC2HP10M02  ·  VC2HP10M03  ·  VC2HP10M08</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Net and wall games are the most defensible choice for VC2HP8M07 / VC2HP10M07 (personal physical activity plans) because badminton, table tennis and social tennis are genuinely sustainable into adulthood in a way that most invasion games are not.</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Tennis Australia — Schools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Hot Shots modified-equipment program. Lower compression balls and short courts let a full class play rallies in a single lesson rather than practising strokes in isolation.</w:t>
            </w:r>
          </w:p>
        </w:tc>
        <w:tc>
          <w:tcPr>
            <w:tcW w:type="dxa" w:w="2400"/>
            <w:shd w:fill="EEF3F9" w:color="auto" w:val="clear"/>
            <w:tcMar>
              <w:top w:type="dxa" w:w="80"/>
              <w:left w:type="dxa" w:w="110"/>
              <w:bottom w:type="dxa" w:w="80"/>
              <w:right w:type="dxa" w:w="110"/>
            </w:tcMar>
          </w:tcPr>
          <w:p>
            <w:hyperlink w:history="1" r:id="rIdoqaoa9c8eyfvikf_zo-sn">
              <w:r>
                <w:rPr>
                  <w:rFonts w:ascii="Calibri" w:cs="Calibri" w:eastAsia="Calibri" w:hAnsi="Calibri"/>
                  <w:color w:val="1F6FB2"/>
                  <w:sz w:val="15"/>
                  <w:szCs w:val="15"/>
                  <w:u w:val="single"/>
                </w:rPr>
                <w:t xml:space="preserve">www.tennis.com.au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Volleyball Australia — Schools</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Spikezone and modified formats. Volleyball's rotation requirement makes it useful for VC2HP8M10 (group decision-making and shared roles).</w:t>
            </w:r>
          </w:p>
        </w:tc>
        <w:tc>
          <w:tcPr>
            <w:tcW w:type="dxa" w:w="2400"/>
            <w:tcMar>
              <w:top w:type="dxa" w:w="80"/>
              <w:left w:type="dxa" w:w="110"/>
              <w:bottom w:type="dxa" w:w="80"/>
              <w:right w:type="dxa" w:w="110"/>
            </w:tcMar>
          </w:tcPr>
          <w:p>
            <w:hyperlink w:history="1" r:id="rIdcfh4jiincbvnv5z36hoyi">
              <w:r>
                <w:rPr>
                  <w:rFonts w:ascii="Calibri" w:cs="Calibri" w:eastAsia="Calibri" w:hAnsi="Calibri"/>
                  <w:color w:val="1F6FB2"/>
                  <w:sz w:val="15"/>
                  <w:szCs w:val="15"/>
                  <w:u w:val="single"/>
                </w:rPr>
                <w:t xml:space="preserve">www.volleyballaustralia.org.au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Volleyball Victoria</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State body. Schools Cup competition and regional contacts.</w:t>
            </w:r>
          </w:p>
        </w:tc>
        <w:tc>
          <w:tcPr>
            <w:tcW w:type="dxa" w:w="2400"/>
            <w:shd w:fill="EEF3F9" w:color="auto" w:val="clear"/>
            <w:tcMar>
              <w:top w:type="dxa" w:w="80"/>
              <w:left w:type="dxa" w:w="110"/>
              <w:bottom w:type="dxa" w:w="80"/>
              <w:right w:type="dxa" w:w="110"/>
            </w:tcMar>
          </w:tcPr>
          <w:p>
            <w:hyperlink w:history="1" r:id="rIdleejtyhpsgi64clmc-hzk">
              <w:r>
                <w:rPr>
                  <w:rFonts w:ascii="Calibri" w:cs="Calibri" w:eastAsia="Calibri" w:hAnsi="Calibri"/>
                  <w:color w:val="1F6FB2"/>
                  <w:sz w:val="15"/>
                  <w:szCs w:val="15"/>
                  <w:u w:val="single"/>
                </w:rPr>
                <w:t xml:space="preserve">www.volleyballvic.org.au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Badminton Australia — Schools</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Shuttle Time is the schools program, including a full teacher resource set and lesson plan sequence.</w:t>
            </w:r>
          </w:p>
        </w:tc>
        <w:tc>
          <w:tcPr>
            <w:tcW w:type="dxa" w:w="2400"/>
            <w:tcMar>
              <w:top w:type="dxa" w:w="80"/>
              <w:left w:type="dxa" w:w="110"/>
              <w:bottom w:type="dxa" w:w="80"/>
              <w:right w:type="dxa" w:w="110"/>
            </w:tcMar>
          </w:tcPr>
          <w:p>
            <w:hyperlink w:history="1" r:id="rIdvrvvlbznb3yesnjiegib4">
              <w:r>
                <w:rPr>
                  <w:rFonts w:ascii="Calibri" w:cs="Calibri" w:eastAsia="Calibri" w:hAnsi="Calibri"/>
                  <w:color w:val="1F6FB2"/>
                  <w:sz w:val="15"/>
                  <w:szCs w:val="15"/>
                  <w:u w:val="single"/>
                </w:rPr>
                <w:t xml:space="preserve">www.badminton.org.au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Table Tennis Australia</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Sporting Schools delivery partner. Extremely low space and equipment cost per participant.</w:t>
            </w:r>
          </w:p>
        </w:tc>
        <w:tc>
          <w:tcPr>
            <w:tcW w:type="dxa" w:w="2400"/>
            <w:shd w:fill="EEF3F9" w:color="auto" w:val="clear"/>
            <w:tcMar>
              <w:top w:type="dxa" w:w="80"/>
              <w:left w:type="dxa" w:w="110"/>
              <w:bottom w:type="dxa" w:w="80"/>
              <w:right w:type="dxa" w:w="110"/>
            </w:tcMar>
          </w:tcPr>
          <w:p>
            <w:hyperlink w:history="1" r:id="rIdnsvwo7vlii0tfcif8gws4">
              <w:r>
                <w:rPr>
                  <w:rFonts w:ascii="Calibri" w:cs="Calibri" w:eastAsia="Calibri" w:hAnsi="Calibri"/>
                  <w:color w:val="1F6FB2"/>
                  <w:sz w:val="15"/>
                  <w:szCs w:val="15"/>
                  <w:u w:val="single"/>
                </w:rPr>
                <w:t xml:space="preserve">www.tabletennis.org.au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Gymnastics &amp; Movement Composition</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Fundamental movement skills (FMS)  ·  Rhythmic and expressive movement activities (RE)  ·  Challenge and adventure activities (CA)</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VC2HP8M01  ·  VC2HP8M03  ·  VC2HP8M04</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VC2HP10M01  ·  VC2HP10M03  ·  VC2HP10M04</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VC2HP8M04 and VC2HP10M04 are Victorian-only content descriptions with no Australian Curriculum equivalent — they require students to compose, perform and evaluate movement sequences. Gymnastics and dance are the two focus areas that carry them. If your program has no composition component, these two descriptions are not being met.</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Gymnastics Australia — Education &amp; Schools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National body. LaunchPad and schools programs, plus coach accreditation. Safety guidance here matters: apparatus work carries duty-of-care requirements beyond general PE.</w:t>
            </w:r>
          </w:p>
        </w:tc>
        <w:tc>
          <w:tcPr>
            <w:tcW w:type="dxa" w:w="2400"/>
            <w:shd w:fill="EEF3F9" w:color="auto" w:val="clear"/>
            <w:tcMar>
              <w:top w:type="dxa" w:w="80"/>
              <w:left w:type="dxa" w:w="110"/>
              <w:bottom w:type="dxa" w:w="80"/>
              <w:right w:type="dxa" w:w="110"/>
            </w:tcMar>
          </w:tcPr>
          <w:p>
            <w:hyperlink w:history="1" r:id="rIdpao3ai7ublsluujqztzpi">
              <w:r>
                <w:rPr>
                  <w:rFonts w:ascii="Calibri" w:cs="Calibri" w:eastAsia="Calibri" w:hAnsi="Calibri"/>
                  <w:color w:val="1F6FB2"/>
                  <w:sz w:val="15"/>
                  <w:szCs w:val="15"/>
                  <w:u w:val="single"/>
                </w:rPr>
                <w:t xml:space="preserve">www.gymnastics.org.au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Gymnastics Victoria</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State body. Schools program delivery, club finder and Victorian coach pathways.</w:t>
            </w:r>
          </w:p>
        </w:tc>
        <w:tc>
          <w:tcPr>
            <w:tcW w:type="dxa" w:w="2400"/>
            <w:tcMar>
              <w:top w:type="dxa" w:w="80"/>
              <w:left w:type="dxa" w:w="110"/>
              <w:bottom w:type="dxa" w:w="80"/>
              <w:right w:type="dxa" w:w="110"/>
            </w:tcMar>
          </w:tcPr>
          <w:p>
            <w:hyperlink w:history="1" r:id="rIdtiro8iekswghcllhhzxv4">
              <w:r>
                <w:rPr>
                  <w:rFonts w:ascii="Calibri" w:cs="Calibri" w:eastAsia="Calibri" w:hAnsi="Calibri"/>
                  <w:color w:val="1F6FB2"/>
                  <w:sz w:val="15"/>
                  <w:szCs w:val="15"/>
                  <w:u w:val="single"/>
                </w:rPr>
                <w:t xml:space="preserve">www.gymnasticsvictoria.org.au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Department of Education — Gymnastics safety guidance (Policy and Advisory Library)</w:t>
            </w:r>
          </w:p>
          <w:p>
            <w:pPr>
              <w:spacing w:before="40"/>
            </w:pPr>
            <w:r>
              <w:rPr>
                <w:rFonts w:ascii="Calibri" w:cs="Calibri" w:eastAsia="Calibri" w:hAnsi="Calibri"/>
                <w:i/>
                <w:iCs/>
                <w:color w:val="4A5568"/>
                <w:sz w:val="15"/>
                <w:szCs w:val="15"/>
              </w:rPr>
              <w:t xml:space="preserve">Free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Victorian DE guidance on gymnastics activities in schools. Check this before programming apparatus work — it governs supervision ratios and instructor qualification.</w:t>
            </w:r>
          </w:p>
        </w:tc>
        <w:tc>
          <w:tcPr>
            <w:tcW w:type="dxa" w:w="2400"/>
            <w:shd w:fill="EEF3F9" w:color="auto" w:val="clear"/>
            <w:tcMar>
              <w:top w:type="dxa" w:w="80"/>
              <w:left w:type="dxa" w:w="110"/>
              <w:bottom w:type="dxa" w:w="80"/>
              <w:right w:type="dxa" w:w="110"/>
            </w:tcMar>
          </w:tcPr>
          <w:p>
            <w:hyperlink w:history="1" r:id="rId6yzd5fle8jm0vfw7q4gio">
              <w:r>
                <w:rPr>
                  <w:rFonts w:ascii="Calibri" w:cs="Calibri" w:eastAsia="Calibri" w:hAnsi="Calibri"/>
                  <w:color w:val="1F6FB2"/>
                  <w:sz w:val="15"/>
                  <w:szCs w:val="15"/>
                  <w:u w:val="single"/>
                </w:rPr>
                <w:t xml:space="preserve">www2.education.vic.gov.au/pal</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Rhythmic &amp; Expressive Movement — Dance</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Rhythmic and expressive movement activities (RE)  ·  Fundamental movement skills (FMS)  ·  Lifelong physical activities (LLPA)</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VC2HP8M04  ·  VC2HP8M03  ·  VC2HP8M10</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VC2HP10M04  ·  VC2HP10M03  ·  VC2HP10M10</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Rhythmic and expressive movement is one of the 12 mandated focus areas, not an optional enrichment. It must be addressed in each band. Dance also carries the cross-curriculum opportunity with The Arts, and provides the second route into the composition descriptions VC2HP8M04 / VC2HP10M04.</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Ausdance</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National dance advocacy body. Teaching resources, safe dance practice guidelines and choreographic frameworks for secondary students.</w:t>
            </w:r>
          </w:p>
        </w:tc>
        <w:tc>
          <w:tcPr>
            <w:tcW w:type="dxa" w:w="2400"/>
            <w:shd w:fill="EEF3F9" w:color="auto" w:val="clear"/>
            <w:tcMar>
              <w:top w:type="dxa" w:w="80"/>
              <w:left w:type="dxa" w:w="110"/>
              <w:bottom w:type="dxa" w:w="80"/>
              <w:right w:type="dxa" w:w="110"/>
            </w:tcMar>
          </w:tcPr>
          <w:p>
            <w:hyperlink w:history="1" r:id="rId7zwg71guuvfanpdlegqla">
              <w:r>
                <w:rPr>
                  <w:rFonts w:ascii="Calibri" w:cs="Calibri" w:eastAsia="Calibri" w:hAnsi="Calibri"/>
                  <w:color w:val="1F6FB2"/>
                  <w:sz w:val="15"/>
                  <w:szCs w:val="15"/>
                  <w:u w:val="single"/>
                </w:rPr>
                <w:t xml:space="preserve">ausdance.org.au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Yulunga: Traditional Indigenous Games (ASC)</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Free downloadable resource of over 100 traditional games with cultural context and instructions. Covers rhythmic and active-play focus areas while addressing the Aboriginal and Torres Strait Islander Histories and Cultures cross-curriculum priority — but it must be taught with cultural protocol, not as decontextualised games.</w:t>
            </w:r>
          </w:p>
        </w:tc>
        <w:tc>
          <w:tcPr>
            <w:tcW w:type="dxa" w:w="2400"/>
            <w:tcMar>
              <w:top w:type="dxa" w:w="80"/>
              <w:left w:type="dxa" w:w="110"/>
              <w:bottom w:type="dxa" w:w="80"/>
              <w:right w:type="dxa" w:w="110"/>
            </w:tcMar>
          </w:tcPr>
          <w:p>
            <w:hyperlink w:history="1" r:id="rIdrpnh9sraczskub-i70lfc">
              <w:r>
                <w:rPr>
                  <w:rFonts w:ascii="Calibri" w:cs="Calibri" w:eastAsia="Calibri" w:hAnsi="Calibri"/>
                  <w:color w:val="1F6FB2"/>
                  <w:sz w:val="15"/>
                  <w:szCs w:val="15"/>
                  <w:u w:val="single"/>
                </w:rPr>
                <w:t xml:space="preserve">www.ausport.gov.au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Athletics &amp; Fundamental Movement Skills</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Fundamental movement skills (FMS)  ·  Health benefits of physical activity (HBPA)  ·  Games and sports (GS)</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VC2HP8M01  ·  VC2HP8M03  ·  VC2HP8M05</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VC2HP10M01  ·  VC2HP10M03  ·  VC2HP10M05</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Athletics gives the cleanest quantitative feedback loop in the subject, which makes it the natural home for digital-tool movement analysis. The VC2HP8M01 elaboration explicitly names analysing performance using digital tools and implementing feedback.</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Athletics Australia — Schools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National body. Athletics resources and the schools pathway into Little Athletics and regional competition.</w:t>
            </w:r>
          </w:p>
        </w:tc>
        <w:tc>
          <w:tcPr>
            <w:tcW w:type="dxa" w:w="2400"/>
            <w:shd w:fill="EEF3F9" w:color="auto" w:val="clear"/>
            <w:tcMar>
              <w:top w:type="dxa" w:w="80"/>
              <w:left w:type="dxa" w:w="110"/>
              <w:bottom w:type="dxa" w:w="80"/>
              <w:right w:type="dxa" w:w="110"/>
            </w:tcMar>
          </w:tcPr>
          <w:p>
            <w:hyperlink w:history="1" r:id="rIdmvzbmsmf6op_z2mlbv1kn">
              <w:r>
                <w:rPr>
                  <w:rFonts w:ascii="Calibri" w:cs="Calibri" w:eastAsia="Calibri" w:hAnsi="Calibri"/>
                  <w:color w:val="1F6FB2"/>
                  <w:sz w:val="15"/>
                  <w:szCs w:val="15"/>
                  <w:u w:val="single"/>
                </w:rPr>
                <w:t xml:space="preserve">athletics.com.au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Little Athletics Victoria</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Victorian junior athletics body. Age-appropriate event modifications and local centre contacts.</w:t>
            </w:r>
          </w:p>
        </w:tc>
        <w:tc>
          <w:tcPr>
            <w:tcW w:type="dxa" w:w="2400"/>
            <w:tcMar>
              <w:top w:type="dxa" w:w="80"/>
              <w:left w:type="dxa" w:w="110"/>
              <w:bottom w:type="dxa" w:w="80"/>
              <w:right w:type="dxa" w:w="110"/>
            </w:tcMar>
          </w:tcPr>
          <w:p>
            <w:hyperlink w:history="1" r:id="rId0mjgd0sbvhfdbo-hiqtu5">
              <w:r>
                <w:rPr>
                  <w:rFonts w:ascii="Calibri" w:cs="Calibri" w:eastAsia="Calibri" w:hAnsi="Calibri"/>
                  <w:color w:val="1F6FB2"/>
                  <w:sz w:val="15"/>
                  <w:szCs w:val="15"/>
                  <w:u w:val="single"/>
                </w:rPr>
                <w:t xml:space="preserve">lavic.com.au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School Sport Victoria</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The state schools competition structure across all sports — the practical route from classroom PE into representative pathways for VC2HP8M06.</w:t>
            </w:r>
          </w:p>
        </w:tc>
        <w:tc>
          <w:tcPr>
            <w:tcW w:type="dxa" w:w="2400"/>
            <w:shd w:fill="EEF3F9" w:color="auto" w:val="clear"/>
            <w:tcMar>
              <w:top w:type="dxa" w:w="80"/>
              <w:left w:type="dxa" w:w="110"/>
              <w:bottom w:type="dxa" w:w="80"/>
              <w:right w:type="dxa" w:w="110"/>
            </w:tcMar>
          </w:tcPr>
          <w:p>
            <w:hyperlink w:history="1" r:id="rIdhdvxhwpivq8pxgo4rf55e">
              <w:r>
                <w:rPr>
                  <w:rFonts w:ascii="Calibri" w:cs="Calibri" w:eastAsia="Calibri" w:hAnsi="Calibri"/>
                  <w:color w:val="1F6FB2"/>
                  <w:sz w:val="15"/>
                  <w:szCs w:val="15"/>
                  <w:u w:val="single"/>
                </w:rPr>
                <w:t xml:space="preserve">www.schoolsportvictoria.com.au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Aquatics, Swimming &amp; Water Safety</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Safety (S)  ·  Lifelong physical activities (LLPA)  ·  Fundamental movement skills (FMS)  ·  Challenge and adventure activities (CA)</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VC2HP8M01  ·  VC2HP8M06  ·  VC2HP8P08  ·  VC2HP8P09  ·  VC2HP8P10</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VC2HP10M01  ·  VC2HP10M06  ·  VC2HP10P08  ·  VC2HP10P09  ·  VC2HP10P10</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Four of the 12 focus areas refer specifically to swimming and water safety, and VC2HP8M01 / VC2HP10M01 name aquatic settings explicitly — wording the Australian Curriculum does not carry. Water safety is a mandated component in Victoria, not a discretionary one. Statistics in this section were refreshed for this revision; see the Data Currency note in Part 4.</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Life Saving Victoria — School Swimming &amp; Water Safety Toolkit</w:t>
            </w:r>
          </w:p>
          <w:p>
            <w:pPr>
              <w:spacing w:before="40"/>
            </w:pPr>
            <w:r>
              <w:rPr>
                <w:rFonts w:ascii="Calibri" w:cs="Calibri" w:eastAsia="Calibri" w:hAnsi="Calibri"/>
                <w:i/>
                <w:iCs/>
                <w:color w:val="4A5568"/>
                <w:sz w:val="15"/>
                <w:szCs w:val="15"/>
              </w:rPr>
              <w:t xml:space="preserve">Free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Free curriculum-aligned lesson plans Foundation to Year 10, classroom and dry-land resources, funding information, Victorian Water Safety Certificate assessment tools, and the Swim City digital platform. Relaunched with a new Program Finder — a map-based tool that generates suitable program options from your curriculum inputs. Use lsv.com.au/toolkit as the entry point; older .php deep links predate the site rebuild.</w:t>
            </w:r>
          </w:p>
        </w:tc>
        <w:tc>
          <w:tcPr>
            <w:tcW w:type="dxa" w:w="2400"/>
            <w:shd w:fill="EEF3F9" w:color="auto" w:val="clear"/>
            <w:tcMar>
              <w:top w:type="dxa" w:w="80"/>
              <w:left w:type="dxa" w:w="110"/>
              <w:bottom w:type="dxa" w:w="80"/>
              <w:right w:type="dxa" w:w="110"/>
            </w:tcMar>
          </w:tcPr>
          <w:p>
            <w:hyperlink w:history="1" r:id="rId_hxdhd0xkbuycfqhnp8ct">
              <w:r>
                <w:rPr>
                  <w:rFonts w:ascii="Calibri" w:cs="Calibri" w:eastAsia="Calibri" w:hAnsi="Calibri"/>
                  <w:color w:val="1F6FB2"/>
                  <w:sz w:val="15"/>
                  <w:szCs w:val="15"/>
                  <w:u w:val="single"/>
                </w:rPr>
                <w:t xml:space="preserve">lsv.com.au/toolkit</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Life Saving Victoria — Research &amp; Advocacy</w:t>
            </w:r>
          </w:p>
          <w:p>
            <w:pPr>
              <w:spacing w:before="40"/>
            </w:pPr>
            <w:r>
              <w:rPr>
                <w:rFonts w:ascii="Calibri" w:cs="Calibri" w:eastAsia="Calibri" w:hAnsi="Calibri"/>
                <w:i/>
                <w:iCs/>
                <w:color w:val="4A5568"/>
                <w:sz w:val="15"/>
                <w:szCs w:val="15"/>
              </w:rPr>
              <w:t xml:space="preserve">Free / V</w:t>
            </w:r>
          </w:p>
        </w:tc>
        <w:tc>
          <w:tcPr>
            <w:tcW w:type="dxa" w:w="4126"/>
            <w:tcMar>
              <w:top w:type="dxa" w:w="80"/>
              <w:left w:type="dxa" w:w="110"/>
              <w:bottom w:type="dxa" w:w="80"/>
              <w:right w:type="dxa" w:w="110"/>
            </w:tcMar>
          </w:tcPr>
          <w:p>
            <w:r>
              <w:rPr>
                <w:rFonts w:ascii="Calibri" w:cs="Calibri" w:eastAsia="Calibri" w:hAnsi="Calibri"/>
                <w:sz w:val="18"/>
                <w:szCs w:val="18"/>
              </w:rPr>
              <w:t xml:space="preserve">Annual Victorian Drowning Reports and the research library. Note that the former /research/victorian-drowning-reports/ address now redirects here.</w:t>
            </w:r>
          </w:p>
        </w:tc>
        <w:tc>
          <w:tcPr>
            <w:tcW w:type="dxa" w:w="2400"/>
            <w:tcMar>
              <w:top w:type="dxa" w:w="80"/>
              <w:left w:type="dxa" w:w="110"/>
              <w:bottom w:type="dxa" w:w="80"/>
              <w:right w:type="dxa" w:w="110"/>
            </w:tcMar>
          </w:tcPr>
          <w:p>
            <w:hyperlink w:history="1" r:id="rIdwkq1rf2d9ukggmtnenns9">
              <w:r>
                <w:rPr>
                  <w:rFonts w:ascii="Calibri" w:cs="Calibri" w:eastAsia="Calibri" w:hAnsi="Calibri"/>
                  <w:color w:val="1F6FB2"/>
                  <w:sz w:val="15"/>
                  <w:szCs w:val="15"/>
                  <w:u w:val="single"/>
                </w:rPr>
                <w:t xml:space="preserve">lsv.com.au/what-we-do/research-advocacy</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Royal Life Saving Australia — National Drowning Reports</w:t>
            </w:r>
          </w:p>
          <w:p>
            <w:pPr>
              <w:spacing w:before="40"/>
            </w:pPr>
            <w:r>
              <w:rPr>
                <w:rFonts w:ascii="Calibri" w:cs="Calibri" w:eastAsia="Calibri" w:hAnsi="Calibri"/>
                <w:i/>
                <w:iCs/>
                <w:color w:val="4A5568"/>
                <w:sz w:val="15"/>
                <w:szCs w:val="15"/>
              </w:rPr>
              <w:t xml:space="preserve">Free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The annual national dataset. The 2026 report recorded 313 drowning deaths in 2025/26, down 12% on the record 357 the previous year but still 10% above the ten-year average. Coastal locations accounted for 151 deaths (48%) and inland waterways 90 (29%). Strong numeracy cross-curriculum material.</w:t>
            </w:r>
          </w:p>
        </w:tc>
        <w:tc>
          <w:tcPr>
            <w:tcW w:type="dxa" w:w="2400"/>
            <w:shd w:fill="EEF3F9" w:color="auto" w:val="clear"/>
            <w:tcMar>
              <w:top w:type="dxa" w:w="80"/>
              <w:left w:type="dxa" w:w="110"/>
              <w:bottom w:type="dxa" w:w="80"/>
              <w:right w:type="dxa" w:w="110"/>
            </w:tcMar>
          </w:tcPr>
          <w:p>
            <w:hyperlink w:history="1" r:id="rId5gxqh2ucqnzn8nh1_ujy8">
              <w:r>
                <w:rPr>
                  <w:rFonts w:ascii="Calibri" w:cs="Calibri" w:eastAsia="Calibri" w:hAnsi="Calibri"/>
                  <w:color w:val="1F6FB2"/>
                  <w:sz w:val="15"/>
                  <w:szCs w:val="15"/>
                  <w:u w:val="single"/>
                </w:rPr>
                <w:t xml:space="preserve">www.royallifesaving.com.au/research-and-policy/drowning-research/national-drowning-reports</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Surf Life Saving Australia — Coastal Safety Reports</w:t>
            </w:r>
          </w:p>
          <w:p>
            <w:pPr>
              <w:spacing w:before="40"/>
            </w:pPr>
            <w:r>
              <w:rPr>
                <w:rFonts w:ascii="Calibri" w:cs="Calibri" w:eastAsia="Calibri" w:hAnsi="Calibri"/>
                <w:i/>
                <w:iCs/>
                <w:color w:val="4A5568"/>
                <w:sz w:val="15"/>
                <w:szCs w:val="15"/>
              </w:rPr>
              <w:t xml:space="preserve">Free / V</w:t>
            </w:r>
          </w:p>
        </w:tc>
        <w:tc>
          <w:tcPr>
            <w:tcW w:type="dxa" w:w="4126"/>
            <w:tcMar>
              <w:top w:type="dxa" w:w="80"/>
              <w:left w:type="dxa" w:w="110"/>
              <w:bottom w:type="dxa" w:w="80"/>
              <w:right w:type="dxa" w:w="110"/>
            </w:tcMar>
          </w:tcPr>
          <w:p>
            <w:r>
              <w:rPr>
                <w:rFonts w:ascii="Calibri" w:cs="Calibri" w:eastAsia="Calibri" w:hAnsi="Calibri"/>
                <w:sz w:val="18"/>
                <w:szCs w:val="18"/>
              </w:rPr>
              <w:t xml:space="preserve">National Coastal Safety Report and the Summer Coastal Drowning Report. The 2025/26 summer report recorded 50 coastal drowning deaths nationally.</w:t>
            </w:r>
          </w:p>
        </w:tc>
        <w:tc>
          <w:tcPr>
            <w:tcW w:type="dxa" w:w="2400"/>
            <w:tcMar>
              <w:top w:type="dxa" w:w="80"/>
              <w:left w:type="dxa" w:w="110"/>
              <w:bottom w:type="dxa" w:w="80"/>
              <w:right w:type="dxa" w:w="110"/>
            </w:tcMar>
          </w:tcPr>
          <w:p>
            <w:hyperlink w:history="1" r:id="rIdfikry_8wn4srzdcubia9s">
              <w:r>
                <w:rPr>
                  <w:rFonts w:ascii="Calibri" w:cs="Calibri" w:eastAsia="Calibri" w:hAnsi="Calibri"/>
                  <w:color w:val="1F6FB2"/>
                  <w:sz w:val="15"/>
                  <w:szCs w:val="15"/>
                  <w:u w:val="single"/>
                </w:rPr>
                <w:t xml:space="preserve">sls.com.au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BeachSafe (SLSA)</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Patrolled beach finder, patrol hours and conditions. Works well as a homework research task: locate the three nearest patrolled beaches to home.</w:t>
            </w:r>
          </w:p>
        </w:tc>
        <w:tc>
          <w:tcPr>
            <w:tcW w:type="dxa" w:w="2400"/>
            <w:shd w:fill="EEF3F9" w:color="auto" w:val="clear"/>
            <w:tcMar>
              <w:top w:type="dxa" w:w="80"/>
              <w:left w:type="dxa" w:w="110"/>
              <w:bottom w:type="dxa" w:w="80"/>
              <w:right w:type="dxa" w:w="110"/>
            </w:tcMar>
          </w:tcPr>
          <w:p>
            <w:hyperlink w:history="1" r:id="rId6guzyhf3tj0xwwvsdugxl">
              <w:r>
                <w:rPr>
                  <w:rFonts w:ascii="Calibri" w:cs="Calibri" w:eastAsia="Calibri" w:hAnsi="Calibri"/>
                  <w:color w:val="1F6FB2"/>
                  <w:sz w:val="15"/>
                  <w:szCs w:val="15"/>
                  <w:u w:val="single"/>
                </w:rPr>
                <w:t xml:space="preserve">beachsafe.org.au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AUSTSWIM</w:t>
            </w:r>
          </w:p>
          <w:p>
            <w:pPr>
              <w:spacing w:before="40"/>
            </w:pPr>
            <w:r>
              <w:rPr>
                <w:rFonts w:ascii="Calibri" w:cs="Calibri" w:eastAsia="Calibri" w:hAnsi="Calibri"/>
                <w:i/>
                <w:iCs/>
                <w:color w:val="4A5568"/>
                <w:sz w:val="15"/>
                <w:szCs w:val="15"/>
              </w:rPr>
              <w:t xml:space="preserve">Paid PL / C</w:t>
            </w:r>
          </w:p>
        </w:tc>
        <w:tc>
          <w:tcPr>
            <w:tcW w:type="dxa" w:w="4126"/>
            <w:tcMar>
              <w:top w:type="dxa" w:w="80"/>
              <w:left w:type="dxa" w:w="110"/>
              <w:bottom w:type="dxa" w:w="80"/>
              <w:right w:type="dxa" w:w="110"/>
            </w:tcMar>
          </w:tcPr>
          <w:p>
            <w:r>
              <w:rPr>
                <w:rFonts w:ascii="Calibri" w:cs="Calibri" w:eastAsia="Calibri" w:hAnsi="Calibri"/>
                <w:sz w:val="18"/>
                <w:szCs w:val="18"/>
              </w:rPr>
              <w:t xml:space="preserve">Teacher of Swimming and Water Safety qualification — the specialist credential pathway supporting delivery of VC2HP8M01 and VC2HP10M01 in aquatic settings.</w:t>
            </w:r>
          </w:p>
        </w:tc>
        <w:tc>
          <w:tcPr>
            <w:tcW w:type="dxa" w:w="2400"/>
            <w:tcMar>
              <w:top w:type="dxa" w:w="80"/>
              <w:left w:type="dxa" w:w="110"/>
              <w:bottom w:type="dxa" w:w="80"/>
              <w:right w:type="dxa" w:w="110"/>
            </w:tcMar>
          </w:tcPr>
          <w:p>
            <w:hyperlink w:history="1" r:id="rIdd7y28jekx0o3ieea4me0j">
              <w:r>
                <w:rPr>
                  <w:rFonts w:ascii="Calibri" w:cs="Calibri" w:eastAsia="Calibri" w:hAnsi="Calibri"/>
                  <w:color w:val="1F6FB2"/>
                  <w:sz w:val="15"/>
                  <w:szCs w:val="15"/>
                  <w:u w:val="single"/>
                </w:rPr>
                <w:t xml:space="preserve">austswim.com.au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Swim &amp; Water Safety Teaching Hub</w:t>
            </w:r>
          </w:p>
          <w:p>
            <w:pPr>
              <w:spacing w:before="40"/>
            </w:pPr>
            <w:r>
              <w:rPr>
                <w:rFonts w:ascii="Calibri" w:cs="Calibri" w:eastAsia="Calibri" w:hAnsi="Calibri"/>
                <w:i/>
                <w:iCs/>
                <w:color w:val="4A5568"/>
                <w:sz w:val="15"/>
                <w:szCs w:val="15"/>
              </w:rPr>
              <w:t xml:space="preserve">Free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Companion dry-land teaching suite for Years 7–10 — lesson plans, workbooks, posters, scenario cards, assessment rubrics and an Australian Curriculum adaptation guide for interstate use.</w:t>
            </w:r>
          </w:p>
        </w:tc>
        <w:tc>
          <w:tcPr>
            <w:tcW w:type="dxa" w:w="2400"/>
            <w:shd w:fill="EEF3F9" w:color="auto" w:val="clear"/>
            <w:tcMar>
              <w:top w:type="dxa" w:w="80"/>
              <w:left w:type="dxa" w:w="110"/>
              <w:bottom w:type="dxa" w:w="80"/>
              <w:right w:type="dxa" w:w="110"/>
            </w:tcMar>
          </w:tcPr>
          <w:p>
            <w:hyperlink w:history="1" r:id="rIdvzuue2uwkqlgaa5nzxh2c">
              <w:r>
                <w:rPr>
                  <w:rFonts w:ascii="Calibri" w:cs="Calibri" w:eastAsia="Calibri" w:hAnsi="Calibri"/>
                  <w:color w:val="1F6FB2"/>
                  <w:sz w:val="15"/>
                  <w:szCs w:val="15"/>
                  <w:u w:val="single"/>
                </w:rPr>
                <w:t xml:space="preserve">emilie-harrison.github.io/swim-water-safety/</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Challenge &amp; Adventure Activities / Outdoor Education</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Challenge and adventure activities (CA)  ·  Safety (S)  ·  Lifelong physical activities (LLPA)  ·  Health benefits of physical activity (HBPA)</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VC2HP8M06  ·  VC2HP8M08  ·  VC2HP8M10</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VC2HP10M06  ·  VC2HP10M08  ·  VC2HP10M10</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Challenge and adventure is a mandated focus area that schools most often under-deliver, usually on cost or risk grounds. Orienteering on the school site and initiative-task problem solving meet VC2HP8M06 and VC2HP8M10 with no excursion and no external provider.</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Outdoor Education Australia</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Peak professional body. Curriculum frameworks, safety guidelines and the research base for outdoor learning.</w:t>
            </w:r>
          </w:p>
        </w:tc>
        <w:tc>
          <w:tcPr>
            <w:tcW w:type="dxa" w:w="2400"/>
            <w:shd w:fill="EEF3F9" w:color="auto" w:val="clear"/>
            <w:tcMar>
              <w:top w:type="dxa" w:w="80"/>
              <w:left w:type="dxa" w:w="110"/>
              <w:bottom w:type="dxa" w:w="80"/>
              <w:right w:type="dxa" w:w="110"/>
            </w:tcMar>
          </w:tcPr>
          <w:p>
            <w:hyperlink w:history="1" r:id="rIdoasfyljnc6wcvghqqvzho">
              <w:r>
                <w:rPr>
                  <w:rFonts w:ascii="Calibri" w:cs="Calibri" w:eastAsia="Calibri" w:hAnsi="Calibri"/>
                  <w:color w:val="1F6FB2"/>
                  <w:sz w:val="15"/>
                  <w:szCs w:val="15"/>
                  <w:u w:val="single"/>
                </w:rPr>
                <w:t xml:space="preserve">www.outdooreducationaustralia.org.au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Orienteering Victoria</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School orienteering resources, map sets and come-and-try events. School-grounds courses are the lowest-cost entry into the challenge and adventure focus area.</w:t>
            </w:r>
          </w:p>
        </w:tc>
        <w:tc>
          <w:tcPr>
            <w:tcW w:type="dxa" w:w="2400"/>
            <w:tcMar>
              <w:top w:type="dxa" w:w="80"/>
              <w:left w:type="dxa" w:w="110"/>
              <w:bottom w:type="dxa" w:w="80"/>
              <w:right w:type="dxa" w:w="110"/>
            </w:tcMar>
          </w:tcPr>
          <w:p>
            <w:hyperlink w:history="1" r:id="rIdbd7bwfnyxfsfdne2s9ych">
              <w:r>
                <w:rPr>
                  <w:rFonts w:ascii="Calibri" w:cs="Calibri" w:eastAsia="Calibri" w:hAnsi="Calibri"/>
                  <w:color w:val="1F6FB2"/>
                  <w:sz w:val="15"/>
                  <w:szCs w:val="15"/>
                  <w:u w:val="single"/>
                </w:rPr>
                <w:t xml:space="preserve">www.vicorienteering.asn.au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Parks Victoria</w:t>
            </w:r>
          </w:p>
          <w:p>
            <w:pPr>
              <w:spacing w:before="40"/>
            </w:pPr>
            <w:r>
              <w:rPr>
                <w:rFonts w:ascii="Calibri" w:cs="Calibri" w:eastAsia="Calibri" w:hAnsi="Calibri"/>
                <w:i/>
                <w:iCs/>
                <w:color w:val="4A5568"/>
                <w:sz w:val="15"/>
                <w:szCs w:val="15"/>
              </w:rPr>
              <w:t xml:space="preserve">Free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Waterway and bushland hazard information, park locations and safety material for natural environments. Note the domain is parks.vic.gov.au — park.vic.gov.au is incorrect.</w:t>
            </w:r>
          </w:p>
        </w:tc>
        <w:tc>
          <w:tcPr>
            <w:tcW w:type="dxa" w:w="2400"/>
            <w:shd w:fill="EEF3F9" w:color="auto" w:val="clear"/>
            <w:tcMar>
              <w:top w:type="dxa" w:w="80"/>
              <w:left w:type="dxa" w:w="110"/>
              <w:bottom w:type="dxa" w:w="80"/>
              <w:right w:type="dxa" w:w="110"/>
            </w:tcMar>
          </w:tcPr>
          <w:p>
            <w:hyperlink w:history="1" r:id="rIdarnnpvdbqm1q4jvcqispl">
              <w:r>
                <w:rPr>
                  <w:rFonts w:ascii="Calibri" w:cs="Calibri" w:eastAsia="Calibri" w:hAnsi="Calibri"/>
                  <w:color w:val="1F6FB2"/>
                  <w:sz w:val="15"/>
                  <w:szCs w:val="15"/>
                  <w:u w:val="single"/>
                </w:rPr>
                <w:t xml:space="preserve">www.parks.vic.gov.au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Paddle Victoria — Come &amp; Try for Schools</w:t>
            </w:r>
          </w:p>
          <w:p>
            <w:pPr>
              <w:spacing w:before="40"/>
            </w:pPr>
            <w:r>
              <w:rPr>
                <w:rFonts w:ascii="Calibri" w:cs="Calibri" w:eastAsia="Calibri" w:hAnsi="Calibri"/>
                <w:i/>
                <w:iCs/>
                <w:color w:val="4A5568"/>
                <w:sz w:val="15"/>
                <w:szCs w:val="15"/>
              </w:rPr>
              <w:t xml:space="preserve">Cost varies / C</w:t>
            </w:r>
          </w:p>
        </w:tc>
        <w:tc>
          <w:tcPr>
            <w:tcW w:type="dxa" w:w="4126"/>
            <w:tcMar>
              <w:top w:type="dxa" w:w="80"/>
              <w:left w:type="dxa" w:w="110"/>
              <w:bottom w:type="dxa" w:w="80"/>
              <w:right w:type="dxa" w:w="110"/>
            </w:tcMar>
          </w:tcPr>
          <w:p>
            <w:r>
              <w:rPr>
                <w:rFonts w:ascii="Calibri" w:cs="Calibri" w:eastAsia="Calibri" w:hAnsi="Calibri"/>
                <w:sz w:val="18"/>
                <w:szCs w:val="18"/>
              </w:rPr>
              <w:t xml:space="preserve">Canoeing and kayaking programs with school delivery options; inland waterway safety content relevant to Victorian river contexts.</w:t>
            </w:r>
          </w:p>
        </w:tc>
        <w:tc>
          <w:tcPr>
            <w:tcW w:type="dxa" w:w="2400"/>
            <w:tcMar>
              <w:top w:type="dxa" w:w="80"/>
              <w:left w:type="dxa" w:w="110"/>
              <w:bottom w:type="dxa" w:w="80"/>
              <w:right w:type="dxa" w:w="110"/>
            </w:tcMar>
          </w:tcPr>
          <w:p>
            <w:hyperlink w:history="1" r:id="rIddrv_baypt_ol2fldo_tpc">
              <w:r>
                <w:rPr>
                  <w:rFonts w:ascii="Calibri" w:cs="Calibri" w:eastAsia="Calibri" w:hAnsi="Calibri"/>
                  <w:color w:val="1F6FB2"/>
                  <w:sz w:val="15"/>
                  <w:szCs w:val="15"/>
                  <w:u w:val="single"/>
                </w:rPr>
                <w:t xml:space="preserve">paddlevictoria.org.au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Department of Education — Excursions and adventure activities (PAL)</w:t>
            </w:r>
          </w:p>
          <w:p>
            <w:pPr>
              <w:spacing w:before="40"/>
            </w:pPr>
            <w:r>
              <w:rPr>
                <w:rFonts w:ascii="Calibri" w:cs="Calibri" w:eastAsia="Calibri" w:hAnsi="Calibri"/>
                <w:i/>
                <w:iCs/>
                <w:color w:val="4A5568"/>
                <w:sz w:val="15"/>
                <w:szCs w:val="15"/>
              </w:rPr>
              <w:t xml:space="preserve">Free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Mandatory Victorian policy for excursions, camps and adventure activities. Read before programming anything off-site.</w:t>
            </w:r>
          </w:p>
        </w:tc>
        <w:tc>
          <w:tcPr>
            <w:tcW w:type="dxa" w:w="2400"/>
            <w:shd w:fill="EEF3F9" w:color="auto" w:val="clear"/>
            <w:tcMar>
              <w:top w:type="dxa" w:w="80"/>
              <w:left w:type="dxa" w:w="110"/>
              <w:bottom w:type="dxa" w:w="80"/>
              <w:right w:type="dxa" w:w="110"/>
            </w:tcMar>
          </w:tcPr>
          <w:p>
            <w:hyperlink w:history="1" r:id="rIdv5up6afciaynd1wttucxr">
              <w:r>
                <w:rPr>
                  <w:rFonts w:ascii="Calibri" w:cs="Calibri" w:eastAsia="Calibri" w:hAnsi="Calibri"/>
                  <w:color w:val="1F6FB2"/>
                  <w:sz w:val="15"/>
                  <w:szCs w:val="15"/>
                  <w:u w:val="single"/>
                </w:rPr>
                <w:t xml:space="preserve">www2.education.vic.gov.au/pal</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Lifelong Physical Activities &amp; Fitness</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Lifelong physical activities (LLPA)  ·  Health benefits of physical activity (HBPA)  ·  Challenge and adventure activities (CA)</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VC2HP8M05  ·  VC2HP8M06  ·  VC2HP8M07</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VC2HP10M05  ·  VC2HP10M06  ·  VC2HP10M07</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VC2HP8M07 and VC2HP10M07 require students to design and justify a personal physical activity plan — not simply to participate. This is an assessable planning task with a written justification component, and it is frequently the weakest-evidenced description in school documentation.</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AusBike — Cycling for Schools</w:t>
            </w:r>
          </w:p>
          <w:p>
            <w:pPr>
              <w:spacing w:before="40"/>
            </w:pPr>
            <w:r>
              <w:rPr>
                <w:rFonts w:ascii="Calibri" w:cs="Calibri" w:eastAsia="Calibri" w:hAnsi="Calibri"/>
                <w:i/>
                <w:iCs/>
                <w:color w:val="4A5568"/>
                <w:sz w:val="15"/>
                <w:szCs w:val="15"/>
              </w:rPr>
              <w:t xml:space="preserve">Cost varies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Bike education program for Victorian schools; road-skills and safety curriculum linked to the Lifelong Physical Activities focus area.</w:t>
            </w:r>
          </w:p>
        </w:tc>
        <w:tc>
          <w:tcPr>
            <w:tcW w:type="dxa" w:w="2400"/>
            <w:shd w:fill="EEF3F9" w:color="auto" w:val="clear"/>
            <w:tcMar>
              <w:top w:type="dxa" w:w="80"/>
              <w:left w:type="dxa" w:w="110"/>
              <w:bottom w:type="dxa" w:w="80"/>
              <w:right w:type="dxa" w:w="110"/>
            </w:tcMar>
          </w:tcPr>
          <w:p>
            <w:hyperlink w:history="1" r:id="rIdturtxgaky6sz-nhcqfbnl">
              <w:r>
                <w:rPr>
                  <w:rFonts w:ascii="Calibri" w:cs="Calibri" w:eastAsia="Calibri" w:hAnsi="Calibri"/>
                  <w:color w:val="1F6FB2"/>
                  <w:sz w:val="15"/>
                  <w:szCs w:val="15"/>
                  <w:u w:val="single"/>
                </w:rPr>
                <w:t xml:space="preserve">ausbike.au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Bicycle Network — Ride2School</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Free active-travel program with participation tracking. Generates authentic data for VC2HP8M07 activity-level planning tasks.</w:t>
            </w:r>
          </w:p>
        </w:tc>
        <w:tc>
          <w:tcPr>
            <w:tcW w:type="dxa" w:w="2400"/>
            <w:tcMar>
              <w:top w:type="dxa" w:w="80"/>
              <w:left w:type="dxa" w:w="110"/>
              <w:bottom w:type="dxa" w:w="80"/>
              <w:right w:type="dxa" w:w="110"/>
            </w:tcMar>
          </w:tcPr>
          <w:p>
            <w:hyperlink w:history="1" r:id="rIdqdcp0g3vb4c2kvoe0haw-">
              <w:r>
                <w:rPr>
                  <w:rFonts w:ascii="Calibri" w:cs="Calibri" w:eastAsia="Calibri" w:hAnsi="Calibri"/>
                  <w:color w:val="1F6FB2"/>
                  <w:sz w:val="15"/>
                  <w:szCs w:val="15"/>
                  <w:u w:val="single"/>
                </w:rPr>
                <w:t xml:space="preserve">www.bicyclenetwork.com.au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Golf Australia — MyGolf Schools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Schools program with modified equipment. A genuine lifelong activity with low physical-contact risk and broad accessibility.</w:t>
            </w:r>
          </w:p>
        </w:tc>
        <w:tc>
          <w:tcPr>
            <w:tcW w:type="dxa" w:w="2400"/>
            <w:shd w:fill="EEF3F9" w:color="auto" w:val="clear"/>
            <w:tcMar>
              <w:top w:type="dxa" w:w="80"/>
              <w:left w:type="dxa" w:w="110"/>
              <w:bottom w:type="dxa" w:w="80"/>
              <w:right w:type="dxa" w:w="110"/>
            </w:tcMar>
          </w:tcPr>
          <w:p>
            <w:hyperlink w:history="1" r:id="rId4i4smqwek3j859cq2de6k">
              <w:r>
                <w:rPr>
                  <w:rFonts w:ascii="Calibri" w:cs="Calibri" w:eastAsia="Calibri" w:hAnsi="Calibri"/>
                  <w:color w:val="1F6FB2"/>
                  <w:sz w:val="15"/>
                  <w:szCs w:val="15"/>
                  <w:u w:val="single"/>
                </w:rPr>
                <w:t xml:space="preserve">www.golf.org.au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VicHealth</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Victorian health promotion agency. Physical activity research, participation data and campaign material for community health promotion tasks.</w:t>
            </w:r>
          </w:p>
        </w:tc>
        <w:tc>
          <w:tcPr>
            <w:tcW w:type="dxa" w:w="2400"/>
            <w:tcMar>
              <w:top w:type="dxa" w:w="80"/>
              <w:left w:type="dxa" w:w="110"/>
              <w:bottom w:type="dxa" w:w="80"/>
              <w:right w:type="dxa" w:w="110"/>
            </w:tcMar>
          </w:tcPr>
          <w:p>
            <w:hyperlink w:history="1" r:id="rIdrtsezq2bhqszaxg0uv-t-">
              <w:r>
                <w:rPr>
                  <w:rFonts w:ascii="Calibri" w:cs="Calibri" w:eastAsia="Calibri" w:hAnsi="Calibri"/>
                  <w:color w:val="1F6FB2"/>
                  <w:sz w:val="15"/>
                  <w:szCs w:val="15"/>
                  <w:u w:val="single"/>
                </w:rPr>
                <w:t xml:space="preserve">www.vichealth.vic.gov.au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Australian Government — Physical Activity &amp; Sedentary Behaviour Guidelines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The official 5–17 years guidelines. The benchmark against which students evaluate their own plans under VC2HP10M07.</w:t>
            </w:r>
          </w:p>
        </w:tc>
        <w:tc>
          <w:tcPr>
            <w:tcW w:type="dxa" w:w="2400"/>
            <w:shd w:fill="EEF3F9" w:color="auto" w:val="clear"/>
            <w:tcMar>
              <w:top w:type="dxa" w:w="80"/>
              <w:left w:type="dxa" w:w="110"/>
              <w:bottom w:type="dxa" w:w="80"/>
              <w:right w:type="dxa" w:w="110"/>
            </w:tcMar>
          </w:tcPr>
          <w:p>
            <w:hyperlink w:history="1" r:id="rId4q6euq29ux2kptspcpapo">
              <w:r>
                <w:rPr>
                  <w:rFonts w:ascii="Calibri" w:cs="Calibri" w:eastAsia="Calibri" w:hAnsi="Calibri"/>
                  <w:color w:val="1F6FB2"/>
                  <w:sz w:val="15"/>
                  <w:szCs w:val="15"/>
                  <w:u w:val="single"/>
                </w:rPr>
                <w:t xml:space="preserve">www.health.gov.au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Inclusive Practice &amp; Disability Sport</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Games and sports (GS)  ·  Fundamental movement skills (FMS)  ·  Active play and minor games (AP)  ·  Lifelong physical activities (LLPA)</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VC2HP8M09  ·  VC2HP8M10  ·  VC2HP8P05</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VC2HP10M09  ·  VC2HP10M10  ·  VC2HP10P05</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Inclusion sits in both strands. VC2HP8M09 (modifying equipment, rules and scoring to support inclusive participation) is a movement description; VC2HP8P05 and VC2HP10P05 (valuing diversity, challenging discrimination) are health descriptions. Programming inclusion only as adapted PE misses half the requirement.</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Disability Sport &amp; Recreation Victoria</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Victorian peak body. Inclusive program models, adapted equipment guidance and local provider contacts.</w:t>
            </w:r>
          </w:p>
        </w:tc>
        <w:tc>
          <w:tcPr>
            <w:tcW w:type="dxa" w:w="2400"/>
            <w:shd w:fill="EEF3F9" w:color="auto" w:val="clear"/>
            <w:tcMar>
              <w:top w:type="dxa" w:w="80"/>
              <w:left w:type="dxa" w:w="110"/>
              <w:bottom w:type="dxa" w:w="80"/>
              <w:right w:type="dxa" w:w="110"/>
            </w:tcMar>
          </w:tcPr>
          <w:p>
            <w:hyperlink w:history="1" r:id="rIdnt0-qjn0rumkcu9fhtyty">
              <w:r>
                <w:rPr>
                  <w:rFonts w:ascii="Calibri" w:cs="Calibri" w:eastAsia="Calibri" w:hAnsi="Calibri"/>
                  <w:color w:val="1F6FB2"/>
                  <w:sz w:val="15"/>
                  <w:szCs w:val="15"/>
                  <w:u w:val="single"/>
                </w:rPr>
                <w:t xml:space="preserve">www.disabilitysportvic.org.au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Paralympics Australia — Education</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Classification explanations, athlete stories and para-sport teaching resources — including para-sport formats that a whole class can play.</w:t>
            </w:r>
          </w:p>
        </w:tc>
        <w:tc>
          <w:tcPr>
            <w:tcW w:type="dxa" w:w="2400"/>
            <w:tcMar>
              <w:top w:type="dxa" w:w="80"/>
              <w:left w:type="dxa" w:w="110"/>
              <w:bottom w:type="dxa" w:w="80"/>
              <w:right w:type="dxa" w:w="110"/>
            </w:tcMar>
          </w:tcPr>
          <w:p>
            <w:hyperlink w:history="1" r:id="rIdzqvbjvcvwgxsiqn6uhlwn">
              <w:r>
                <w:rPr>
                  <w:rFonts w:ascii="Calibri" w:cs="Calibri" w:eastAsia="Calibri" w:hAnsi="Calibri"/>
                  <w:color w:val="1F6FB2"/>
                  <w:sz w:val="15"/>
                  <w:szCs w:val="15"/>
                  <w:u w:val="single"/>
                </w:rPr>
                <w:t xml:space="preserve">www.paralympic.org.au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Blind Sports &amp; Recreation Victoria</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Goalball and adapted-sport resources; goalball is playable by a whole mainstream class with blindfolds and is a strong inclusion experience.</w:t>
            </w:r>
          </w:p>
        </w:tc>
        <w:tc>
          <w:tcPr>
            <w:tcW w:type="dxa" w:w="2400"/>
            <w:shd w:fill="EEF3F9" w:color="auto" w:val="clear"/>
            <w:tcMar>
              <w:top w:type="dxa" w:w="80"/>
              <w:left w:type="dxa" w:w="110"/>
              <w:bottom w:type="dxa" w:w="80"/>
              <w:right w:type="dxa" w:w="110"/>
            </w:tcMar>
          </w:tcPr>
          <w:p>
            <w:hyperlink w:history="1" r:id="rIdhjhmrold_seeuoz04p83q">
              <w:r>
                <w:rPr>
                  <w:rFonts w:ascii="Calibri" w:cs="Calibri" w:eastAsia="Calibri" w:hAnsi="Calibri"/>
                  <w:color w:val="1F6FB2"/>
                  <w:sz w:val="15"/>
                  <w:szCs w:val="15"/>
                  <w:u w:val="single"/>
                </w:rPr>
                <w:t xml:space="preserve">www.blindsports.org.au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Sport Inclusion Australia</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Inclusion frameworks for people with intellectual disability, plus practical program adaptation guidance.</w:t>
            </w:r>
          </w:p>
        </w:tc>
        <w:tc>
          <w:tcPr>
            <w:tcW w:type="dxa" w:w="2400"/>
            <w:tcMar>
              <w:top w:type="dxa" w:w="80"/>
              <w:left w:type="dxa" w:w="110"/>
              <w:bottom w:type="dxa" w:w="80"/>
              <w:right w:type="dxa" w:w="110"/>
            </w:tcMar>
          </w:tcPr>
          <w:p>
            <w:hyperlink w:history="1" r:id="rId-26ssyhttmjdvvndrsocl">
              <w:r>
                <w:rPr>
                  <w:rFonts w:ascii="Calibri" w:cs="Calibri" w:eastAsia="Calibri" w:hAnsi="Calibri"/>
                  <w:color w:val="1F6FB2"/>
                  <w:sz w:val="15"/>
                  <w:szCs w:val="15"/>
                  <w:u w:val="single"/>
                </w:rPr>
                <w:t xml:space="preserve">www.sportinclusionaustralia.org.au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Play by the Rules — Inclusion</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Free online modules on inclusion, discrimination and member protection. Useful as teacher PL and as student-facing scenario material.</w:t>
            </w:r>
          </w:p>
        </w:tc>
        <w:tc>
          <w:tcPr>
            <w:tcW w:type="dxa" w:w="2400"/>
            <w:shd w:fill="EEF3F9" w:color="auto" w:val="clear"/>
            <w:tcMar>
              <w:top w:type="dxa" w:w="80"/>
              <w:left w:type="dxa" w:w="110"/>
              <w:bottom w:type="dxa" w:w="80"/>
              <w:right w:type="dxa" w:w="110"/>
            </w:tcMar>
          </w:tcPr>
          <w:p>
            <w:hyperlink w:history="1" r:id="rId55c8yzzunc6gdbrxvbi1a">
              <w:r>
                <w:rPr>
                  <w:rFonts w:ascii="Calibri" w:cs="Calibri" w:eastAsia="Calibri" w:hAnsi="Calibri"/>
                  <w:color w:val="1F6FB2"/>
                  <w:sz w:val="15"/>
                  <w:szCs w:val="15"/>
                  <w:u w:val="single"/>
                </w:rPr>
                <w:t xml:space="preserve">www.playbytherules.net.au</w:t>
              </w:r>
            </w:hyperlink>
          </w:p>
        </w:tc>
      </w:tr>
    </w:tbl>
    <w:p>
      <w:r>
        <w:br w:type="page"/>
      </w:r>
    </w:p>
    <w:p>
      <w:pPr>
        <w:pStyle w:val="Heading1"/>
        <w:pBdr>
          <w:bottom w:val="single" w:color="1F6FB2" w:sz="12" w:space="6"/>
        </w:pBdr>
        <w:spacing w:after="180" w:before="360"/>
      </w:pPr>
      <w:r>
        <w:rPr>
          <w:rFonts w:ascii="Calibri" w:cs="Calibri" w:eastAsia="Calibri" w:hAnsi="Calibri"/>
          <w:b/>
          <w:bCs/>
          <w:color w:val="12335C"/>
          <w:sz w:val="30"/>
          <w:szCs w:val="30"/>
        </w:rPr>
        <w:t xml:space="preserve">Personal, Social and Community Health (Health Education)</w:t>
      </w:r>
    </w:p>
    <w:p>
      <w:pPr>
        <w:pStyle w:val="Heading2"/>
        <w:pBdr>
          <w:bottom w:val="single" w:color="C8D6E5" w:sz="6" w:space="4"/>
        </w:pBdr>
        <w:spacing w:after="120" w:before="300"/>
      </w:pPr>
      <w:r>
        <w:rPr>
          <w:rFonts w:ascii="Calibri" w:cs="Calibri" w:eastAsia="Calibri" w:hAnsi="Calibri"/>
          <w:b/>
          <w:bCs/>
          <w:color w:val="12335C"/>
          <w:sz w:val="24"/>
          <w:szCs w:val="24"/>
        </w:rPr>
        <w:t xml:space="preserve">Mental Health &amp; Wellbeing</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Mental health and wellbeing (MH)  ·  Relationships and sexuality (RS)  ·  Safety (S)</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VC2HP8P01  ·  VC2HP8P02  ·  VC2HP8P06  ·  VC2HP8P08  ·  VC2HP8P10</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VC2HP10P01  ·  VC2HP10P02  ·  VC2HP10P06  ·  VC2HP10P08  ·  VC2HP10P10</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Mental health is a sensitive topic under the VCAA guidance and requires a whole-school approach, not an isolated unit. Safe-messaging principles apply: teach help-seeking and protective strategies, and avoid method detail or graphic case material. Establish your referral pathway with wellbeing staff before you start, not after a disclosure.</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Be You (Beyond Blue)</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The national mental health in education initiative, funded by the Australian Government and delivered by Beyond Blue with headspace and Early Childhood Australia. Free whole-school framework, professional learning modules and classroom resources.</w:t>
            </w:r>
          </w:p>
        </w:tc>
        <w:tc>
          <w:tcPr>
            <w:tcW w:type="dxa" w:w="2400"/>
            <w:shd w:fill="EEF3F9" w:color="auto" w:val="clear"/>
            <w:tcMar>
              <w:top w:type="dxa" w:w="80"/>
              <w:left w:type="dxa" w:w="110"/>
              <w:bottom w:type="dxa" w:w="80"/>
              <w:right w:type="dxa" w:w="110"/>
            </w:tcMar>
          </w:tcPr>
          <w:p>
            <w:hyperlink w:history="1" r:id="rId5kbetzwzl-j-gdimj9g7w">
              <w:r>
                <w:rPr>
                  <w:rFonts w:ascii="Calibri" w:cs="Calibri" w:eastAsia="Calibri" w:hAnsi="Calibri"/>
                  <w:color w:val="1F6FB2"/>
                  <w:sz w:val="15"/>
                  <w:szCs w:val="15"/>
                  <w:u w:val="single"/>
                </w:rPr>
                <w:t xml:space="preserve">beyou.edu.au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headspace — Schools &amp; Educators</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Youth mental health resources, including guidance for talking about mental health safely with secondary students and referral pathways into headspace centres.</w:t>
            </w:r>
          </w:p>
        </w:tc>
        <w:tc>
          <w:tcPr>
            <w:tcW w:type="dxa" w:w="2400"/>
            <w:tcMar>
              <w:top w:type="dxa" w:w="80"/>
              <w:left w:type="dxa" w:w="110"/>
              <w:bottom w:type="dxa" w:w="80"/>
              <w:right w:type="dxa" w:w="110"/>
            </w:tcMar>
          </w:tcPr>
          <w:p>
            <w:hyperlink w:history="1" r:id="rId5l0yxnmpfgxokh6hh-vhj">
              <w:r>
                <w:rPr>
                  <w:rFonts w:ascii="Calibri" w:cs="Calibri" w:eastAsia="Calibri" w:hAnsi="Calibri"/>
                  <w:color w:val="1F6FB2"/>
                  <w:sz w:val="15"/>
                  <w:szCs w:val="15"/>
                  <w:u w:val="single"/>
                </w:rPr>
                <w:t xml:space="preserve">headspace.org.au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ReachOut Schools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Classroom-ready lesson plans and student-facing digital tools on stress, resilience, help-seeking and coping. The strongest source of directly usable lesson material in this section.</w:t>
            </w:r>
          </w:p>
        </w:tc>
        <w:tc>
          <w:tcPr>
            <w:tcW w:type="dxa" w:w="2400"/>
            <w:shd w:fill="EEF3F9" w:color="auto" w:val="clear"/>
            <w:tcMar>
              <w:top w:type="dxa" w:w="80"/>
              <w:left w:type="dxa" w:w="110"/>
              <w:bottom w:type="dxa" w:w="80"/>
              <w:right w:type="dxa" w:w="110"/>
            </w:tcMar>
          </w:tcPr>
          <w:p>
            <w:hyperlink w:history="1" r:id="rIdi2ancgoadjo10thjczyir">
              <w:r>
                <w:rPr>
                  <w:rFonts w:ascii="Calibri" w:cs="Calibri" w:eastAsia="Calibri" w:hAnsi="Calibri"/>
                  <w:color w:val="1F6FB2"/>
                  <w:sz w:val="15"/>
                  <w:szCs w:val="15"/>
                  <w:u w:val="single"/>
                </w:rPr>
                <w:t xml:space="preserve">schools.au.reachout.com</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Smiling Mind</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Australian not-for-profit providing free mindfulness programs with a dedicated education curriculum for secondary students.</w:t>
            </w:r>
          </w:p>
        </w:tc>
        <w:tc>
          <w:tcPr>
            <w:tcW w:type="dxa" w:w="2400"/>
            <w:tcMar>
              <w:top w:type="dxa" w:w="80"/>
              <w:left w:type="dxa" w:w="110"/>
              <w:bottom w:type="dxa" w:w="80"/>
              <w:right w:type="dxa" w:w="110"/>
            </w:tcMar>
          </w:tcPr>
          <w:p>
            <w:hyperlink w:history="1" r:id="rIdub6esefu-zvbw-6hbtwhk">
              <w:r>
                <w:rPr>
                  <w:rFonts w:ascii="Calibri" w:cs="Calibri" w:eastAsia="Calibri" w:hAnsi="Calibri"/>
                  <w:color w:val="1F6FB2"/>
                  <w:sz w:val="15"/>
                  <w:szCs w:val="15"/>
                  <w:u w:val="single"/>
                </w:rPr>
                <w:t xml:space="preserve">www.smilingmind.com.au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Kids Helpline</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24/7 counselling service for 5–25 year olds. Include as a named community resource when teaching VC2HP8P08 (evaluating community resources to seek help).</w:t>
            </w:r>
          </w:p>
        </w:tc>
        <w:tc>
          <w:tcPr>
            <w:tcW w:type="dxa" w:w="2400"/>
            <w:shd w:fill="EEF3F9" w:color="auto" w:val="clear"/>
            <w:tcMar>
              <w:top w:type="dxa" w:w="80"/>
              <w:left w:type="dxa" w:w="110"/>
              <w:bottom w:type="dxa" w:w="80"/>
              <w:right w:type="dxa" w:w="110"/>
            </w:tcMar>
          </w:tcPr>
          <w:p>
            <w:hyperlink w:history="1" r:id="rIdohyodiandzkkfdbwczjuu">
              <w:r>
                <w:rPr>
                  <w:rFonts w:ascii="Calibri" w:cs="Calibri" w:eastAsia="Calibri" w:hAnsi="Calibri"/>
                  <w:color w:val="1F6FB2"/>
                  <w:sz w:val="15"/>
                  <w:szCs w:val="15"/>
                  <w:u w:val="single"/>
                </w:rPr>
                <w:t xml:space="preserve">kidshelpline.com.au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SchoolTV</w:t>
            </w:r>
          </w:p>
          <w:p>
            <w:pPr>
              <w:spacing w:before="40"/>
            </w:pPr>
            <w:r>
              <w:rPr>
                <w:rFonts w:ascii="Calibri" w:cs="Calibri" w:eastAsia="Calibri" w:hAnsi="Calibri"/>
                <w:i/>
                <w:iCs/>
                <w:color w:val="4A5568"/>
                <w:sz w:val="15"/>
                <w:szCs w:val="15"/>
              </w:rPr>
              <w:t xml:space="preserve">Subscription / ?</w:t>
            </w:r>
          </w:p>
        </w:tc>
        <w:tc>
          <w:tcPr>
            <w:tcW w:type="dxa" w:w="4126"/>
            <w:tcMar>
              <w:top w:type="dxa" w:w="80"/>
              <w:left w:type="dxa" w:w="110"/>
              <w:bottom w:type="dxa" w:w="80"/>
              <w:right w:type="dxa" w:w="110"/>
            </w:tcMar>
          </w:tcPr>
          <w:p>
            <w:r>
              <w:rPr>
                <w:rFonts w:ascii="Calibri" w:cs="Calibri" w:eastAsia="Calibri" w:hAnsi="Calibri"/>
                <w:sz w:val="18"/>
                <w:szCs w:val="18"/>
              </w:rPr>
              <w:t xml:space="preserve">Wellbeing resource hub with topic-based modules for parents and staff. Subscription is usually held at school level — check before referencing in student materials.</w:t>
            </w:r>
          </w:p>
        </w:tc>
        <w:tc>
          <w:tcPr>
            <w:tcW w:type="dxa" w:w="2400"/>
            <w:tcMar>
              <w:top w:type="dxa" w:w="80"/>
              <w:left w:type="dxa" w:w="110"/>
              <w:bottom w:type="dxa" w:w="80"/>
              <w:right w:type="dxa" w:w="110"/>
            </w:tcMar>
          </w:tcPr>
          <w:p>
            <w:hyperlink w:history="1" r:id="rIdyyiackmkedpg18nod9uv6">
              <w:r>
                <w:rPr>
                  <w:rFonts w:ascii="Calibri" w:cs="Calibri" w:eastAsia="Calibri" w:hAnsi="Calibri"/>
                  <w:color w:val="1F6FB2"/>
                  <w:sz w:val="15"/>
                  <w:szCs w:val="15"/>
                  <w:u w:val="single"/>
                </w:rPr>
                <w:t xml:space="preserve">www.school.tv</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Vaping &amp; Tobacco</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Alcohol and other drugs (AD)  ·  Safety (S)  ·  Mental health and wellbeing (MH)</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VC2HP8P08  ·  VC2HP8P09  ·  VC2HP8P10</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VC2HP10P08  ·  VC2HP10P09  ·  VC2HP10P10</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VC2HP8P09 and VC2HP10P09 are the natural anchor here — both concern media influence and the critique of health messaging, which is exactly how vaping reaches students. Evidence favours teaching critical analysis of marketing and social influence over fear-based messaging, which has a poor record and can increase interest.</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Positive Choices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Australian Government-funded drug and alcohol education portal built on evidence-based programs. Provides classroom resources, webinars and a searchable database of programs rated for evidence. The single best starting point for any AOD topic.</w:t>
            </w:r>
          </w:p>
        </w:tc>
        <w:tc>
          <w:tcPr>
            <w:tcW w:type="dxa" w:w="2400"/>
            <w:shd w:fill="EEF3F9" w:color="auto" w:val="clear"/>
            <w:tcMar>
              <w:top w:type="dxa" w:w="80"/>
              <w:left w:type="dxa" w:w="110"/>
              <w:bottom w:type="dxa" w:w="80"/>
              <w:right w:type="dxa" w:w="110"/>
            </w:tcMar>
          </w:tcPr>
          <w:p>
            <w:hyperlink w:history="1" r:id="rIdz2qh5s4pjyfwnaxi9_od6">
              <w:r>
                <w:rPr>
                  <w:rFonts w:ascii="Calibri" w:cs="Calibri" w:eastAsia="Calibri" w:hAnsi="Calibri"/>
                  <w:color w:val="1F6FB2"/>
                  <w:sz w:val="15"/>
                  <w:szCs w:val="15"/>
                  <w:u w:val="single"/>
                </w:rPr>
                <w:t xml:space="preserve">positivechoices.org.au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Quit Victoria</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Victorian tobacco and vaping control body. Secondary school resources, youth-specific campaign material and quit support pathways.</w:t>
            </w:r>
          </w:p>
        </w:tc>
        <w:tc>
          <w:tcPr>
            <w:tcW w:type="dxa" w:w="2400"/>
            <w:tcMar>
              <w:top w:type="dxa" w:w="80"/>
              <w:left w:type="dxa" w:w="110"/>
              <w:bottom w:type="dxa" w:w="80"/>
              <w:right w:type="dxa" w:w="110"/>
            </w:tcMar>
          </w:tcPr>
          <w:p>
            <w:hyperlink w:history="1" r:id="rId7vfqs4s0y5muys56bnjog">
              <w:r>
                <w:rPr>
                  <w:rFonts w:ascii="Calibri" w:cs="Calibri" w:eastAsia="Calibri" w:hAnsi="Calibri"/>
                  <w:color w:val="1F6FB2"/>
                  <w:sz w:val="15"/>
                  <w:szCs w:val="15"/>
                  <w:u w:val="single"/>
                </w:rPr>
                <w:t xml:space="preserve">www.quit.org.au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Cancer Council Victoria — Generation Vape / Schools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Research on youth vaping prevalence and attitudes, plus school-facing resources drawing on Victorian data.</w:t>
            </w:r>
          </w:p>
        </w:tc>
        <w:tc>
          <w:tcPr>
            <w:tcW w:type="dxa" w:w="2400"/>
            <w:shd w:fill="EEF3F9" w:color="auto" w:val="clear"/>
            <w:tcMar>
              <w:top w:type="dxa" w:w="80"/>
              <w:left w:type="dxa" w:w="110"/>
              <w:bottom w:type="dxa" w:w="80"/>
              <w:right w:type="dxa" w:w="110"/>
            </w:tcMar>
          </w:tcPr>
          <w:p>
            <w:hyperlink w:history="1" r:id="rId3-yopsim_nmwcixpyljip">
              <w:r>
                <w:rPr>
                  <w:rFonts w:ascii="Calibri" w:cs="Calibri" w:eastAsia="Calibri" w:hAnsi="Calibri"/>
                  <w:color w:val="1F6FB2"/>
                  <w:sz w:val="15"/>
                  <w:szCs w:val="15"/>
                  <w:u w:val="single"/>
                </w:rPr>
                <w:t xml:space="preserve">www.cancervic.org.au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Alcohol and Drug Foundation — Drug Info</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Plain-language, non-judgemental substance information. Suitable as a student research source because it avoids both minimisation and scare framing.</w:t>
            </w:r>
          </w:p>
        </w:tc>
        <w:tc>
          <w:tcPr>
            <w:tcW w:type="dxa" w:w="2400"/>
            <w:tcMar>
              <w:top w:type="dxa" w:w="80"/>
              <w:left w:type="dxa" w:w="110"/>
              <w:bottom w:type="dxa" w:w="80"/>
              <w:right w:type="dxa" w:w="110"/>
            </w:tcMar>
          </w:tcPr>
          <w:p>
            <w:hyperlink w:history="1" r:id="rIdybz2sw2ncjwuhc6ro0phd">
              <w:r>
                <w:rPr>
                  <w:rFonts w:ascii="Calibri" w:cs="Calibri" w:eastAsia="Calibri" w:hAnsi="Calibri"/>
                  <w:color w:val="1F6FB2"/>
                  <w:sz w:val="15"/>
                  <w:szCs w:val="15"/>
                  <w:u w:val="single"/>
                </w:rPr>
                <w:t xml:space="preserve">adf.org.au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Lung Foundation Australia</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Respiratory health information and the physiological evidence base on vaping harms — useful for the biology-facing component of a Year 9–10 unit.</w:t>
            </w:r>
          </w:p>
        </w:tc>
        <w:tc>
          <w:tcPr>
            <w:tcW w:type="dxa" w:w="2400"/>
            <w:shd w:fill="EEF3F9" w:color="auto" w:val="clear"/>
            <w:tcMar>
              <w:top w:type="dxa" w:w="80"/>
              <w:left w:type="dxa" w:w="110"/>
              <w:bottom w:type="dxa" w:w="80"/>
              <w:right w:type="dxa" w:w="110"/>
            </w:tcMar>
          </w:tcPr>
          <w:p>
            <w:hyperlink w:history="1" r:id="rIdyztskxkp7h5tj3u-enpmh">
              <w:r>
                <w:rPr>
                  <w:rFonts w:ascii="Calibri" w:cs="Calibri" w:eastAsia="Calibri" w:hAnsi="Calibri"/>
                  <w:color w:val="1F6FB2"/>
                  <w:sz w:val="15"/>
                  <w:szCs w:val="15"/>
                  <w:u w:val="single"/>
                </w:rPr>
                <w:t xml:space="preserve">lungfoundation.com.au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Alcohol &amp; Other Drugs</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Alcohol and other drugs (AD)  ·  Safety (S)  ·  Mental health and wellbeing (MH)  ·  Relationships and sexuality (RS)</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VC2HP8P02  ·  VC2HP8P08  ·  VC2HP8P09</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VC2HP10P02  ·  VC2HP10P08  ·  VC2HP10P09</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The VC2HP10P02 elaboration names refusal skills, communicating choices and contingency planning explicitly. That framing — rehearsed protective strategy rather than abstinence messaging — is what the curriculum actually asks for, and it matches the evidence base.</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Positive Choices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Evidence-rated program database, classroom resources and teacher webinars. Filter by drug type and year level.</w:t>
            </w:r>
          </w:p>
        </w:tc>
        <w:tc>
          <w:tcPr>
            <w:tcW w:type="dxa" w:w="2400"/>
            <w:shd w:fill="EEF3F9" w:color="auto" w:val="clear"/>
            <w:tcMar>
              <w:top w:type="dxa" w:w="80"/>
              <w:left w:type="dxa" w:w="110"/>
              <w:bottom w:type="dxa" w:w="80"/>
              <w:right w:type="dxa" w:w="110"/>
            </w:tcMar>
          </w:tcPr>
          <w:p>
            <w:hyperlink w:history="1" r:id="rIdjzinhlratdwzoqehz4a1t">
              <w:r>
                <w:rPr>
                  <w:rFonts w:ascii="Calibri" w:cs="Calibri" w:eastAsia="Calibri" w:hAnsi="Calibri"/>
                  <w:color w:val="1F6FB2"/>
                  <w:sz w:val="15"/>
                  <w:szCs w:val="15"/>
                  <w:u w:val="single"/>
                </w:rPr>
                <w:t xml:space="preserve">positivechoices.org.au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Alcohol and Drug Foundation</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Research, campaign material and the Good Sports program for community sporting clubs — a useful community-link for VC2HP10P10.</w:t>
            </w:r>
          </w:p>
        </w:tc>
        <w:tc>
          <w:tcPr>
            <w:tcW w:type="dxa" w:w="2400"/>
            <w:tcMar>
              <w:top w:type="dxa" w:w="80"/>
              <w:left w:type="dxa" w:w="110"/>
              <w:bottom w:type="dxa" w:w="80"/>
              <w:right w:type="dxa" w:w="110"/>
            </w:tcMar>
          </w:tcPr>
          <w:p>
            <w:hyperlink w:history="1" r:id="rIdtgxrgrnxha97k6h41qtok">
              <w:r>
                <w:rPr>
                  <w:rFonts w:ascii="Calibri" w:cs="Calibri" w:eastAsia="Calibri" w:hAnsi="Calibri"/>
                  <w:color w:val="1F6FB2"/>
                  <w:sz w:val="15"/>
                  <w:szCs w:val="15"/>
                  <w:u w:val="single"/>
                </w:rPr>
                <w:t xml:space="preserve">adf.org.au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YSAS (Youth Support + Advocacy Service)</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Victorian youth AOD service. Referral pathway information for students and families.</w:t>
            </w:r>
          </w:p>
        </w:tc>
        <w:tc>
          <w:tcPr>
            <w:tcW w:type="dxa" w:w="2400"/>
            <w:shd w:fill="EEF3F9" w:color="auto" w:val="clear"/>
            <w:tcMar>
              <w:top w:type="dxa" w:w="80"/>
              <w:left w:type="dxa" w:w="110"/>
              <w:bottom w:type="dxa" w:w="80"/>
              <w:right w:type="dxa" w:w="110"/>
            </w:tcMar>
          </w:tcPr>
          <w:p>
            <w:hyperlink w:history="1" r:id="rIdkowsm74ih_0ytey_1uzyl">
              <w:r>
                <w:rPr>
                  <w:rFonts w:ascii="Calibri" w:cs="Calibri" w:eastAsia="Calibri" w:hAnsi="Calibri"/>
                  <w:color w:val="1F6FB2"/>
                  <w:sz w:val="15"/>
                  <w:szCs w:val="15"/>
                  <w:u w:val="single"/>
                </w:rPr>
                <w:t xml:space="preserve">www.ysas.org.au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SHARC (Self Help Addiction Resource Centre)</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Victorian family and peer support services; useful when the topic touches family substance use.</w:t>
            </w:r>
          </w:p>
        </w:tc>
        <w:tc>
          <w:tcPr>
            <w:tcW w:type="dxa" w:w="2400"/>
            <w:tcMar>
              <w:top w:type="dxa" w:w="80"/>
              <w:left w:type="dxa" w:w="110"/>
              <w:bottom w:type="dxa" w:w="80"/>
              <w:right w:type="dxa" w:w="110"/>
            </w:tcMar>
          </w:tcPr>
          <w:p>
            <w:hyperlink w:history="1" r:id="rId_ajmhmuxea9ku8zgwxipp">
              <w:r>
                <w:rPr>
                  <w:rFonts w:ascii="Calibri" w:cs="Calibri" w:eastAsia="Calibri" w:hAnsi="Calibri"/>
                  <w:color w:val="1F6FB2"/>
                  <w:sz w:val="15"/>
                  <w:szCs w:val="15"/>
                  <w:u w:val="single"/>
                </w:rPr>
                <w:t xml:space="preserve">www.sharc.org.au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Social Media &amp; Digital Wellbeing</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Mental health and wellbeing (MH)  ·  Relationships and sexuality (RS)  ·  Safety (S)</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VC2HP8P07  ·  VC2HP8P09  ·  VC2HP8P10</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VC2HP10P07  ·  VC2HP10P09  ·  VC2HP10P10</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Victoria added wording the Australian Curriculum does not carry: VC2HP8P07 requires consent skills 'across multiple settings (including online and offline)'. Online consent is therefore explicit Victorian content, not an optional extension — and it belongs here as much as in the relationships section.</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eSafety Commissioner — Educators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Australia's independent online safety regulator. Free classroom resources, lesson plans and virtual classroom sessions covering image-based abuse, cyberbullying and online consent. The authoritative Australian source.</w:t>
            </w:r>
          </w:p>
        </w:tc>
        <w:tc>
          <w:tcPr>
            <w:tcW w:type="dxa" w:w="2400"/>
            <w:shd w:fill="EEF3F9" w:color="auto" w:val="clear"/>
            <w:tcMar>
              <w:top w:type="dxa" w:w="80"/>
              <w:left w:type="dxa" w:w="110"/>
              <w:bottom w:type="dxa" w:w="80"/>
              <w:right w:type="dxa" w:w="110"/>
            </w:tcMar>
          </w:tcPr>
          <w:p>
            <w:hyperlink w:history="1" r:id="rIdtosxqkjkmkdhsx7bz4elm">
              <w:r>
                <w:rPr>
                  <w:rFonts w:ascii="Calibri" w:cs="Calibri" w:eastAsia="Calibri" w:hAnsi="Calibri"/>
                  <w:color w:val="1F6FB2"/>
                  <w:sz w:val="15"/>
                  <w:szCs w:val="15"/>
                  <w:u w:val="single"/>
                </w:rPr>
                <w:t xml:space="preserve">www.esafety.gov.au/educators</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eSafety — Report cyberbullying</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The formal reporting pathway. Students should know this exists as a community resource under VC2HP8P08.</w:t>
            </w:r>
          </w:p>
        </w:tc>
        <w:tc>
          <w:tcPr>
            <w:tcW w:type="dxa" w:w="2400"/>
            <w:tcMar>
              <w:top w:type="dxa" w:w="80"/>
              <w:left w:type="dxa" w:w="110"/>
              <w:bottom w:type="dxa" w:w="80"/>
              <w:right w:type="dxa" w:w="110"/>
            </w:tcMar>
          </w:tcPr>
          <w:p>
            <w:hyperlink w:history="1" r:id="rIdncpaf3jw1xq1uvd2mdtnb">
              <w:r>
                <w:rPr>
                  <w:rFonts w:ascii="Calibri" w:cs="Calibri" w:eastAsia="Calibri" w:hAnsi="Calibri"/>
                  <w:color w:val="1F6FB2"/>
                  <w:sz w:val="15"/>
                  <w:szCs w:val="15"/>
                  <w:u w:val="single"/>
                </w:rPr>
                <w:t xml:space="preserve">www.esafety.gov.au/report</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eSmart Schools (Alannah &amp; Madeline Foundation)</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Whole-school digital wellbeing framework with a structured implementation pathway.</w:t>
            </w:r>
          </w:p>
        </w:tc>
        <w:tc>
          <w:tcPr>
            <w:tcW w:type="dxa" w:w="2400"/>
            <w:shd w:fill="EEF3F9" w:color="auto" w:val="clear"/>
            <w:tcMar>
              <w:top w:type="dxa" w:w="80"/>
              <w:left w:type="dxa" w:w="110"/>
              <w:bottom w:type="dxa" w:w="80"/>
              <w:right w:type="dxa" w:w="110"/>
            </w:tcMar>
          </w:tcPr>
          <w:p>
            <w:hyperlink w:history="1" r:id="rIdty93whup8qswv0zuc8yvf">
              <w:r>
                <w:rPr>
                  <w:rFonts w:ascii="Calibri" w:cs="Calibri" w:eastAsia="Calibri" w:hAnsi="Calibri"/>
                  <w:color w:val="1F6FB2"/>
                  <w:sz w:val="15"/>
                  <w:szCs w:val="15"/>
                  <w:u w:val="single"/>
                </w:rPr>
                <w:t xml:space="preserve">esmart.org.au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ReachOut — Digital wellbeing</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Student-facing material on social media use, comparison and online pressure, with matching classroom activities.</w:t>
            </w:r>
          </w:p>
        </w:tc>
        <w:tc>
          <w:tcPr>
            <w:tcW w:type="dxa" w:w="2400"/>
            <w:tcMar>
              <w:top w:type="dxa" w:w="80"/>
              <w:left w:type="dxa" w:w="110"/>
              <w:bottom w:type="dxa" w:w="80"/>
              <w:right w:type="dxa" w:w="110"/>
            </w:tcMar>
          </w:tcPr>
          <w:p>
            <w:hyperlink w:history="1" r:id="rId_b2ba7ffamjfs4gxuemmh">
              <w:r>
                <w:rPr>
                  <w:rFonts w:ascii="Calibri" w:cs="Calibri" w:eastAsia="Calibri" w:hAnsi="Calibri"/>
                  <w:color w:val="1F6FB2"/>
                  <w:sz w:val="15"/>
                  <w:szCs w:val="15"/>
                  <w:u w:val="single"/>
                </w:rPr>
                <w:t xml:space="preserve">schools.au.reachout.com</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Raising Children Network</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Evidence-based parent guidance on teen media use — useful for the family-communication component of a unit.</w:t>
            </w:r>
          </w:p>
        </w:tc>
        <w:tc>
          <w:tcPr>
            <w:tcW w:type="dxa" w:w="2400"/>
            <w:shd w:fill="EEF3F9" w:color="auto" w:val="clear"/>
            <w:tcMar>
              <w:top w:type="dxa" w:w="80"/>
              <w:left w:type="dxa" w:w="110"/>
              <w:bottom w:type="dxa" w:w="80"/>
              <w:right w:type="dxa" w:w="110"/>
            </w:tcMar>
          </w:tcPr>
          <w:p>
            <w:hyperlink w:history="1" r:id="rIdshpbe_8ybwt6xt80yuvi0">
              <w:r>
                <w:rPr>
                  <w:rFonts w:ascii="Calibri" w:cs="Calibri" w:eastAsia="Calibri" w:hAnsi="Calibri"/>
                  <w:color w:val="1F6FB2"/>
                  <w:sz w:val="15"/>
                  <w:szCs w:val="15"/>
                  <w:u w:val="single"/>
                </w:rPr>
                <w:t xml:space="preserve">raisingchildren.net.au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Bullying, Harassment &amp; Respectful Relationships</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Relationships and sexuality (RS)  ·  Mental health and wellbeing (MH)  ·  Safety (S)</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VC2HP8P03  ·  VC2HP8P04  ·  VC2HP8P05  ·  VC2HP8P06</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VC2HP10P03  ·  VC2HP10P04  ·  VC2HP10P05  ·  VC2HP10P06</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The VC2HP8P04 elaboration names bullying and harassment directly, including online. Respectful Relationships is a whole-school initiative in Victoria with its own teaching and learning materials — align this section with your school's existing RR implementation rather than running a parallel unit.</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Respectful Relationships (Victorian Department of Education)</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The Victorian whole-school initiative, including the Resilience, Rights and Respectful Relationships teaching and learning materials for Levels 7–10. This is the primary Victorian source for this section.</w:t>
            </w:r>
          </w:p>
        </w:tc>
        <w:tc>
          <w:tcPr>
            <w:tcW w:type="dxa" w:w="2400"/>
            <w:shd w:fill="EEF3F9" w:color="auto" w:val="clear"/>
            <w:tcMar>
              <w:top w:type="dxa" w:w="80"/>
              <w:left w:type="dxa" w:w="110"/>
              <w:bottom w:type="dxa" w:w="80"/>
              <w:right w:type="dxa" w:w="110"/>
            </w:tcMar>
          </w:tcPr>
          <w:p>
            <w:hyperlink w:history="1" r:id="rIduhmazu5s0rrwnet1a27it">
              <w:r>
                <w:rPr>
                  <w:rFonts w:ascii="Calibri" w:cs="Calibri" w:eastAsia="Calibri" w:hAnsi="Calibri"/>
                  <w:color w:val="1F6FB2"/>
                  <w:sz w:val="15"/>
                  <w:szCs w:val="15"/>
                  <w:u w:val="single"/>
                </w:rPr>
                <w:t xml:space="preserve">www.education.vic.gov.au/respectfulrelationships</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Bullying. No Way!</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The national anti-bullying resource, including the National Week of Action. Classroom material and school planning frameworks.</w:t>
            </w:r>
          </w:p>
        </w:tc>
        <w:tc>
          <w:tcPr>
            <w:tcW w:type="dxa" w:w="2400"/>
            <w:tcMar>
              <w:top w:type="dxa" w:w="80"/>
              <w:left w:type="dxa" w:w="110"/>
              <w:bottom w:type="dxa" w:w="80"/>
              <w:right w:type="dxa" w:w="110"/>
            </w:tcMar>
          </w:tcPr>
          <w:p>
            <w:hyperlink w:history="1" r:id="rIdwaavu8u-v7bckm-hkcvbp">
              <w:r>
                <w:rPr>
                  <w:rFonts w:ascii="Calibri" w:cs="Calibri" w:eastAsia="Calibri" w:hAnsi="Calibri"/>
                  <w:color w:val="1F6FB2"/>
                  <w:sz w:val="15"/>
                  <w:szCs w:val="15"/>
                  <w:u w:val="single"/>
                </w:rPr>
                <w:t xml:space="preserve">bullyingnoway.gov.au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eSafety Commissioner — Educators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Cyberbullying, image-based abuse and bystander-action resources with lesson plans.</w:t>
            </w:r>
          </w:p>
        </w:tc>
        <w:tc>
          <w:tcPr>
            <w:tcW w:type="dxa" w:w="2400"/>
            <w:shd w:fill="EEF3F9" w:color="auto" w:val="clear"/>
            <w:tcMar>
              <w:top w:type="dxa" w:w="80"/>
              <w:left w:type="dxa" w:w="110"/>
              <w:bottom w:type="dxa" w:w="80"/>
              <w:right w:type="dxa" w:w="110"/>
            </w:tcMar>
          </w:tcPr>
          <w:p>
            <w:hyperlink w:history="1" r:id="rIdmcdvhajzycwyyefnh4aee">
              <w:r>
                <w:rPr>
                  <w:rFonts w:ascii="Calibri" w:cs="Calibri" w:eastAsia="Calibri" w:hAnsi="Calibri"/>
                  <w:color w:val="1F6FB2"/>
                  <w:sz w:val="15"/>
                  <w:szCs w:val="15"/>
                  <w:u w:val="single"/>
                </w:rPr>
                <w:t xml:space="preserve">www.esafety.gov.au/educators</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Our Watch — Education</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Primary prevention of gender-based violence. Directly services VC2HP10P03 (gender equality and preventing violence and abuse in relationships).</w:t>
            </w:r>
          </w:p>
        </w:tc>
        <w:tc>
          <w:tcPr>
            <w:tcW w:type="dxa" w:w="2400"/>
            <w:tcMar>
              <w:top w:type="dxa" w:w="80"/>
              <w:left w:type="dxa" w:w="110"/>
              <w:bottom w:type="dxa" w:w="80"/>
              <w:right w:type="dxa" w:w="110"/>
            </w:tcMar>
          </w:tcPr>
          <w:p>
            <w:hyperlink w:history="1" r:id="rIdmpmtfmpe3n3rb4_35a47j">
              <w:r>
                <w:rPr>
                  <w:rFonts w:ascii="Calibri" w:cs="Calibri" w:eastAsia="Calibri" w:hAnsi="Calibri"/>
                  <w:color w:val="1F6FB2"/>
                  <w:sz w:val="15"/>
                  <w:szCs w:val="15"/>
                  <w:u w:val="single"/>
                </w:rPr>
                <w:t xml:space="preserve">education.ourwatch.org.au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Play by the Rules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Discrimination, harassment and member-protection scenarios in a sporting context — a useful bridge between the two strands.</w:t>
            </w:r>
          </w:p>
        </w:tc>
        <w:tc>
          <w:tcPr>
            <w:tcW w:type="dxa" w:w="2400"/>
            <w:shd w:fill="EEF3F9" w:color="auto" w:val="clear"/>
            <w:tcMar>
              <w:top w:type="dxa" w:w="80"/>
              <w:left w:type="dxa" w:w="110"/>
              <w:bottom w:type="dxa" w:w="80"/>
              <w:right w:type="dxa" w:w="110"/>
            </w:tcMar>
          </w:tcPr>
          <w:p>
            <w:hyperlink w:history="1" r:id="rIddt5bttcrijylv040iuhjl">
              <w:r>
                <w:rPr>
                  <w:rFonts w:ascii="Calibri" w:cs="Calibri" w:eastAsia="Calibri" w:hAnsi="Calibri"/>
                  <w:color w:val="1F6FB2"/>
                  <w:sz w:val="15"/>
                  <w:szCs w:val="15"/>
                  <w:u w:val="single"/>
                </w:rPr>
                <w:t xml:space="preserve">www.playbytherules.net.au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Relationships, Sexuality &amp; Consent</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Relationships and sexuality (RS)  ·  Mental health and wellbeing (MH)  ·  Safety (S)</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VC2HP8P03  ·  VC2HP8P04  ·  VC2HP8P07</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VC2HP10P03  ·  VC2HP10P04  ·  VC2HP10P07</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A sensitive topic under VCAA guidance. VC2HP10P07's elaboration specifically directs students to investigate Victorian legal requirements for seeking, giving and refusing consent — so generic national material is insufficient at Levels 9–10. Check your school's community consultation and parent notification position before programming.</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Sexual Health Victoria — Schools</w:t>
            </w:r>
          </w:p>
          <w:p>
            <w:pPr>
              <w:spacing w:before="40"/>
            </w:pPr>
            <w:r>
              <w:rPr>
                <w:rFonts w:ascii="Calibri" w:cs="Calibri" w:eastAsia="Calibri" w:hAnsi="Calibri"/>
                <w:i/>
                <w:iCs/>
                <w:color w:val="4A5568"/>
                <w:sz w:val="15"/>
                <w:szCs w:val="15"/>
              </w:rPr>
              <w:t xml:space="preserve">Free + paid PL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Victorian sexual health education provider. Teacher professional learning, curriculum-aligned resources and the Victorian legal framework for consent.</w:t>
            </w:r>
          </w:p>
        </w:tc>
        <w:tc>
          <w:tcPr>
            <w:tcW w:type="dxa" w:w="2400"/>
            <w:shd w:fill="EEF3F9" w:color="auto" w:val="clear"/>
            <w:tcMar>
              <w:top w:type="dxa" w:w="80"/>
              <w:left w:type="dxa" w:w="110"/>
              <w:bottom w:type="dxa" w:w="80"/>
              <w:right w:type="dxa" w:w="110"/>
            </w:tcMar>
          </w:tcPr>
          <w:p>
            <w:hyperlink w:history="1" r:id="rIdnbvib8qdvliraxqbvvwox">
              <w:r>
                <w:rPr>
                  <w:rFonts w:ascii="Calibri" w:cs="Calibri" w:eastAsia="Calibri" w:hAnsi="Calibri"/>
                  <w:color w:val="1F6FB2"/>
                  <w:sz w:val="15"/>
                  <w:szCs w:val="15"/>
                  <w:u w:val="single"/>
                </w:rPr>
                <w:t xml:space="preserve">www.shvic.org.au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Respectful Relationships (Victorian DE)</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The Levels 7–10 teaching and learning materials include relationship and consent content aligned to the Victorian curriculum.</w:t>
            </w:r>
          </w:p>
        </w:tc>
        <w:tc>
          <w:tcPr>
            <w:tcW w:type="dxa" w:w="2400"/>
            <w:tcMar>
              <w:top w:type="dxa" w:w="80"/>
              <w:left w:type="dxa" w:w="110"/>
              <w:bottom w:type="dxa" w:w="80"/>
              <w:right w:type="dxa" w:w="110"/>
            </w:tcMar>
          </w:tcPr>
          <w:p>
            <w:hyperlink w:history="1" r:id="rIdadi08i7lvcer9utb0vh-u">
              <w:r>
                <w:rPr>
                  <w:rFonts w:ascii="Calibri" w:cs="Calibri" w:eastAsia="Calibri" w:hAnsi="Calibri"/>
                  <w:color w:val="1F6FB2"/>
                  <w:sz w:val="15"/>
                  <w:szCs w:val="15"/>
                  <w:u w:val="single"/>
                </w:rPr>
                <w:t xml:space="preserve">www.education.vic.gov.au/respectfulrelationships</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Our Watch — Education</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Gender equality and violence prevention framing for VC2HP10P03.</w:t>
            </w:r>
          </w:p>
        </w:tc>
        <w:tc>
          <w:tcPr>
            <w:tcW w:type="dxa" w:w="2400"/>
            <w:shd w:fill="EEF3F9" w:color="auto" w:val="clear"/>
            <w:tcMar>
              <w:top w:type="dxa" w:w="80"/>
              <w:left w:type="dxa" w:w="110"/>
              <w:bottom w:type="dxa" w:w="80"/>
              <w:right w:type="dxa" w:w="110"/>
            </w:tcMar>
          </w:tcPr>
          <w:p>
            <w:hyperlink w:history="1" r:id="rIdtfzl82nmlac5lzzt-b9xh">
              <w:r>
                <w:rPr>
                  <w:rFonts w:ascii="Calibri" w:cs="Calibri" w:eastAsia="Calibri" w:hAnsi="Calibri"/>
                  <w:color w:val="1F6FB2"/>
                  <w:sz w:val="15"/>
                  <w:szCs w:val="15"/>
                  <w:u w:val="single"/>
                </w:rPr>
                <w:t xml:space="preserve">education.ourwatch.org.au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Centre for Multicultural Youth</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Culturally responsive practice guidance — important when this topic intersects with diverse family and community expectations.</w:t>
            </w:r>
          </w:p>
        </w:tc>
        <w:tc>
          <w:tcPr>
            <w:tcW w:type="dxa" w:w="2400"/>
            <w:tcMar>
              <w:top w:type="dxa" w:w="80"/>
              <w:left w:type="dxa" w:w="110"/>
              <w:bottom w:type="dxa" w:w="80"/>
              <w:right w:type="dxa" w:w="110"/>
            </w:tcMar>
          </w:tcPr>
          <w:p>
            <w:hyperlink w:history="1" r:id="rIdifl6sdxq90nolfhvbgvfr">
              <w:r>
                <w:rPr>
                  <w:rFonts w:ascii="Calibri" w:cs="Calibri" w:eastAsia="Calibri" w:hAnsi="Calibri"/>
                  <w:color w:val="1F6FB2"/>
                  <w:sz w:val="15"/>
                  <w:szCs w:val="15"/>
                  <w:u w:val="single"/>
                </w:rPr>
                <w:t xml:space="preserve">www.cmy.net.au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Food &amp; Nutrition</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Food and nutrition (FN)  ·  Health benefits of physical activity (HBPA)  ·  Mental health and wellbeing (MH)</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VC2HP8P09  ·  VC2HP8P10</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VC2HP10P09  ·  VC2HP10P10</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Body image and disordered eating are sensitive topics under VCAA guidance. Frame this section around critiquing food marketing and health messaging (VC2HP8P09 / VC2HP10P09) rather than around individual dietary tracking, weight, or calorie counting — which carries real risk in a secondary cohort.</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Nutrition Australia — Victoria</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Healthy eating advisory service for Victorian schools, including canteen guidance and the Healthy Eating Advisory Service.</w:t>
            </w:r>
          </w:p>
        </w:tc>
        <w:tc>
          <w:tcPr>
            <w:tcW w:type="dxa" w:w="2400"/>
            <w:shd w:fill="EEF3F9" w:color="auto" w:val="clear"/>
            <w:tcMar>
              <w:top w:type="dxa" w:w="80"/>
              <w:left w:type="dxa" w:w="110"/>
              <w:bottom w:type="dxa" w:w="80"/>
              <w:right w:type="dxa" w:w="110"/>
            </w:tcMar>
          </w:tcPr>
          <w:p>
            <w:hyperlink w:history="1" r:id="rIdzhwnympvkyv13k9pb5so3">
              <w:r>
                <w:rPr>
                  <w:rFonts w:ascii="Calibri" w:cs="Calibri" w:eastAsia="Calibri" w:hAnsi="Calibri"/>
                  <w:color w:val="1F6FB2"/>
                  <w:sz w:val="15"/>
                  <w:szCs w:val="15"/>
                  <w:u w:val="single"/>
                </w:rPr>
                <w:t xml:space="preserve">www.nutritionaustralia.org</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Australian Dietary Guidelines / Eat for Health</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The official national guidelines and the Australian Guide to Healthy Eating. The reference standard for any nutrition analysis task.</w:t>
            </w:r>
          </w:p>
        </w:tc>
        <w:tc>
          <w:tcPr>
            <w:tcW w:type="dxa" w:w="2400"/>
            <w:tcMar>
              <w:top w:type="dxa" w:w="80"/>
              <w:left w:type="dxa" w:w="110"/>
              <w:bottom w:type="dxa" w:w="80"/>
              <w:right w:type="dxa" w:w="110"/>
            </w:tcMar>
          </w:tcPr>
          <w:p>
            <w:hyperlink w:history="1" r:id="rId5rcux3n6x-wk5zhhy2nsc">
              <w:r>
                <w:rPr>
                  <w:rFonts w:ascii="Calibri" w:cs="Calibri" w:eastAsia="Calibri" w:hAnsi="Calibri"/>
                  <w:color w:val="1F6FB2"/>
                  <w:sz w:val="15"/>
                  <w:szCs w:val="15"/>
                  <w:u w:val="single"/>
                </w:rPr>
                <w:t xml:space="preserve">www.eatforhealth.gov.au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Dietitians Australia</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Professional body. Evidence-based position statements, useful for teaching students to distinguish credentialed advice from influencer content.</w:t>
            </w:r>
          </w:p>
        </w:tc>
        <w:tc>
          <w:tcPr>
            <w:tcW w:type="dxa" w:w="2400"/>
            <w:shd w:fill="EEF3F9" w:color="auto" w:val="clear"/>
            <w:tcMar>
              <w:top w:type="dxa" w:w="80"/>
              <w:left w:type="dxa" w:w="110"/>
              <w:bottom w:type="dxa" w:w="80"/>
              <w:right w:type="dxa" w:w="110"/>
            </w:tcMar>
          </w:tcPr>
          <w:p>
            <w:hyperlink w:history="1" r:id="rId4vtgsgiir6podlczch6og">
              <w:r>
                <w:rPr>
                  <w:rFonts w:ascii="Calibri" w:cs="Calibri" w:eastAsia="Calibri" w:hAnsi="Calibri"/>
                  <w:color w:val="1F6FB2"/>
                  <w:sz w:val="15"/>
                  <w:szCs w:val="15"/>
                  <w:u w:val="single"/>
                </w:rPr>
                <w:t xml:space="preserve">www.dietitiansaustralia.org.au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Achievement Program (Victorian Department of Health)</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Whole-school health promotion framework including healthy eating benchmarks. Supports VC2HP10P10 community health promotion tasks.</w:t>
            </w:r>
          </w:p>
        </w:tc>
        <w:tc>
          <w:tcPr>
            <w:tcW w:type="dxa" w:w="2400"/>
            <w:tcMar>
              <w:top w:type="dxa" w:w="80"/>
              <w:left w:type="dxa" w:w="110"/>
              <w:bottom w:type="dxa" w:w="80"/>
              <w:right w:type="dxa" w:w="110"/>
            </w:tcMar>
          </w:tcPr>
          <w:p>
            <w:hyperlink w:history="1" r:id="rIdfjau4rto_-z16whwnvgxk">
              <w:r>
                <w:rPr>
                  <w:rFonts w:ascii="Calibri" w:cs="Calibri" w:eastAsia="Calibri" w:hAnsi="Calibri"/>
                  <w:color w:val="1F6FB2"/>
                  <w:sz w:val="15"/>
                  <w:szCs w:val="15"/>
                  <w:u w:val="single"/>
                </w:rPr>
                <w:t xml:space="preserve">www.achievementprogram.health.vic.gov.au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Butterfly Foundation — Body Kind Schools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Body image education from Australia's national eating disorders body. Designed with safe-messaging principles — use this rather than general nutrition material when body image is in scope.</w:t>
            </w:r>
          </w:p>
        </w:tc>
        <w:tc>
          <w:tcPr>
            <w:tcW w:type="dxa" w:w="2400"/>
            <w:shd w:fill="EEF3F9" w:color="auto" w:val="clear"/>
            <w:tcMar>
              <w:top w:type="dxa" w:w="80"/>
              <w:left w:type="dxa" w:w="110"/>
              <w:bottom w:type="dxa" w:w="80"/>
              <w:right w:type="dxa" w:w="110"/>
            </w:tcMar>
          </w:tcPr>
          <w:p>
            <w:hyperlink w:history="1" r:id="rId5xejihdfewrnscjie_7ln">
              <w:r>
                <w:rPr>
                  <w:rFonts w:ascii="Calibri" w:cs="Calibri" w:eastAsia="Calibri" w:hAnsi="Calibri"/>
                  <w:color w:val="1F6FB2"/>
                  <w:sz w:val="15"/>
                  <w:szCs w:val="15"/>
                  <w:u w:val="single"/>
                </w:rPr>
                <w:t xml:space="preserve">butterfly.org.au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Safety — First Aid &amp; Emergency Response</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Safety (S)  ·  Mental health and wellbeing (MH)</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VC2HP8P08</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VC2HP10P08</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Victoria added '(including basic first aid and CPR)' to VC2HP8P08 and '(including first aid and CPR)' to VC2HP10P08. The Australian Curriculum has no such wording. First aid and CPR are therefore mandated Victorian content at both bands — this is the single most commonly missed difference between the two frameworks.</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Australian Resuscitation Council — Guidelines</w:t>
            </w:r>
          </w:p>
          <w:p>
            <w:pPr>
              <w:spacing w:before="40"/>
            </w:pPr>
            <w:r>
              <w:rPr>
                <w:rFonts w:ascii="Calibri" w:cs="Calibri" w:eastAsia="Calibri" w:hAnsi="Calibri"/>
                <w:i/>
                <w:iCs/>
                <w:color w:val="4A5568"/>
                <w:sz w:val="15"/>
                <w:szCs w:val="15"/>
              </w:rPr>
              <w:t xml:space="preserve">Free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The national evidence base for resuscitation: compression rate, depth, ratio and the rationale for bystander CPR. The primary source any CPR content should cite.</w:t>
            </w:r>
          </w:p>
        </w:tc>
        <w:tc>
          <w:tcPr>
            <w:tcW w:type="dxa" w:w="2400"/>
            <w:shd w:fill="EEF3F9" w:color="auto" w:val="clear"/>
            <w:tcMar>
              <w:top w:type="dxa" w:w="80"/>
              <w:left w:type="dxa" w:w="110"/>
              <w:bottom w:type="dxa" w:w="80"/>
              <w:right w:type="dxa" w:w="110"/>
            </w:tcMar>
          </w:tcPr>
          <w:p>
            <w:hyperlink w:history="1" r:id="rIdctn7aintionvmnrmrpgqb">
              <w:r>
                <w:rPr>
                  <w:rFonts w:ascii="Calibri" w:cs="Calibri" w:eastAsia="Calibri" w:hAnsi="Calibri"/>
                  <w:color w:val="1F6FB2"/>
                  <w:sz w:val="15"/>
                  <w:szCs w:val="15"/>
                  <w:u w:val="single"/>
                </w:rPr>
                <w:t xml:space="preserve">www.resus.org.au/guidelines</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St John Ambulance Victoria — Schools</w:t>
            </w:r>
          </w:p>
          <w:p>
            <w:pPr>
              <w:spacing w:before="40"/>
            </w:pPr>
            <w:r>
              <w:rPr>
                <w:rFonts w:ascii="Calibri" w:cs="Calibri" w:eastAsia="Calibri" w:hAnsi="Calibri"/>
                <w:i/>
                <w:iCs/>
                <w:color w:val="4A5568"/>
                <w:sz w:val="15"/>
                <w:szCs w:val="15"/>
              </w:rPr>
              <w:t xml:space="preserve">Cost varies / C</w:t>
            </w:r>
          </w:p>
        </w:tc>
        <w:tc>
          <w:tcPr>
            <w:tcW w:type="dxa" w:w="4126"/>
            <w:tcMar>
              <w:top w:type="dxa" w:w="80"/>
              <w:left w:type="dxa" w:w="110"/>
              <w:bottom w:type="dxa" w:w="80"/>
              <w:right w:type="dxa" w:w="110"/>
            </w:tcMar>
          </w:tcPr>
          <w:p>
            <w:r>
              <w:rPr>
                <w:rFonts w:ascii="Calibri" w:cs="Calibri" w:eastAsia="Calibri" w:hAnsi="Calibri"/>
                <w:sz w:val="18"/>
                <w:szCs w:val="18"/>
              </w:rPr>
              <w:t xml:space="preserve">First aid training delivered into schools, plus free first aid fact sheets and the First Aid in Schools program.</w:t>
            </w:r>
          </w:p>
        </w:tc>
        <w:tc>
          <w:tcPr>
            <w:tcW w:type="dxa" w:w="2400"/>
            <w:tcMar>
              <w:top w:type="dxa" w:w="80"/>
              <w:left w:type="dxa" w:w="110"/>
              <w:bottom w:type="dxa" w:w="80"/>
              <w:right w:type="dxa" w:w="110"/>
            </w:tcMar>
          </w:tcPr>
          <w:p>
            <w:hyperlink w:history="1" r:id="rIdgpktpc8-fybxqmqp51mhx">
              <w:r>
                <w:rPr>
                  <w:rFonts w:ascii="Calibri" w:cs="Calibri" w:eastAsia="Calibri" w:hAnsi="Calibri"/>
                  <w:color w:val="1F6FB2"/>
                  <w:sz w:val="15"/>
                  <w:szCs w:val="15"/>
                  <w:u w:val="single"/>
                </w:rPr>
                <w:t xml:space="preserve">www.stjohnvic.com.au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Australian Red Cross — First Aid</w:t>
            </w:r>
          </w:p>
          <w:p>
            <w:pPr>
              <w:spacing w:before="40"/>
            </w:pPr>
            <w:r>
              <w:rPr>
                <w:rFonts w:ascii="Calibri" w:cs="Calibri" w:eastAsia="Calibri" w:hAnsi="Calibri"/>
                <w:i/>
                <w:iCs/>
                <w:color w:val="4A5568"/>
                <w:sz w:val="15"/>
                <w:szCs w:val="15"/>
              </w:rPr>
              <w:t xml:space="preserve">Cost varies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First aid training and emergency preparedness resources, including psychological first aid material.</w:t>
            </w:r>
          </w:p>
        </w:tc>
        <w:tc>
          <w:tcPr>
            <w:tcW w:type="dxa" w:w="2400"/>
            <w:shd w:fill="EEF3F9" w:color="auto" w:val="clear"/>
            <w:tcMar>
              <w:top w:type="dxa" w:w="80"/>
              <w:left w:type="dxa" w:w="110"/>
              <w:bottom w:type="dxa" w:w="80"/>
              <w:right w:type="dxa" w:w="110"/>
            </w:tcMar>
          </w:tcPr>
          <w:p>
            <w:hyperlink w:history="1" r:id="rIdbpwerq2cy_dos3eh2pbxe">
              <w:r>
                <w:rPr>
                  <w:rFonts w:ascii="Calibri" w:cs="Calibri" w:eastAsia="Calibri" w:hAnsi="Calibri"/>
                  <w:color w:val="1F6FB2"/>
                  <w:sz w:val="15"/>
                  <w:szCs w:val="15"/>
                  <w:u w:val="single"/>
                </w:rPr>
                <w:t xml:space="preserve">www.redcross.org.au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Heart Foundation Australia</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Cardiac physiology and community CPR awareness — supports the 'why' behind the technique for Years 9–10.</w:t>
            </w:r>
          </w:p>
        </w:tc>
        <w:tc>
          <w:tcPr>
            <w:tcW w:type="dxa" w:w="2400"/>
            <w:tcMar>
              <w:top w:type="dxa" w:w="80"/>
              <w:left w:type="dxa" w:w="110"/>
              <w:bottom w:type="dxa" w:w="80"/>
              <w:right w:type="dxa" w:w="110"/>
            </w:tcMar>
          </w:tcPr>
          <w:p>
            <w:hyperlink w:history="1" r:id="rIdwcwajnum7ebvkbe-gge8u">
              <w:r>
                <w:rPr>
                  <w:rFonts w:ascii="Calibri" w:cs="Calibri" w:eastAsia="Calibri" w:hAnsi="Calibri"/>
                  <w:color w:val="1F6FB2"/>
                  <w:sz w:val="15"/>
                  <w:szCs w:val="15"/>
                  <w:u w:val="single"/>
                </w:rPr>
                <w:t xml:space="preserve">www.heartfoundation.org.au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Life Saving Victoria — Courses &amp; Training</w:t>
            </w:r>
          </w:p>
          <w:p>
            <w:pPr>
              <w:spacing w:before="40"/>
            </w:pPr>
            <w:r>
              <w:rPr>
                <w:rFonts w:ascii="Calibri" w:cs="Calibri" w:eastAsia="Calibri" w:hAnsi="Calibri"/>
                <w:i/>
                <w:iCs/>
                <w:color w:val="4A5568"/>
                <w:sz w:val="15"/>
                <w:szCs w:val="15"/>
              </w:rPr>
              <w:t xml:space="preserve">Paid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CPR and first aid currency for staff, and the aquatic-specific rescue qualifications.</w:t>
            </w:r>
          </w:p>
        </w:tc>
        <w:tc>
          <w:tcPr>
            <w:tcW w:type="dxa" w:w="2400"/>
            <w:shd w:fill="EEF3F9" w:color="auto" w:val="clear"/>
            <w:tcMar>
              <w:top w:type="dxa" w:w="80"/>
              <w:left w:type="dxa" w:w="110"/>
              <w:bottom w:type="dxa" w:w="80"/>
              <w:right w:type="dxa" w:w="110"/>
            </w:tcMar>
          </w:tcPr>
          <w:p>
            <w:hyperlink w:history="1" r:id="rId9guc2hkh4vtrds2kcwxvf">
              <w:r>
                <w:rPr>
                  <w:rFonts w:ascii="Calibri" w:cs="Calibri" w:eastAsia="Calibri" w:hAnsi="Calibri"/>
                  <w:color w:val="1F6FB2"/>
                  <w:sz w:val="15"/>
                  <w:szCs w:val="15"/>
                  <w:u w:val="single"/>
                </w:rPr>
                <w:t xml:space="preserve">lsv.com.au/courses-training</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Safety — Road, Sun, Fire &amp; Workplace</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Safety (S)  ·  Health benefits of physical activity (HBPA)</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VC2HP8P08  ·  VC2HP8P09  ·  VC2HP8P10</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VC2HP10P08  ·  VC2HP10P09  ·  VC2HP10P10</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These four sit together because each provides authentic Victorian risk contexts for the same protective-behaviour descriptions. Road safety in particular becomes progressively more relevant across Years 9–10 as students approach learner permit age.</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Road Safety Education Victoria</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Victorian road safety curriculum resources for secondary schools, including passenger safety and pre-driver material.</w:t>
            </w:r>
          </w:p>
        </w:tc>
        <w:tc>
          <w:tcPr>
            <w:tcW w:type="dxa" w:w="2400"/>
            <w:shd w:fill="EEF3F9" w:color="auto" w:val="clear"/>
            <w:tcMar>
              <w:top w:type="dxa" w:w="80"/>
              <w:left w:type="dxa" w:w="110"/>
              <w:bottom w:type="dxa" w:w="80"/>
              <w:right w:type="dxa" w:w="110"/>
            </w:tcMar>
          </w:tcPr>
          <w:p>
            <w:hyperlink w:history="1" r:id="rIdhj7txbhlwiewz2cpeg0i2">
              <w:r>
                <w:rPr>
                  <w:rFonts w:ascii="Calibri" w:cs="Calibri" w:eastAsia="Calibri" w:hAnsi="Calibri"/>
                  <w:color w:val="1F6FB2"/>
                  <w:sz w:val="15"/>
                  <w:szCs w:val="15"/>
                  <w:u w:val="single"/>
                </w:rPr>
                <w:t xml:space="preserve">www.roadsafetyeducation.vic.gov.au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TAC — Road Safety Education</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Victorian Transport Accident Commission campaign material and school programs. Strong data for statistical analysis tasks.</w:t>
            </w:r>
          </w:p>
        </w:tc>
        <w:tc>
          <w:tcPr>
            <w:tcW w:type="dxa" w:w="2400"/>
            <w:tcMar>
              <w:top w:type="dxa" w:w="80"/>
              <w:left w:type="dxa" w:w="110"/>
              <w:bottom w:type="dxa" w:w="80"/>
              <w:right w:type="dxa" w:w="110"/>
            </w:tcMar>
          </w:tcPr>
          <w:p>
            <w:hyperlink w:history="1" r:id="rIdpkyjqvec146vt1r_k4yad">
              <w:r>
                <w:rPr>
                  <w:rFonts w:ascii="Calibri" w:cs="Calibri" w:eastAsia="Calibri" w:hAnsi="Calibri"/>
                  <w:color w:val="1F6FB2"/>
                  <w:sz w:val="15"/>
                  <w:szCs w:val="15"/>
                  <w:u w:val="single"/>
                </w:rPr>
                <w:t xml:space="preserve">www.tac.vic.gov.au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SunSmart (Cancer Council Victoria)</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UV and sun protection resources, the SunSmart Schools program and the live UV index — which is genuinely useful live data for a lesson.</w:t>
            </w:r>
          </w:p>
        </w:tc>
        <w:tc>
          <w:tcPr>
            <w:tcW w:type="dxa" w:w="2400"/>
            <w:shd w:fill="EEF3F9" w:color="auto" w:val="clear"/>
            <w:tcMar>
              <w:top w:type="dxa" w:w="80"/>
              <w:left w:type="dxa" w:w="110"/>
              <w:bottom w:type="dxa" w:w="80"/>
              <w:right w:type="dxa" w:w="110"/>
            </w:tcMar>
          </w:tcPr>
          <w:p>
            <w:hyperlink w:history="1" r:id="rId9um3wktpmuhyzu1onvdy2">
              <w:r>
                <w:rPr>
                  <w:rFonts w:ascii="Calibri" w:cs="Calibri" w:eastAsia="Calibri" w:hAnsi="Calibri"/>
                  <w:color w:val="1F6FB2"/>
                  <w:sz w:val="15"/>
                  <w:szCs w:val="15"/>
                  <w:u w:val="single"/>
                </w:rPr>
                <w:t xml:space="preserve">www.sunsmart.com.au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CFA — Disaster Resilience Education Victoria</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Bushfire and emergency preparedness curriculum resources with Victorian scenarios.</w:t>
            </w:r>
          </w:p>
        </w:tc>
        <w:tc>
          <w:tcPr>
            <w:tcW w:type="dxa" w:w="2400"/>
            <w:tcMar>
              <w:top w:type="dxa" w:w="80"/>
              <w:left w:type="dxa" w:w="110"/>
              <w:bottom w:type="dxa" w:w="80"/>
              <w:right w:type="dxa" w:w="110"/>
            </w:tcMar>
          </w:tcPr>
          <w:p>
            <w:hyperlink w:history="1" r:id="rIdcz5xpy_8yq9au9unmul0g">
              <w:r>
                <w:rPr>
                  <w:rFonts w:ascii="Calibri" w:cs="Calibri" w:eastAsia="Calibri" w:hAnsi="Calibri"/>
                  <w:color w:val="1F6FB2"/>
                  <w:sz w:val="15"/>
                  <w:szCs w:val="15"/>
                  <w:u w:val="single"/>
                </w:rPr>
                <w:t xml:space="preserve">www.cfa.vic.gov.au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WorkSafe Victoria — Schools</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Young worker safety resources for students entering part-time employment; connects to the community and workplace element of VC2HP10P08.</w:t>
            </w:r>
          </w:p>
        </w:tc>
        <w:tc>
          <w:tcPr>
            <w:tcW w:type="dxa" w:w="2400"/>
            <w:shd w:fill="EEF3F9" w:color="auto" w:val="clear"/>
            <w:tcMar>
              <w:top w:type="dxa" w:w="80"/>
              <w:left w:type="dxa" w:w="110"/>
              <w:bottom w:type="dxa" w:w="80"/>
              <w:right w:type="dxa" w:w="110"/>
            </w:tcMar>
          </w:tcPr>
          <w:p>
            <w:hyperlink w:history="1" r:id="rId7plqqapvkob4-cz0avja8">
              <w:r>
                <w:rPr>
                  <w:rFonts w:ascii="Calibri" w:cs="Calibri" w:eastAsia="Calibri" w:hAnsi="Calibri"/>
                  <w:color w:val="1F6FB2"/>
                  <w:sz w:val="15"/>
                  <w:szCs w:val="15"/>
                  <w:u w:val="single"/>
                </w:rPr>
                <w:t xml:space="preserve">www.worksafe.vic.gov.au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Sleep, Recovery &amp; Health Benefits of Physical Activity</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Health benefits of physical activity (HBPA)  ·  Mental health and wellbeing (MH)  ·  Lifelong physical activities (LLPA)</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VC2HP8M05  ·  VC2HP8M07  ·  VC2HP8P10</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VC2HP10M05  ·  VC2HP10M07  ·  VC2HP10P10</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Sleep is not a named focus area but sits inside Health benefits of physical activity and Mental health and wellbeing. It is one of the few health topics where adolescent self-report data can be gathered ethically in class and used for genuine analysis.</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Sleep Health Foundation</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Australian evidence-based sleep information, including adolescent-specific fact sheets on sleep need and circadian shift.</w:t>
            </w:r>
          </w:p>
        </w:tc>
        <w:tc>
          <w:tcPr>
            <w:tcW w:type="dxa" w:w="2400"/>
            <w:shd w:fill="EEF3F9" w:color="auto" w:val="clear"/>
            <w:tcMar>
              <w:top w:type="dxa" w:w="80"/>
              <w:left w:type="dxa" w:w="110"/>
              <w:bottom w:type="dxa" w:w="80"/>
              <w:right w:type="dxa" w:w="110"/>
            </w:tcMar>
          </w:tcPr>
          <w:p>
            <w:hyperlink w:history="1" r:id="rIdtyidlmhji_bz03uslrjgv">
              <w:r>
                <w:rPr>
                  <w:rFonts w:ascii="Calibri" w:cs="Calibri" w:eastAsia="Calibri" w:hAnsi="Calibri"/>
                  <w:color w:val="1F6FB2"/>
                  <w:sz w:val="15"/>
                  <w:szCs w:val="15"/>
                  <w:u w:val="single"/>
                </w:rPr>
                <w:t xml:space="preserve">www.sleephealthfoundation.org.au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Australian Institute of Health and Welfare</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National health data on physical activity, sedentary behaviour and adolescent health. The authoritative dataset for numeracy cross-curriculum tasks.</w:t>
            </w:r>
          </w:p>
        </w:tc>
        <w:tc>
          <w:tcPr>
            <w:tcW w:type="dxa" w:w="2400"/>
            <w:tcMar>
              <w:top w:type="dxa" w:w="80"/>
              <w:left w:type="dxa" w:w="110"/>
              <w:bottom w:type="dxa" w:w="80"/>
              <w:right w:type="dxa" w:w="110"/>
            </w:tcMar>
          </w:tcPr>
          <w:p>
            <w:hyperlink w:history="1" r:id="rIdq5lkuyalk5ycdriu948_n">
              <w:r>
                <w:rPr>
                  <w:rFonts w:ascii="Calibri" w:cs="Calibri" w:eastAsia="Calibri" w:hAnsi="Calibri"/>
                  <w:color w:val="1F6FB2"/>
                  <w:sz w:val="15"/>
                  <w:szCs w:val="15"/>
                  <w:u w:val="single"/>
                </w:rPr>
                <w:t xml:space="preserve">www.aihw.gov.au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VicHealth</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Victorian physical activity participation data and health promotion campaign material.</w:t>
            </w:r>
          </w:p>
        </w:tc>
        <w:tc>
          <w:tcPr>
            <w:tcW w:type="dxa" w:w="2400"/>
            <w:shd w:fill="EEF3F9" w:color="auto" w:val="clear"/>
            <w:tcMar>
              <w:top w:type="dxa" w:w="80"/>
              <w:left w:type="dxa" w:w="110"/>
              <w:bottom w:type="dxa" w:w="80"/>
              <w:right w:type="dxa" w:w="110"/>
            </w:tcMar>
          </w:tcPr>
          <w:p>
            <w:hyperlink w:history="1" r:id="rIdcwi-cbnfabm_dnnx-hybi">
              <w:r>
                <w:rPr>
                  <w:rFonts w:ascii="Calibri" w:cs="Calibri" w:eastAsia="Calibri" w:hAnsi="Calibri"/>
                  <w:color w:val="1F6FB2"/>
                  <w:sz w:val="15"/>
                  <w:szCs w:val="15"/>
                  <w:u w:val="single"/>
                </w:rPr>
                <w:t xml:space="preserve">www.vichealth.vic.gov.au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Australian Government — Physical Activity &amp; Sedentary Behaviour Guidelines (5–17 years)</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Includes sleep recommendations alongside activity and screen time — the 24-hour movement framing.</w:t>
            </w:r>
          </w:p>
        </w:tc>
        <w:tc>
          <w:tcPr>
            <w:tcW w:type="dxa" w:w="2400"/>
            <w:tcMar>
              <w:top w:type="dxa" w:w="80"/>
              <w:left w:type="dxa" w:w="110"/>
              <w:bottom w:type="dxa" w:w="80"/>
              <w:right w:type="dxa" w:w="110"/>
            </w:tcMar>
          </w:tcPr>
          <w:p>
            <w:hyperlink w:history="1" r:id="rIdwf9kpyarqqr1hsedhybyx">
              <w:r>
                <w:rPr>
                  <w:rFonts w:ascii="Calibri" w:cs="Calibri" w:eastAsia="Calibri" w:hAnsi="Calibri"/>
                  <w:color w:val="1F6FB2"/>
                  <w:sz w:val="15"/>
                  <w:szCs w:val="15"/>
                  <w:u w:val="single"/>
                </w:rPr>
                <w:t xml:space="preserve">www.health.gov.au</w:t>
              </w:r>
            </w:hyperlink>
          </w:p>
        </w:tc>
      </w:tr>
    </w:tbl>
    <w:p>
      <w:r>
        <w:br w:type="page"/>
      </w:r>
    </w:p>
    <w:p>
      <w:pPr>
        <w:pStyle w:val="Heading1"/>
        <w:pBdr>
          <w:bottom w:val="single" w:color="1F6FB2" w:sz="12" w:space="6"/>
        </w:pBdr>
        <w:spacing w:after="180" w:before="360"/>
      </w:pPr>
      <w:r>
        <w:rPr>
          <w:rFonts w:ascii="Calibri" w:cs="Calibri" w:eastAsia="Calibri" w:hAnsi="Calibri"/>
          <w:b/>
          <w:bCs/>
          <w:color w:val="12335C"/>
          <w:sz w:val="30"/>
          <w:szCs w:val="30"/>
        </w:rPr>
        <w:t xml:space="preserve">Cross-Cutting Resources</w:t>
      </w:r>
    </w:p>
    <w:p>
      <w:pPr>
        <w:pStyle w:val="Heading2"/>
        <w:pBdr>
          <w:bottom w:val="single" w:color="C8D6E5" w:sz="6" w:space="4"/>
        </w:pBdr>
        <w:spacing w:after="120" w:before="300"/>
      </w:pPr>
      <w:r>
        <w:rPr>
          <w:rFonts w:ascii="Calibri" w:cs="Calibri" w:eastAsia="Calibri" w:hAnsi="Calibri"/>
          <w:b/>
          <w:bCs/>
          <w:color w:val="12335C"/>
          <w:sz w:val="24"/>
          <w:szCs w:val="24"/>
        </w:rPr>
        <w:t xml:space="preserve">Cultural Competency &amp; First Nations Perspectives</w:t>
      </w:r>
    </w:p>
    <w:p>
      <w:pPr>
        <w:spacing w:after="80"/>
      </w:pPr>
      <w:r>
        <w:rPr>
          <w:rFonts w:ascii="Calibri" w:cs="Calibri" w:eastAsia="Calibri" w:hAnsi="Calibri"/>
          <w:b/>
          <w:bCs/>
          <w:color w:val="4A5568"/>
          <w:sz w:val="17"/>
          <w:szCs w:val="17"/>
        </w:rPr>
        <w:t xml:space="preserve">Focus areas:  </w:t>
      </w:r>
      <w:r>
        <w:rPr>
          <w:rFonts w:ascii="Calibri" w:cs="Calibri" w:eastAsia="Calibri" w:hAnsi="Calibri"/>
          <w:color w:val="1A202C"/>
          <w:sz w:val="17"/>
          <w:szCs w:val="17"/>
        </w:rPr>
        <w:t xml:space="preserve">Games and sports (GS)  ·  Active play and minor games (AP)  ·  Mental health and wellbeing (MH)  ·  Relationships and sexuality (RS)</w:t>
      </w:r>
    </w:p>
    <w:p>
      <w:pPr>
        <w:spacing w:after="60"/>
      </w:pPr>
      <w:r>
        <w:rPr>
          <w:rFonts w:ascii="Calibri" w:cs="Calibri" w:eastAsia="Calibri" w:hAnsi="Calibri"/>
          <w:b/>
          <w:bCs/>
          <w:color w:val="4A5568"/>
          <w:sz w:val="17"/>
          <w:szCs w:val="17"/>
        </w:rPr>
        <w:t xml:space="preserve">Levels 7–8:  </w:t>
      </w:r>
      <w:r>
        <w:rPr>
          <w:rFonts w:ascii="Calibri" w:cs="Calibri" w:eastAsia="Calibri" w:hAnsi="Calibri"/>
          <w:b/>
          <w:bCs/>
          <w:color w:val="12335C"/>
          <w:sz w:val="17"/>
          <w:szCs w:val="17"/>
        </w:rPr>
        <w:t xml:space="preserve">VC2HP8P01  ·  VC2HP8P05  ·  VC2HP8M09</w:t>
      </w:r>
    </w:p>
    <w:p>
      <w:pPr>
        <w:spacing w:after="140"/>
      </w:pPr>
      <w:r>
        <w:rPr>
          <w:rFonts w:ascii="Calibri" w:cs="Calibri" w:eastAsia="Calibri" w:hAnsi="Calibri"/>
          <w:b/>
          <w:bCs/>
          <w:color w:val="4A5568"/>
          <w:sz w:val="17"/>
          <w:szCs w:val="17"/>
        </w:rPr>
        <w:t xml:space="preserve">Levels 9–10:  </w:t>
      </w:r>
      <w:r>
        <w:rPr>
          <w:rFonts w:ascii="Calibri" w:cs="Calibri" w:eastAsia="Calibri" w:hAnsi="Calibri"/>
          <w:b/>
          <w:bCs/>
          <w:color w:val="12335C"/>
          <w:sz w:val="17"/>
          <w:szCs w:val="17"/>
        </w:rPr>
        <w:t xml:space="preserve">VC2HP10P01  ·  VC2HP10P05  ·  VC2HP10M09</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The VC2HP10M09 elaboration names analysing how Aboriginal and Torres Strait Islander athletes have been treated in sport, and VC2HP8P01 names the impacts of the Stolen Generations. This is embedded curriculum content, not an add-on. Engage local Traditional Owners and follow cultural protocol; do not teach traditional games as decontextualised activities.</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AIATSIS — Map of Indigenous Australia</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Identifies Traditional Custodians of local Country and waterways. Note the map is copyright AIATSIS and licensed for specific uses — link to it rather than reproducing it in your materials.</w:t>
            </w:r>
          </w:p>
        </w:tc>
        <w:tc>
          <w:tcPr>
            <w:tcW w:type="dxa" w:w="2400"/>
            <w:shd w:fill="EEF3F9" w:color="auto" w:val="clear"/>
            <w:tcMar>
              <w:top w:type="dxa" w:w="80"/>
              <w:left w:type="dxa" w:w="110"/>
              <w:bottom w:type="dxa" w:w="80"/>
              <w:right w:type="dxa" w:w="110"/>
            </w:tcMar>
          </w:tcPr>
          <w:p>
            <w:hyperlink w:history="1" r:id="rIdsi1-sx_opxefybj9bycwr">
              <w:r>
                <w:rPr>
                  <w:rFonts w:ascii="Calibri" w:cs="Calibri" w:eastAsia="Calibri" w:hAnsi="Calibri"/>
                  <w:color w:val="1F6FB2"/>
                  <w:sz w:val="15"/>
                  <w:szCs w:val="15"/>
                  <w:u w:val="single"/>
                </w:rPr>
                <w:t xml:space="preserve">aiatsis.gov.au/explore/map-indigenous-australia</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Narragunnawali (Reconciliation Australia)</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Free Reconciliation Action Plan platform for schools, with curriculum-linked professional learning and classroom resources.</w:t>
            </w:r>
          </w:p>
        </w:tc>
        <w:tc>
          <w:tcPr>
            <w:tcW w:type="dxa" w:w="2400"/>
            <w:tcMar>
              <w:top w:type="dxa" w:w="80"/>
              <w:left w:type="dxa" w:w="110"/>
              <w:bottom w:type="dxa" w:w="80"/>
              <w:right w:type="dxa" w:w="110"/>
            </w:tcMar>
          </w:tcPr>
          <w:p>
            <w:hyperlink w:history="1" r:id="rIdy8jmlixl95x7kyi6swmof">
              <w:r>
                <w:rPr>
                  <w:rFonts w:ascii="Calibri" w:cs="Calibri" w:eastAsia="Calibri" w:hAnsi="Calibri"/>
                  <w:color w:val="1F6FB2"/>
                  <w:sz w:val="15"/>
                  <w:szCs w:val="15"/>
                  <w:u w:val="single"/>
                </w:rPr>
                <w:t xml:space="preserve">www.narragunnawali.org.au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Yulunga: Traditional Indigenous Games (ASC)</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Over 100 traditional games with cultural background. Teach with context and protocol.</w:t>
            </w:r>
          </w:p>
        </w:tc>
        <w:tc>
          <w:tcPr>
            <w:tcW w:type="dxa" w:w="2400"/>
            <w:shd w:fill="EEF3F9" w:color="auto" w:val="clear"/>
            <w:tcMar>
              <w:top w:type="dxa" w:w="80"/>
              <w:left w:type="dxa" w:w="110"/>
              <w:bottom w:type="dxa" w:w="80"/>
              <w:right w:type="dxa" w:w="110"/>
            </w:tcMar>
          </w:tcPr>
          <w:p>
            <w:hyperlink w:history="1" r:id="rIdjl9ijnaeetcsl5mpssrmj">
              <w:r>
                <w:rPr>
                  <w:rFonts w:ascii="Calibri" w:cs="Calibri" w:eastAsia="Calibri" w:hAnsi="Calibri"/>
                  <w:color w:val="1F6FB2"/>
                  <w:sz w:val="15"/>
                  <w:szCs w:val="15"/>
                  <w:u w:val="single"/>
                </w:rPr>
                <w:t xml:space="preserve">www.ausport.gov.au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Victorian Aboriginal Education Association Incorporated (VAEAI)</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Victorian Koorie education body — the appropriate first point of contact for local protocol guidance.</w:t>
            </w:r>
          </w:p>
        </w:tc>
        <w:tc>
          <w:tcPr>
            <w:tcW w:type="dxa" w:w="2400"/>
            <w:tcMar>
              <w:top w:type="dxa" w:w="80"/>
              <w:left w:type="dxa" w:w="110"/>
              <w:bottom w:type="dxa" w:w="80"/>
              <w:right w:type="dxa" w:w="110"/>
            </w:tcMar>
          </w:tcPr>
          <w:p>
            <w:hyperlink w:history="1" r:id="rIdxcdha-gwx1r5jezctfkd6">
              <w:r>
                <w:rPr>
                  <w:rFonts w:ascii="Calibri" w:cs="Calibri" w:eastAsia="Calibri" w:hAnsi="Calibri"/>
                  <w:color w:val="1F6FB2"/>
                  <w:sz w:val="15"/>
                  <w:szCs w:val="15"/>
                  <w:u w:val="single"/>
                </w:rPr>
                <w:t xml:space="preserve">www.vaeai.org.au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Centre for Multicultural Youth</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Culturally responsive practice for CALD students, relevant across health topics and to participation barriers in sport.</w:t>
            </w:r>
          </w:p>
        </w:tc>
        <w:tc>
          <w:tcPr>
            <w:tcW w:type="dxa" w:w="2400"/>
            <w:shd w:fill="EEF3F9" w:color="auto" w:val="clear"/>
            <w:tcMar>
              <w:top w:type="dxa" w:w="80"/>
              <w:left w:type="dxa" w:w="110"/>
              <w:bottom w:type="dxa" w:w="80"/>
              <w:right w:type="dxa" w:w="110"/>
            </w:tcMar>
          </w:tcPr>
          <w:p>
            <w:hyperlink w:history="1" r:id="rIdgox7fmu_5h_rszsbwr2k4">
              <w:r>
                <w:rPr>
                  <w:rFonts w:ascii="Calibri" w:cs="Calibri" w:eastAsia="Calibri" w:hAnsi="Calibri"/>
                  <w:color w:val="1F6FB2"/>
                  <w:sz w:val="15"/>
                  <w:szCs w:val="15"/>
                  <w:u w:val="single"/>
                </w:rPr>
                <w:t xml:space="preserve">www.cmy.net.au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Assessment Tools &amp; Frameworks</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Victorian Curriculum 2.0 reports against achievement standards, not content descriptions. Your assessment must produce evidence against the Levels 8 and 10 achievement standards; content description codes describe what you taught, not what you report. Keeping those two straight is the most common documentation failure in HPE faculties.</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VCAA — HPE Curriculum (Version 2.0)</w:t>
            </w:r>
          </w:p>
          <w:p>
            <w:pPr>
              <w:spacing w:before="40"/>
            </w:pPr>
            <w:r>
              <w:rPr>
                <w:rFonts w:ascii="Calibri" w:cs="Calibri" w:eastAsia="Calibri" w:hAnsi="Calibri"/>
                <w:i/>
                <w:iCs/>
                <w:color w:val="4A5568"/>
                <w:sz w:val="15"/>
                <w:szCs w:val="15"/>
              </w:rPr>
              <w:t xml:space="preserve">Free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The curriculum itself: content descriptions, elaborations and achievement standards for all levels. Use the Download curriculum function to get an offline copy — the site is a JavaScript application and does not index well in search engines.</w:t>
            </w:r>
          </w:p>
        </w:tc>
        <w:tc>
          <w:tcPr>
            <w:tcW w:type="dxa" w:w="2400"/>
            <w:shd w:fill="EEF3F9" w:color="auto" w:val="clear"/>
            <w:tcMar>
              <w:top w:type="dxa" w:w="80"/>
              <w:left w:type="dxa" w:w="110"/>
              <w:bottom w:type="dxa" w:w="80"/>
              <w:right w:type="dxa" w:w="110"/>
            </w:tcMar>
          </w:tcPr>
          <w:p>
            <w:hyperlink w:history="1" r:id="rIdnsth2oxgt2ibappfikct1">
              <w:r>
                <w:rPr>
                  <w:rFonts w:ascii="Calibri" w:cs="Calibri" w:eastAsia="Calibri" w:hAnsi="Calibri"/>
                  <w:color w:val="1F6FB2"/>
                  <w:sz w:val="15"/>
                  <w:szCs w:val="15"/>
                  <w:u w:val="single"/>
                </w:rPr>
                <w:t xml:space="preserve">f10.vcaa.vic.edu.au/learning-areas/health-and-physical-education/curriculum</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VCAA — Resource Hub</w:t>
            </w:r>
          </w:p>
          <w:p>
            <w:pPr>
              <w:spacing w:before="40"/>
            </w:pPr>
            <w:r>
              <w:rPr>
                <w:rFonts w:ascii="Calibri" w:cs="Calibri" w:eastAsia="Calibri" w:hAnsi="Calibri"/>
                <w:i/>
                <w:iCs/>
                <w:color w:val="4A5568"/>
                <w:sz w:val="15"/>
                <w:szCs w:val="15"/>
              </w:rPr>
              <w:t xml:space="preserve">Free / V</w:t>
            </w:r>
          </w:p>
        </w:tc>
        <w:tc>
          <w:tcPr>
            <w:tcW w:type="dxa" w:w="4126"/>
            <w:tcMar>
              <w:top w:type="dxa" w:w="80"/>
              <w:left w:type="dxa" w:w="110"/>
              <w:bottom w:type="dxa" w:w="80"/>
              <w:right w:type="dxa" w:w="110"/>
            </w:tcMar>
          </w:tcPr>
          <w:p>
            <w:r>
              <w:rPr>
                <w:rFonts w:ascii="Calibri" w:cs="Calibri" w:eastAsia="Calibri" w:hAnsi="Calibri"/>
                <w:sz w:val="18"/>
                <w:szCs w:val="18"/>
              </w:rPr>
              <w:t xml:space="preserve">Teaching and planning resources for Version 2.0, including HPE curriculum area map (CAM) templates pre-populated with Version 2.0 content for auditing existing units.</w:t>
            </w:r>
          </w:p>
        </w:tc>
        <w:tc>
          <w:tcPr>
            <w:tcW w:type="dxa" w:w="2400"/>
            <w:tcMar>
              <w:top w:type="dxa" w:w="80"/>
              <w:left w:type="dxa" w:w="110"/>
              <w:bottom w:type="dxa" w:w="80"/>
              <w:right w:type="dxa" w:w="110"/>
            </w:tcMar>
          </w:tcPr>
          <w:p>
            <w:hyperlink w:history="1" r:id="rIdjz_lmtm6crqmmcfyllhen">
              <w:r>
                <w:rPr>
                  <w:rFonts w:ascii="Calibri" w:cs="Calibri" w:eastAsia="Calibri" w:hAnsi="Calibri"/>
                  <w:color w:val="1F6FB2"/>
                  <w:sz w:val="15"/>
                  <w:szCs w:val="15"/>
                  <w:u w:val="single"/>
                </w:rPr>
                <w:t xml:space="preserve">f10.vcaa.vic.edu.au/resource-hub</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VCAA — Download curriculum</w:t>
            </w:r>
          </w:p>
          <w:p>
            <w:pPr>
              <w:spacing w:before="40"/>
            </w:pPr>
            <w:r>
              <w:rPr>
                <w:rFonts w:ascii="Calibri" w:cs="Calibri" w:eastAsia="Calibri" w:hAnsi="Calibri"/>
                <w:i/>
                <w:iCs/>
                <w:color w:val="4A5568"/>
                <w:sz w:val="15"/>
                <w:szCs w:val="15"/>
              </w:rPr>
              <w:t xml:space="preserve">Free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Exports the full curriculum by learning area as an editable document. This is the authoritative source for content description codes and wording.</w:t>
            </w:r>
          </w:p>
        </w:tc>
        <w:tc>
          <w:tcPr>
            <w:tcW w:type="dxa" w:w="2400"/>
            <w:shd w:fill="EEF3F9" w:color="auto" w:val="clear"/>
            <w:tcMar>
              <w:top w:type="dxa" w:w="80"/>
              <w:left w:type="dxa" w:w="110"/>
              <w:bottom w:type="dxa" w:w="80"/>
              <w:right w:type="dxa" w:w="110"/>
            </w:tcMar>
          </w:tcPr>
          <w:p>
            <w:hyperlink w:history="1" r:id="rIdnbyigryrbkxugchkg1-ih">
              <w:r>
                <w:rPr>
                  <w:rFonts w:ascii="Calibri" w:cs="Calibri" w:eastAsia="Calibri" w:hAnsi="Calibri"/>
                  <w:color w:val="1F6FB2"/>
                  <w:sz w:val="15"/>
                  <w:szCs w:val="15"/>
                  <w:u w:val="single"/>
                </w:rPr>
                <w:t xml:space="preserve">f10.vcaa.vic.edu.au/download-curriculum</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Victorian Curriculum and Assessment Authority — Assessment resources</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Assessment principles, reporting guidance and the Victorian Curriculum assessment framework.</w:t>
            </w:r>
          </w:p>
        </w:tc>
        <w:tc>
          <w:tcPr>
            <w:tcW w:type="dxa" w:w="2400"/>
            <w:tcMar>
              <w:top w:type="dxa" w:w="80"/>
              <w:left w:type="dxa" w:w="110"/>
              <w:bottom w:type="dxa" w:w="80"/>
              <w:right w:type="dxa" w:w="110"/>
            </w:tcMar>
          </w:tcPr>
          <w:p>
            <w:hyperlink w:history="1" r:id="rIdxlaakvnnoqknsihyr-dtd">
              <w:r>
                <w:rPr>
                  <w:rFonts w:ascii="Calibri" w:cs="Calibri" w:eastAsia="Calibri" w:hAnsi="Calibri"/>
                  <w:color w:val="1F6FB2"/>
                  <w:sz w:val="15"/>
                  <w:szCs w:val="15"/>
                  <w:u w:val="single"/>
                </w:rPr>
                <w:t xml:space="preserve">www.vcaa.vic.edu.au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ACHPER Victoria</w:t>
            </w:r>
          </w:p>
          <w:p>
            <w:pPr>
              <w:spacing w:before="40"/>
            </w:pPr>
            <w:r>
              <w:rPr>
                <w:rFonts w:ascii="Calibri" w:cs="Calibri" w:eastAsia="Calibri" w:hAnsi="Calibri"/>
                <w:i/>
                <w:iCs/>
                <w:color w:val="4A5568"/>
                <w:sz w:val="15"/>
                <w:szCs w:val="15"/>
              </w:rPr>
              <w:t xml:space="preserve">Membership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State HPE professional association. Assessment exemplars, conference program and subject-specific professional learning.</w:t>
            </w:r>
          </w:p>
        </w:tc>
        <w:tc>
          <w:tcPr>
            <w:tcW w:type="dxa" w:w="2400"/>
            <w:shd w:fill="EEF3F9" w:color="auto" w:val="clear"/>
            <w:tcMar>
              <w:top w:type="dxa" w:w="80"/>
              <w:left w:type="dxa" w:w="110"/>
              <w:bottom w:type="dxa" w:w="80"/>
              <w:right w:type="dxa" w:w="110"/>
            </w:tcMar>
          </w:tcPr>
          <w:p>
            <w:hyperlink w:history="1" r:id="rId-jhpxfky5dcvnnv15x9y8">
              <w:r>
                <w:rPr>
                  <w:rFonts w:ascii="Calibri" w:cs="Calibri" w:eastAsia="Calibri" w:hAnsi="Calibri"/>
                  <w:color w:val="1F6FB2"/>
                  <w:sz w:val="15"/>
                  <w:szCs w:val="15"/>
                  <w:u w:val="single"/>
                </w:rPr>
                <w:t xml:space="preserve">www.achper.vic.edu.au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Teacher Professional Learning</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Victorian Curriculum 2.0 is mandated for Victorian government and Catholic schools from 2026. PL that references Version 1.0 codes (the VCHPEP and VCHPEM series) is out of date and should be treated with caution.</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ACHPER Victoria</w:t>
            </w:r>
          </w:p>
          <w:p>
            <w:pPr>
              <w:spacing w:before="40"/>
            </w:pPr>
            <w:r>
              <w:rPr>
                <w:rFonts w:ascii="Calibri" w:cs="Calibri" w:eastAsia="Calibri" w:hAnsi="Calibri"/>
                <w:i/>
                <w:iCs/>
                <w:color w:val="4A5568"/>
                <w:sz w:val="15"/>
                <w:szCs w:val="15"/>
              </w:rPr>
              <w:t xml:space="preserve">Membership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The Victorian HPE professional association — conferences, curriculum implementation support and VIT-aligned professional learning.</w:t>
            </w:r>
          </w:p>
        </w:tc>
        <w:tc>
          <w:tcPr>
            <w:tcW w:type="dxa" w:w="2400"/>
            <w:shd w:fill="EEF3F9" w:color="auto" w:val="clear"/>
            <w:tcMar>
              <w:top w:type="dxa" w:w="80"/>
              <w:left w:type="dxa" w:w="110"/>
              <w:bottom w:type="dxa" w:w="80"/>
              <w:right w:type="dxa" w:w="110"/>
            </w:tcMar>
          </w:tcPr>
          <w:p>
            <w:hyperlink w:history="1" r:id="rIde_zeydubxobc1uqrzo-q3">
              <w:r>
                <w:rPr>
                  <w:rFonts w:ascii="Calibri" w:cs="Calibri" w:eastAsia="Calibri" w:hAnsi="Calibri"/>
                  <w:color w:val="1F6FB2"/>
                  <w:sz w:val="15"/>
                  <w:szCs w:val="15"/>
                  <w:u w:val="single"/>
                </w:rPr>
                <w:t xml:space="preserve">www.achper.vic.edu.au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ACHPER National</w:t>
            </w:r>
          </w:p>
          <w:p>
            <w:pPr>
              <w:spacing w:before="40"/>
            </w:pPr>
            <w:r>
              <w:rPr>
                <w:rFonts w:ascii="Calibri" w:cs="Calibri" w:eastAsia="Calibri" w:hAnsi="Calibri"/>
                <w:i/>
                <w:iCs/>
                <w:color w:val="4A5568"/>
                <w:sz w:val="15"/>
                <w:szCs w:val="15"/>
              </w:rPr>
              <w:t xml:space="preserve">Membership / C</w:t>
            </w:r>
          </w:p>
        </w:tc>
        <w:tc>
          <w:tcPr>
            <w:tcW w:type="dxa" w:w="4126"/>
            <w:tcMar>
              <w:top w:type="dxa" w:w="80"/>
              <w:left w:type="dxa" w:w="110"/>
              <w:bottom w:type="dxa" w:w="80"/>
              <w:right w:type="dxa" w:w="110"/>
            </w:tcMar>
          </w:tcPr>
          <w:p>
            <w:r>
              <w:rPr>
                <w:rFonts w:ascii="Calibri" w:cs="Calibri" w:eastAsia="Calibri" w:hAnsi="Calibri"/>
                <w:sz w:val="18"/>
                <w:szCs w:val="18"/>
              </w:rPr>
              <w:t xml:space="preserve">National body. Research journal, position statements and national conference.</w:t>
            </w:r>
          </w:p>
        </w:tc>
        <w:tc>
          <w:tcPr>
            <w:tcW w:type="dxa" w:w="2400"/>
            <w:tcMar>
              <w:top w:type="dxa" w:w="80"/>
              <w:left w:type="dxa" w:w="110"/>
              <w:bottom w:type="dxa" w:w="80"/>
              <w:right w:type="dxa" w:w="110"/>
            </w:tcMar>
          </w:tcPr>
          <w:p>
            <w:hyperlink w:history="1" r:id="rIdfx4q26ax3talq2ucjpx9b">
              <w:r>
                <w:rPr>
                  <w:rFonts w:ascii="Calibri" w:cs="Calibri" w:eastAsia="Calibri" w:hAnsi="Calibri"/>
                  <w:color w:val="1F6FB2"/>
                  <w:sz w:val="15"/>
                  <w:szCs w:val="15"/>
                  <w:u w:val="single"/>
                </w:rPr>
                <w:t xml:space="preserve">www.achper.org.au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VCAA — Professional learning</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Free VCAA webinars and implementation support for Version 2.0 across all learning areas.</w:t>
            </w:r>
          </w:p>
        </w:tc>
        <w:tc>
          <w:tcPr>
            <w:tcW w:type="dxa" w:w="2400"/>
            <w:shd w:fill="EEF3F9" w:color="auto" w:val="clear"/>
            <w:tcMar>
              <w:top w:type="dxa" w:w="80"/>
              <w:left w:type="dxa" w:w="110"/>
              <w:bottom w:type="dxa" w:w="80"/>
              <w:right w:type="dxa" w:w="110"/>
            </w:tcMar>
          </w:tcPr>
          <w:p>
            <w:hyperlink w:history="1" r:id="rIdqxf9fzijfyhkres0c6fnt">
              <w:r>
                <w:rPr>
                  <w:rFonts w:ascii="Calibri" w:cs="Calibri" w:eastAsia="Calibri" w:hAnsi="Calibri"/>
                  <w:color w:val="1F6FB2"/>
                  <w:sz w:val="15"/>
                  <w:szCs w:val="15"/>
                  <w:u w:val="single"/>
                </w:rPr>
                <w:t xml:space="preserve">www.vcaa.vic.edu.au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AUSTSWIM</w:t>
            </w:r>
          </w:p>
          <w:p>
            <w:pPr>
              <w:spacing w:before="40"/>
            </w:pPr>
            <w:r>
              <w:rPr>
                <w:rFonts w:ascii="Calibri" w:cs="Calibri" w:eastAsia="Calibri" w:hAnsi="Calibri"/>
                <w:i/>
                <w:iCs/>
                <w:color w:val="4A5568"/>
                <w:sz w:val="15"/>
                <w:szCs w:val="15"/>
              </w:rPr>
              <w:t xml:space="preserve">Paid / C</w:t>
            </w:r>
          </w:p>
        </w:tc>
        <w:tc>
          <w:tcPr>
            <w:tcW w:type="dxa" w:w="4126"/>
            <w:tcMar>
              <w:top w:type="dxa" w:w="80"/>
              <w:left w:type="dxa" w:w="110"/>
              <w:bottom w:type="dxa" w:w="80"/>
              <w:right w:type="dxa" w:w="110"/>
            </w:tcMar>
          </w:tcPr>
          <w:p>
            <w:r>
              <w:rPr>
                <w:rFonts w:ascii="Calibri" w:cs="Calibri" w:eastAsia="Calibri" w:hAnsi="Calibri"/>
                <w:sz w:val="18"/>
                <w:szCs w:val="18"/>
              </w:rPr>
              <w:t xml:space="preserve">Teacher of Swimming and Water Safety qualification — the specialist aquatic credential.</w:t>
            </w:r>
          </w:p>
        </w:tc>
        <w:tc>
          <w:tcPr>
            <w:tcW w:type="dxa" w:w="2400"/>
            <w:tcMar>
              <w:top w:type="dxa" w:w="80"/>
              <w:left w:type="dxa" w:w="110"/>
              <w:bottom w:type="dxa" w:w="80"/>
              <w:right w:type="dxa" w:w="110"/>
            </w:tcMar>
          </w:tcPr>
          <w:p>
            <w:hyperlink w:history="1" r:id="rIdjd-zbl_upos5-sgufmxzg">
              <w:r>
                <w:rPr>
                  <w:rFonts w:ascii="Calibri" w:cs="Calibri" w:eastAsia="Calibri" w:hAnsi="Calibri"/>
                  <w:color w:val="1F6FB2"/>
                  <w:sz w:val="15"/>
                  <w:szCs w:val="15"/>
                  <w:u w:val="single"/>
                </w:rPr>
                <w:t xml:space="preserve">austswim.com.au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Life Saving Victoria — Courses &amp; Training</w:t>
            </w:r>
          </w:p>
          <w:p>
            <w:pPr>
              <w:spacing w:before="40"/>
            </w:pPr>
            <w:r>
              <w:rPr>
                <w:rFonts w:ascii="Calibri" w:cs="Calibri" w:eastAsia="Calibri" w:hAnsi="Calibri"/>
                <w:i/>
                <w:iCs/>
                <w:color w:val="4A5568"/>
                <w:sz w:val="15"/>
                <w:szCs w:val="15"/>
              </w:rPr>
              <w:t xml:space="preserve">Paid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CPR, first aid and aquatic rescue currency for HPE staff.</w:t>
            </w:r>
          </w:p>
        </w:tc>
        <w:tc>
          <w:tcPr>
            <w:tcW w:type="dxa" w:w="2400"/>
            <w:shd w:fill="EEF3F9" w:color="auto" w:val="clear"/>
            <w:tcMar>
              <w:top w:type="dxa" w:w="80"/>
              <w:left w:type="dxa" w:w="110"/>
              <w:bottom w:type="dxa" w:w="80"/>
              <w:right w:type="dxa" w:w="110"/>
            </w:tcMar>
          </w:tcPr>
          <w:p>
            <w:hyperlink w:history="1" r:id="rIdfpvrbvsvjv3tx-el55fu8">
              <w:r>
                <w:rPr>
                  <w:rFonts w:ascii="Calibri" w:cs="Calibri" w:eastAsia="Calibri" w:hAnsi="Calibri"/>
                  <w:color w:val="1F6FB2"/>
                  <w:sz w:val="15"/>
                  <w:szCs w:val="15"/>
                  <w:u w:val="single"/>
                </w:rPr>
                <w:t xml:space="preserve">lsv.com.au/courses-training</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Be You — Professional Learning</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Free accredited mental health in education modules for school staff.</w:t>
            </w:r>
          </w:p>
        </w:tc>
        <w:tc>
          <w:tcPr>
            <w:tcW w:type="dxa" w:w="2400"/>
            <w:tcMar>
              <w:top w:type="dxa" w:w="80"/>
              <w:left w:type="dxa" w:w="110"/>
              <w:bottom w:type="dxa" w:w="80"/>
              <w:right w:type="dxa" w:w="110"/>
            </w:tcMar>
          </w:tcPr>
          <w:p>
            <w:hyperlink w:history="1" r:id="rIdzy9fhnktlp67sixomv5yw">
              <w:r>
                <w:rPr>
                  <w:rFonts w:ascii="Calibri" w:cs="Calibri" w:eastAsia="Calibri" w:hAnsi="Calibri"/>
                  <w:color w:val="1F6FB2"/>
                  <w:sz w:val="15"/>
                  <w:szCs w:val="15"/>
                  <w:u w:val="single"/>
                </w:rPr>
                <w:t xml:space="preserve">beyou.edu.au</w:t>
              </w:r>
            </w:hyperlink>
          </w:p>
        </w:tc>
      </w:tr>
    </w:tbl>
    <w:p>
      <w:pPr>
        <w:spacing w:before="200"/>
      </w:pPr>
      <w:r>
        <w:rPr>
          <w:rFonts w:ascii="Calibri" w:cs="Calibri" w:eastAsia="Calibri" w:hAnsi="Calibri"/>
        </w:rPr>
        <w:t xml:space="preserve"/>
      </w:r>
    </w:p>
    <w:p>
      <w:pPr>
        <w:pStyle w:val="Heading2"/>
        <w:pBdr>
          <w:bottom w:val="single" w:color="C8D6E5" w:sz="6" w:space="4"/>
        </w:pBdr>
        <w:spacing w:after="120" w:before="300"/>
      </w:pPr>
      <w:r>
        <w:rPr>
          <w:rFonts w:ascii="Calibri" w:cs="Calibri" w:eastAsia="Calibri" w:hAnsi="Calibri"/>
          <w:b/>
          <w:bCs/>
          <w:color w:val="12335C"/>
          <w:sz w:val="24"/>
          <w:szCs w:val="24"/>
        </w:rPr>
        <w:t xml:space="preserve">Victorian Government &amp; Curriculum Authorities</w:t>
      </w:r>
    </w:p>
    <w:p>
      <w:pPr>
        <w:pBdr>
          <w:left w:val="single" w:color="1F6FB2" w:sz="18" w:space="10"/>
        </w:pBdr>
        <w:spacing w:after="160"/>
        <w:ind w:left="120"/>
      </w:pPr>
      <w:r>
        <w:rPr>
          <w:rFonts w:ascii="Calibri" w:cs="Calibri" w:eastAsia="Calibri" w:hAnsi="Calibri"/>
          <w:b/>
          <w:bCs/>
          <w:color w:val="12335C"/>
          <w:sz w:val="18"/>
          <w:szCs w:val="18"/>
        </w:rPr>
        <w:t xml:space="preserve">Teaching note.  </w:t>
      </w:r>
      <w:r>
        <w:rPr>
          <w:rFonts w:ascii="Calibri" w:cs="Calibri" w:eastAsia="Calibri" w:hAnsi="Calibri"/>
          <w:color w:val="1A202C"/>
          <w:sz w:val="18"/>
          <w:szCs w:val="18"/>
        </w:rPr>
        <w:t xml:space="preserve">The Policy and Advisory Library (PAL) is the operative compliance source for Victorian government schools. Where PAL and a sporting body's guidance differ, PAL governs.</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2500"/>
        <w:gridCol w:w="4126"/>
        <w:gridCol w:w="2400"/>
      </w:tblGrid>
      <w:tr>
        <w:trPr>
          <w:tblHeader/>
        </w:trPr>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Resource</w:t>
            </w:r>
          </w:p>
        </w:tc>
        <w:tc>
          <w:tcPr>
            <w:tcW w:type="dxa" w:w="41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it is · how to use it</w:t>
            </w:r>
          </w:p>
        </w:tc>
        <w:tc>
          <w:tcPr>
            <w:tcW w:type="dxa" w:w="24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Link</w:t>
            </w:r>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Department of Education — Policy and Advisory Library (PAL)</w:t>
            </w:r>
          </w:p>
          <w:p>
            <w:pPr>
              <w:spacing w:before="40"/>
            </w:pPr>
            <w:r>
              <w:rPr>
                <w:rFonts w:ascii="Calibri" w:cs="Calibri" w:eastAsia="Calibri" w:hAnsi="Calibri"/>
                <w:i/>
                <w:iCs/>
                <w:color w:val="4A5568"/>
                <w:sz w:val="15"/>
                <w:szCs w:val="15"/>
              </w:rPr>
              <w:t xml:space="preserve">Free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Mandatory Victorian school policy: excursions, adventure activities, swimming instruction, student health, duty of care. Check before programming any activity with elevated risk.</w:t>
            </w:r>
          </w:p>
        </w:tc>
        <w:tc>
          <w:tcPr>
            <w:tcW w:type="dxa" w:w="2400"/>
            <w:shd w:fill="EEF3F9" w:color="auto" w:val="clear"/>
            <w:tcMar>
              <w:top w:type="dxa" w:w="80"/>
              <w:left w:type="dxa" w:w="110"/>
              <w:bottom w:type="dxa" w:w="80"/>
              <w:right w:type="dxa" w:w="110"/>
            </w:tcMar>
          </w:tcPr>
          <w:p>
            <w:hyperlink w:history="1" r:id="rIde1klvbculz1xsho0dxoy8">
              <w:r>
                <w:rPr>
                  <w:rFonts w:ascii="Calibri" w:cs="Calibri" w:eastAsia="Calibri" w:hAnsi="Calibri"/>
                  <w:color w:val="1F6FB2"/>
                  <w:sz w:val="15"/>
                  <w:szCs w:val="15"/>
                  <w:u w:val="single"/>
                </w:rPr>
                <w:t xml:space="preserve">www2.education.vic.gov.au/pal</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Department of Education — Swimming Instruction and Water Safety Education</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The specific PAL policy and resource set for school swimming, including funding information.</w:t>
            </w:r>
          </w:p>
        </w:tc>
        <w:tc>
          <w:tcPr>
            <w:tcW w:type="dxa" w:w="2400"/>
            <w:tcMar>
              <w:top w:type="dxa" w:w="80"/>
              <w:left w:type="dxa" w:w="110"/>
              <w:bottom w:type="dxa" w:w="80"/>
              <w:right w:type="dxa" w:w="110"/>
            </w:tcMar>
          </w:tcPr>
          <w:p>
            <w:hyperlink w:history="1" r:id="rIdnpttvgkzsi7zxb1sj1qsd">
              <w:r>
                <w:rPr>
                  <w:rFonts w:ascii="Calibri" w:cs="Calibri" w:eastAsia="Calibri" w:hAnsi="Calibri"/>
                  <w:color w:val="1F6FB2"/>
                  <w:sz w:val="15"/>
                  <w:szCs w:val="15"/>
                  <w:u w:val="single"/>
                </w:rPr>
                <w:t xml:space="preserve">www2.education.vic.gov.au/pal/swimming-instruction-and-water-safety-education/policy</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Victorian Curriculum F–10 Version 2.0</w:t>
            </w:r>
          </w:p>
          <w:p>
            <w:pPr>
              <w:spacing w:before="40"/>
            </w:pPr>
            <w:r>
              <w:rPr>
                <w:rFonts w:ascii="Calibri" w:cs="Calibri" w:eastAsia="Calibri" w:hAnsi="Calibri"/>
                <w:i/>
                <w:iCs/>
                <w:color w:val="4A5568"/>
                <w:sz w:val="15"/>
                <w:szCs w:val="15"/>
              </w:rPr>
              <w:t xml:space="preserve">Free / V</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The curriculum site. Mandated for Victorian government and Catholic schools from 2026.</w:t>
            </w:r>
          </w:p>
        </w:tc>
        <w:tc>
          <w:tcPr>
            <w:tcW w:type="dxa" w:w="2400"/>
            <w:shd w:fill="EEF3F9" w:color="auto" w:val="clear"/>
            <w:tcMar>
              <w:top w:type="dxa" w:w="80"/>
              <w:left w:type="dxa" w:w="110"/>
              <w:bottom w:type="dxa" w:w="80"/>
              <w:right w:type="dxa" w:w="110"/>
            </w:tcMar>
          </w:tcPr>
          <w:p>
            <w:hyperlink w:history="1" r:id="rIdvgry4liwt-0vqrwhx1lxd">
              <w:r>
                <w:rPr>
                  <w:rFonts w:ascii="Calibri" w:cs="Calibri" w:eastAsia="Calibri" w:hAnsi="Calibri"/>
                  <w:color w:val="1F6FB2"/>
                  <w:sz w:val="15"/>
                  <w:szCs w:val="15"/>
                  <w:u w:val="single"/>
                </w:rPr>
                <w:t xml:space="preserve">f10.vcaa.vic.edu.au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School Sport Victoria</w:t>
            </w:r>
          </w:p>
          <w:p>
            <w:pPr>
              <w:spacing w:before="40"/>
            </w:pPr>
            <w:r>
              <w:rPr>
                <w:rFonts w:ascii="Calibri" w:cs="Calibri" w:eastAsia="Calibri" w:hAnsi="Calibri"/>
                <w:i/>
                <w:iCs/>
                <w:color w:val="4A5568"/>
                <w:sz w:val="15"/>
                <w:szCs w:val="15"/>
              </w:rPr>
              <w:t xml:space="preserve">Free / C</w:t>
            </w:r>
          </w:p>
        </w:tc>
        <w:tc>
          <w:tcPr>
            <w:tcW w:type="dxa" w:w="4126"/>
            <w:tcMar>
              <w:top w:type="dxa" w:w="80"/>
              <w:left w:type="dxa" w:w="110"/>
              <w:bottom w:type="dxa" w:w="80"/>
              <w:right w:type="dxa" w:w="110"/>
            </w:tcMar>
          </w:tcPr>
          <w:p>
            <w:r>
              <w:rPr>
                <w:rFonts w:ascii="Calibri" w:cs="Calibri" w:eastAsia="Calibri" w:hAnsi="Calibri"/>
                <w:sz w:val="18"/>
                <w:szCs w:val="18"/>
              </w:rPr>
              <w:t xml:space="preserve">The state schools sport competition structure, from interschool to state level.</w:t>
            </w:r>
          </w:p>
        </w:tc>
        <w:tc>
          <w:tcPr>
            <w:tcW w:type="dxa" w:w="2400"/>
            <w:tcMar>
              <w:top w:type="dxa" w:w="80"/>
              <w:left w:type="dxa" w:w="110"/>
              <w:bottom w:type="dxa" w:w="80"/>
              <w:right w:type="dxa" w:w="110"/>
            </w:tcMar>
          </w:tcPr>
          <w:p>
            <w:hyperlink w:history="1" r:id="rIdvrpdhrmh5kvamldcfkejg">
              <w:r>
                <w:rPr>
                  <w:rFonts w:ascii="Calibri" w:cs="Calibri" w:eastAsia="Calibri" w:hAnsi="Calibri"/>
                  <w:color w:val="1F6FB2"/>
                  <w:sz w:val="15"/>
                  <w:szCs w:val="15"/>
                  <w:u w:val="single"/>
                </w:rPr>
                <w:t xml:space="preserve">www.schoolsportvictoria.com.au</w:t>
              </w:r>
            </w:hyperlink>
          </w:p>
        </w:tc>
      </w:tr>
      <w:tr>
        <w:tc>
          <w:tcPr>
            <w:tcW w:type="dxa" w:w="2500"/>
            <w:shd w:fill="EEF3F9" w:color="auto" w:val="clear"/>
            <w:tcMar>
              <w:top w:type="dxa" w:w="80"/>
              <w:left w:type="dxa" w:w="110"/>
              <w:bottom w:type="dxa" w:w="80"/>
              <w:right w:type="dxa" w:w="110"/>
            </w:tcMar>
          </w:tcPr>
          <w:p>
            <w:r>
              <w:rPr>
                <w:rFonts w:ascii="Calibri" w:cs="Calibri" w:eastAsia="Calibri" w:hAnsi="Calibri"/>
                <w:b/>
                <w:bCs/>
                <w:color w:val="12335C"/>
                <w:sz w:val="18"/>
                <w:szCs w:val="18"/>
              </w:rPr>
              <w:t xml:space="preserve">VicHealth</w:t>
            </w:r>
          </w:p>
          <w:p>
            <w:pPr>
              <w:spacing w:before="40"/>
            </w:pPr>
            <w:r>
              <w:rPr>
                <w:rFonts w:ascii="Calibri" w:cs="Calibri" w:eastAsia="Calibri" w:hAnsi="Calibri"/>
                <w:i/>
                <w:iCs/>
                <w:color w:val="4A5568"/>
                <w:sz w:val="15"/>
                <w:szCs w:val="15"/>
              </w:rPr>
              <w:t xml:space="preserve">Free / C</w:t>
            </w:r>
          </w:p>
        </w:tc>
        <w:tc>
          <w:tcPr>
            <w:tcW w:type="dxa" w:w="4126"/>
            <w:shd w:fill="EEF3F9" w:color="auto" w:val="clear"/>
            <w:tcMar>
              <w:top w:type="dxa" w:w="80"/>
              <w:left w:type="dxa" w:w="110"/>
              <w:bottom w:type="dxa" w:w="80"/>
              <w:right w:type="dxa" w:w="110"/>
            </w:tcMar>
          </w:tcPr>
          <w:p>
            <w:r>
              <w:rPr>
                <w:rFonts w:ascii="Calibri" w:cs="Calibri" w:eastAsia="Calibri" w:hAnsi="Calibri"/>
                <w:sz w:val="18"/>
                <w:szCs w:val="18"/>
              </w:rPr>
              <w:t xml:space="preserve">Victorian health promotion foundation — research, data and campaign resources.</w:t>
            </w:r>
          </w:p>
        </w:tc>
        <w:tc>
          <w:tcPr>
            <w:tcW w:type="dxa" w:w="2400"/>
            <w:shd w:fill="EEF3F9" w:color="auto" w:val="clear"/>
            <w:tcMar>
              <w:top w:type="dxa" w:w="80"/>
              <w:left w:type="dxa" w:w="110"/>
              <w:bottom w:type="dxa" w:w="80"/>
              <w:right w:type="dxa" w:w="110"/>
            </w:tcMar>
          </w:tcPr>
          <w:p>
            <w:hyperlink w:history="1" r:id="rId4tozea4qc8obxvarnapjo">
              <w:r>
                <w:rPr>
                  <w:rFonts w:ascii="Calibri" w:cs="Calibri" w:eastAsia="Calibri" w:hAnsi="Calibri"/>
                  <w:color w:val="1F6FB2"/>
                  <w:sz w:val="15"/>
                  <w:szCs w:val="15"/>
                  <w:u w:val="single"/>
                </w:rPr>
                <w:t xml:space="preserve">www.vichealth.vic.gov.au</w:t>
              </w:r>
            </w:hyperlink>
          </w:p>
        </w:tc>
      </w:tr>
      <w:tr>
        <w:tc>
          <w:tcPr>
            <w:tcW w:type="dxa" w:w="2500"/>
            <w:tcMar>
              <w:top w:type="dxa" w:w="80"/>
              <w:left w:type="dxa" w:w="110"/>
              <w:bottom w:type="dxa" w:w="80"/>
              <w:right w:type="dxa" w:w="110"/>
            </w:tcMar>
          </w:tcPr>
          <w:p>
            <w:r>
              <w:rPr>
                <w:rFonts w:ascii="Calibri" w:cs="Calibri" w:eastAsia="Calibri" w:hAnsi="Calibri"/>
                <w:b/>
                <w:bCs/>
                <w:color w:val="12335C"/>
                <w:sz w:val="18"/>
                <w:szCs w:val="18"/>
              </w:rPr>
              <w:t xml:space="preserve">Australian Sports Commission</w:t>
            </w:r>
          </w:p>
          <w:p>
            <w:pPr>
              <w:spacing w:before="40"/>
            </w:pPr>
            <w:r>
              <w:rPr>
                <w:rFonts w:ascii="Calibri" w:cs="Calibri" w:eastAsia="Calibri" w:hAnsi="Calibri"/>
                <w:i/>
                <w:iCs/>
                <w:color w:val="4A5568"/>
                <w:sz w:val="15"/>
                <w:szCs w:val="15"/>
              </w:rPr>
              <w:t xml:space="preserve">Free / V</w:t>
            </w:r>
          </w:p>
        </w:tc>
        <w:tc>
          <w:tcPr>
            <w:tcW w:type="dxa" w:w="4126"/>
            <w:tcMar>
              <w:top w:type="dxa" w:w="80"/>
              <w:left w:type="dxa" w:w="110"/>
              <w:bottom w:type="dxa" w:w="80"/>
              <w:right w:type="dxa" w:w="110"/>
            </w:tcMar>
          </w:tcPr>
          <w:p>
            <w:r>
              <w:rPr>
                <w:rFonts w:ascii="Calibri" w:cs="Calibri" w:eastAsia="Calibri" w:hAnsi="Calibri"/>
                <w:sz w:val="18"/>
                <w:szCs w:val="18"/>
              </w:rPr>
              <w:t xml:space="preserve">The national sport agency. Sporting Schools, Play by the Rules, Yulunga and the Clearinghouse for Sport evidence library. Note that sportaus.gov.au is a legacy domain; ausport.gov.au is current.</w:t>
            </w:r>
          </w:p>
        </w:tc>
        <w:tc>
          <w:tcPr>
            <w:tcW w:type="dxa" w:w="2400"/>
            <w:tcMar>
              <w:top w:type="dxa" w:w="80"/>
              <w:left w:type="dxa" w:w="110"/>
              <w:bottom w:type="dxa" w:w="80"/>
              <w:right w:type="dxa" w:w="110"/>
            </w:tcMar>
          </w:tcPr>
          <w:p>
            <w:hyperlink w:history="1" r:id="rId1_cisxx_8to1eayxlymzt">
              <w:r>
                <w:rPr>
                  <w:rFonts w:ascii="Calibri" w:cs="Calibri" w:eastAsia="Calibri" w:hAnsi="Calibri"/>
                  <w:color w:val="1F6FB2"/>
                  <w:sz w:val="15"/>
                  <w:szCs w:val="15"/>
                  <w:u w:val="single"/>
                </w:rPr>
                <w:t xml:space="preserve">www.ausport.gov.au</w:t>
              </w:r>
            </w:hyperlink>
          </w:p>
        </w:tc>
      </w:tr>
    </w:tbl>
    <w:p>
      <w:r>
        <w:br w:type="page"/>
      </w:r>
    </w:p>
    <w:p>
      <w:pPr>
        <w:pStyle w:val="Heading1"/>
        <w:pBdr>
          <w:bottom w:val="single" w:color="1F6FB2" w:sz="12" w:space="6"/>
        </w:pBdr>
        <w:spacing w:after="180" w:before="360"/>
      </w:pPr>
      <w:r>
        <w:rPr>
          <w:rFonts w:ascii="Calibri" w:cs="Calibri" w:eastAsia="Calibri" w:hAnsi="Calibri"/>
          <w:b/>
          <w:bCs/>
          <w:color w:val="12335C"/>
          <w:sz w:val="30"/>
          <w:szCs w:val="30"/>
        </w:rPr>
        <w:t xml:space="preserve">Currency, Verification and Copyright</w:t>
      </w:r>
    </w:p>
    <w:p>
      <w:pPr>
        <w:pStyle w:val="Heading2"/>
        <w:pBdr>
          <w:bottom w:val="single" w:color="C8D6E5" w:sz="6" w:space="4"/>
        </w:pBdr>
        <w:spacing w:after="120" w:before="300"/>
      </w:pPr>
      <w:r>
        <w:rPr>
          <w:rFonts w:ascii="Calibri" w:cs="Calibri" w:eastAsia="Calibri" w:hAnsi="Calibri"/>
          <w:b/>
          <w:bCs/>
          <w:color w:val="12335C"/>
          <w:sz w:val="24"/>
          <w:szCs w:val="24"/>
        </w:rPr>
        <w:t xml:space="preserve">Data currency</w:t>
      </w:r>
    </w:p>
    <w:p>
      <w:pPr>
        <w:spacing w:after="120" w:line="264"/>
      </w:pPr>
      <w:r>
        <w:rPr>
          <w:rFonts w:ascii="Calibri" w:cs="Calibri" w:eastAsia="Calibri" w:hAnsi="Calibri"/>
          <w:color w:val="1A202C"/>
          <w:sz w:val="20"/>
          <w:szCs w:val="20"/>
        </w:rPr>
        <w:t xml:space="preserve">Drowning statistics quoted in the Aquatics section were refreshed for this revision. The figures previously in circulation were two reporting cycles out of date:</w:t>
      </w:r>
    </w:p>
    <w:p>
      <w:pPr>
        <w:pStyle w:val="ListParagraph"/>
        <w:numPr>
          <w:ilvl w:val="0"/>
          <w:numId w:val="2"/>
        </w:numPr>
        <w:spacing w:after="60"/>
      </w:pPr>
      <w:r>
        <w:rPr>
          <w:rFonts w:ascii="Calibri" w:cs="Calibri" w:eastAsia="Calibri" w:hAnsi="Calibri"/>
          <w:sz w:val="20"/>
          <w:szCs w:val="20"/>
        </w:rPr>
        <w:t xml:space="preserve">Royal Life Saving Australia, National Drowning Report 2026: 313 drowning deaths in 2025/26, a 12% fall on the record 357 deaths in 2024/25, but still 10% above the ten-year average.</w:t>
      </w:r>
    </w:p>
    <w:p>
      <w:pPr>
        <w:pStyle w:val="ListParagraph"/>
        <w:numPr>
          <w:ilvl w:val="0"/>
          <w:numId w:val="2"/>
        </w:numPr>
        <w:spacing w:after="60"/>
      </w:pPr>
      <w:r>
        <w:rPr>
          <w:rFonts w:ascii="Calibri" w:cs="Calibri" w:eastAsia="Calibri" w:hAnsi="Calibri"/>
          <w:sz w:val="20"/>
          <w:szCs w:val="20"/>
        </w:rPr>
        <w:t xml:space="preserve">Coastal locations accounted for 151 deaths (48%); inland waterways 90 (29%); drowning deaths among children under five fell to 11, 39% below the ten-year average.</w:t>
      </w:r>
    </w:p>
    <w:p>
      <w:pPr>
        <w:pStyle w:val="ListParagraph"/>
        <w:numPr>
          <w:ilvl w:val="0"/>
          <w:numId w:val="2"/>
        </w:numPr>
        <w:spacing w:after="60"/>
      </w:pPr>
      <w:r>
        <w:rPr>
          <w:rFonts w:ascii="Calibri" w:cs="Calibri" w:eastAsia="Calibri" w:hAnsi="Calibri"/>
          <w:sz w:val="20"/>
          <w:szCs w:val="20"/>
        </w:rPr>
        <w:t xml:space="preserve">Surf Life Saving Australia, Summer Coastal Drowning Report 2025/26: 50 coastal drowning deaths nationally over summer.</w:t>
      </w:r>
    </w:p>
    <w:p>
      <w:pPr>
        <w:pStyle w:val="ListParagraph"/>
        <w:numPr>
          <w:ilvl w:val="0"/>
          <w:numId w:val="2"/>
        </w:numPr>
        <w:spacing w:after="60"/>
      </w:pPr>
      <w:r>
        <w:rPr>
          <w:rFonts w:ascii="Calibri" w:cs="Calibri" w:eastAsia="Calibri" w:hAnsi="Calibri"/>
          <w:sz w:val="20"/>
          <w:szCs w:val="20"/>
        </w:rPr>
        <w:t xml:space="preserve">Life Saving Victoria’s most recent published Victorian Drowning Report at the time of writing is 2024/25. The 2025/26 edition is expected shortly — check before the start of the teaching year.</w:t>
      </w:r>
    </w:p>
    <w:p>
      <w:pPr>
        <w:spacing w:after="120" w:line="264"/>
      </w:pPr>
      <w:r>
        <w:rPr>
          <w:rFonts w:ascii="Calibri" w:cs="Calibri" w:eastAsia="Calibri" w:hAnsi="Calibri"/>
          <w:b/>
          <w:bCs/>
          <w:color w:val="1A202C"/>
          <w:sz w:val="20"/>
          <w:szCs w:val="20"/>
        </w:rPr>
        <w:t xml:space="preserve">One correction is worth flagging explicitly. Material circulating in earlier versions described the 54 fatal drownings in Victoria in 2023–24 as the highest in over a decade. It was not. Victoria recorded 59 deaths in 2022–23 and 61 in 2020–21. Any student trend-analysis task built on the earlier claim will produce the wrong conclusion.</w:t>
      </w:r>
    </w:p>
    <w:p>
      <w:pPr>
        <w:pStyle w:val="Heading2"/>
        <w:pBdr>
          <w:bottom w:val="single" w:color="C8D6E5" w:sz="6" w:space="4"/>
        </w:pBdr>
        <w:spacing w:after="120" w:before="300"/>
      </w:pPr>
      <w:r>
        <w:rPr>
          <w:rFonts w:ascii="Calibri" w:cs="Calibri" w:eastAsia="Calibri" w:hAnsi="Calibri"/>
          <w:b/>
          <w:bCs/>
          <w:color w:val="12335C"/>
          <w:sz w:val="24"/>
          <w:szCs w:val="24"/>
        </w:rPr>
        <w:t xml:space="preserve">Link verification</w:t>
      </w:r>
    </w:p>
    <w:p>
      <w:pPr>
        <w:spacing w:after="120" w:line="264"/>
      </w:pPr>
      <w:r>
        <w:rPr>
          <w:rFonts w:ascii="Calibri" w:cs="Calibri" w:eastAsia="Calibri" w:hAnsi="Calibri"/>
          <w:color w:val="1A202C"/>
          <w:sz w:val="20"/>
          <w:szCs w:val="20"/>
        </w:rPr>
        <w:t xml:space="preserve">Links flagged V were retrieved and confirmed during this revision. Links flagged C are organisational entry pages selected for durability rather than depth. Links flagged ? were carried forward unverified and should be checked before distribution.</w:t>
      </w:r>
    </w:p>
    <w:p>
      <w:pPr>
        <w:spacing w:after="120" w:line="264"/>
      </w:pPr>
      <w:r>
        <w:rPr>
          <w:rFonts w:ascii="Calibri" w:cs="Calibri" w:eastAsia="Calibri" w:hAnsi="Calibri"/>
          <w:color w:val="1A202C"/>
          <w:sz w:val="20"/>
          <w:szCs w:val="20"/>
        </w:rPr>
        <w:t xml:space="preserve">Two corrections carried over from earlier versions: Cricket Australia’s live domain is cricket.com.au, not cricketaustralia.com.au; and the Australian Sports Commission’s current domain is ausport.gov.au, with sportaus.gov.au a legacy address. Parks Victoria is parks.vic.gov.au — park.vic.gov.au is not a valid address.</w:t>
      </w:r>
    </w:p>
    <w:p>
      <w:pPr>
        <w:pStyle w:val="Heading2"/>
        <w:pBdr>
          <w:bottom w:val="single" w:color="C8D6E5" w:sz="6" w:space="4"/>
        </w:pBdr>
        <w:spacing w:after="120" w:before="300"/>
      </w:pPr>
      <w:r>
        <w:rPr>
          <w:rFonts w:ascii="Calibri" w:cs="Calibri" w:eastAsia="Calibri" w:hAnsi="Calibri"/>
          <w:b/>
          <w:bCs/>
          <w:color w:val="12335C"/>
          <w:sz w:val="24"/>
          <w:szCs w:val="24"/>
        </w:rPr>
        <w:t xml:space="preserve">Copyright</w:t>
      </w:r>
    </w:p>
    <w:p>
      <w:pPr>
        <w:spacing w:after="120" w:line="264"/>
      </w:pPr>
      <w:r>
        <w:rPr>
          <w:rFonts w:ascii="Calibri" w:cs="Calibri" w:eastAsia="Calibri" w:hAnsi="Calibri"/>
          <w:color w:val="1A202C"/>
          <w:sz w:val="20"/>
          <w:szCs w:val="20"/>
        </w:rPr>
        <w:t xml:space="preserve">Victorian Curriculum F–10 content descriptions reproduced in this directory are © Victorian Curriculum and Assessment Authority and are used for educational purposes. Australian Curriculum material is © ACARA 2010–present, licensed CC BY 4.0.</w:t>
      </w:r>
    </w:p>
    <w:p>
      <w:pPr>
        <w:spacing w:after="120" w:line="264"/>
      </w:pPr>
      <w:r>
        <w:rPr>
          <w:rFonts w:ascii="Calibri" w:cs="Calibri" w:eastAsia="Calibri" w:hAnsi="Calibri"/>
          <w:color w:val="1A202C"/>
          <w:sz w:val="20"/>
          <w:szCs w:val="20"/>
        </w:rPr>
        <w:t xml:space="preserve">Third-party material referenced here — including the AIATSIS Map of Indigenous Australia, organisational logos, and program names such as NetSetGO, Hot Shots and Swim and Survive — remains the property of its owners and is not licensed by inclusion in this directory. Link to it; do not reproduce it in school-published materials without checking terms.</w:t>
      </w:r>
    </w:p>
    <w:p>
      <w:pPr>
        <w:spacing w:after="120" w:line="264"/>
      </w:pPr>
      <w:r>
        <w:rPr>
          <w:rFonts w:ascii="Calibri" w:cs="Calibri" w:eastAsia="Calibri" w:hAnsi="Calibri"/>
          <w:color w:val="1A202C"/>
          <w:sz w:val="20"/>
          <w:szCs w:val="20"/>
        </w:rPr>
        <w:t xml:space="preserve">Any licence applied to this directory as a whole cannot extend to that third-party content. If you republish adapted versions, state that limitation.</w:t>
      </w:r>
    </w:p>
    <w:p>
      <w:pPr>
        <w:pStyle w:val="Heading2"/>
        <w:pBdr>
          <w:bottom w:val="single" w:color="C8D6E5" w:sz="6" w:space="4"/>
        </w:pBdr>
        <w:spacing w:after="120" w:before="300"/>
      </w:pPr>
      <w:r>
        <w:rPr>
          <w:rFonts w:ascii="Calibri" w:cs="Calibri" w:eastAsia="Calibri" w:hAnsi="Calibri"/>
          <w:b/>
          <w:bCs/>
          <w:color w:val="12335C"/>
          <w:sz w:val="24"/>
          <w:szCs w:val="24"/>
        </w:rPr>
        <w:t xml:space="preserve">What changed from Version 7</w:t>
      </w:r>
    </w:p>
    <w:p>
      <w:pPr>
        <w:pStyle w:val="ListParagraph"/>
        <w:numPr>
          <w:ilvl w:val="0"/>
          <w:numId w:val="2"/>
        </w:numPr>
        <w:spacing w:after="60"/>
      </w:pPr>
      <w:r>
        <w:rPr>
          <w:rFonts w:ascii="Calibri" w:cs="Calibri" w:eastAsia="Calibri" w:hAnsi="Calibri"/>
          <w:sz w:val="20"/>
          <w:szCs w:val="20"/>
        </w:rPr>
        <w:t xml:space="preserve">Curriculum codes rebuilt from the VCAA export. Version 7 used six valid codes across 48 sections and contained one code that does not exist in the curriculum (VC2HP10H02 — there is no H strand). Thirty-four of the 40 content descriptions were never referenced. Every health topic section carried no codes at all.</w:t>
      </w:r>
    </w:p>
    <w:p>
      <w:pPr>
        <w:pStyle w:val="ListParagraph"/>
        <w:numPr>
          <w:ilvl w:val="0"/>
          <w:numId w:val="2"/>
        </w:numPr>
        <w:spacing w:after="60"/>
      </w:pPr>
      <w:r>
        <w:rPr>
          <w:rFonts w:ascii="Calibri" w:cs="Calibri" w:eastAsia="Calibri" w:hAnsi="Calibri"/>
          <w:sz w:val="20"/>
          <w:szCs w:val="20"/>
        </w:rPr>
        <w:t xml:space="preserve">Structure rebuilt around the two curriculum strands and the 12 focus areas. Version 7 mixed topic sections with 24 single-organisation sections that duplicated them — first aid appeared twice, inclusion twice, paddling three times.</w:t>
      </w:r>
    </w:p>
    <w:p>
      <w:pPr>
        <w:pStyle w:val="ListParagraph"/>
        <w:numPr>
          <w:ilvl w:val="0"/>
          <w:numId w:val="2"/>
        </w:numPr>
        <w:spacing w:after="60"/>
      </w:pPr>
      <w:r>
        <w:rPr>
          <w:rFonts w:ascii="Calibri" w:cs="Calibri" w:eastAsia="Calibri" w:hAnsi="Calibri"/>
          <w:sz w:val="20"/>
          <w:szCs w:val="20"/>
        </w:rPr>
        <w:t xml:space="preserve">48 sections consolidated to 27 with no loss of organisational coverage.</w:t>
      </w:r>
    </w:p>
    <w:p>
      <w:pPr>
        <w:pStyle w:val="ListParagraph"/>
        <w:numPr>
          <w:ilvl w:val="0"/>
          <w:numId w:val="2"/>
        </w:numPr>
        <w:spacing w:after="60"/>
      </w:pPr>
      <w:r>
        <w:rPr>
          <w:rFonts w:ascii="Calibri" w:cs="Calibri" w:eastAsia="Calibri" w:hAnsi="Calibri"/>
          <w:sz w:val="20"/>
          <w:szCs w:val="20"/>
        </w:rPr>
        <w:t xml:space="preserve">Drowning statistics updated; the “highest in over a decade” claim corrected.</w:t>
      </w:r>
    </w:p>
    <w:p>
      <w:pPr>
        <w:pStyle w:val="ListParagraph"/>
        <w:numPr>
          <w:ilvl w:val="0"/>
          <w:numId w:val="2"/>
        </w:numPr>
        <w:spacing w:after="60"/>
      </w:pPr>
      <w:r>
        <w:rPr>
          <w:rFonts w:ascii="Calibri" w:cs="Calibri" w:eastAsia="Calibri" w:hAnsi="Calibri"/>
          <w:sz w:val="20"/>
          <w:szCs w:val="20"/>
        </w:rPr>
        <w:t xml:space="preserve">Link set reduced and flagged by verification status rather than presented as uniformly checked.</w:t>
      </w:r>
    </w:p>
    <w:p>
      <w:pPr>
        <w:pStyle w:val="ListParagraph"/>
        <w:numPr>
          <w:ilvl w:val="0"/>
          <w:numId w:val="2"/>
        </w:numPr>
        <w:spacing w:after="60"/>
      </w:pPr>
      <w:r>
        <w:rPr>
          <w:rFonts w:ascii="Calibri" w:cs="Calibri" w:eastAsia="Calibri" w:hAnsi="Calibri"/>
          <w:sz w:val="20"/>
          <w:szCs w:val="20"/>
        </w:rPr>
        <w:t xml:space="preserve">Focus areas and the Victoria / Australian Curriculum divergence documented for the first time.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5"/>
        <w:szCs w:val="15"/>
      </w:rPr>
      <w:t xml:space="preserve">Page </w:t>
    </w:r>
    <w:r>
      <w:rPr>
        <w:color w:val="4A5568"/>
        <w:sz w:val="15"/>
        <w:szCs w:val="15"/>
      </w:rPr>
      <w:fldChar w:fldCharType="begin"/>
      <w:instrText xml:space="preserve">PAGE</w:instrText>
      <w:fldChar w:fldCharType="separate"/>
      <w:fldChar w:fldCharType="end"/>
    </w:r>
    <w:r>
      <w:rPr>
        <w:rFonts w:ascii="Calibri" w:cs="Calibri" w:eastAsia="Calibri" w:hAnsi="Calibri"/>
        <w:color w:val="4A5568"/>
        <w:sz w:val="15"/>
        <w:szCs w:val="15"/>
      </w:rPr>
      <w:t xml:space="preserve"> of </w:t>
    </w:r>
    <w:r>
      <w:rPr>
        <w:color w:val="4A556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6E5" w:sz="4" w:space="4"/>
      </w:pBdr>
      <w:jc w:val="right"/>
    </w:pPr>
    <w:r>
      <w:rPr>
        <w:rFonts w:ascii="Calibri" w:cs="Calibri" w:eastAsia="Calibri" w:hAnsi="Calibri"/>
        <w:color w:val="4A5568"/>
        <w:sz w:val="15"/>
        <w:szCs w:val="15"/>
      </w:rPr>
      <w:t xml:space="preserve">HPE Secondary Resource Directory V8  ·  Victorian Curriculum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4qykxehjgese4eq-fljy" Type="http://schemas.openxmlformats.org/officeDocument/2006/relationships/hyperlink" Target="https://basketballaustralia.com.au" TargetMode="External"/><Relationship Id="rIdtmhec7cf7bl8vupnojpov" Type="http://schemas.openxmlformats.org/officeDocument/2006/relationships/hyperlink" Target="https://basketballvictoria.com.au" TargetMode="External"/><Relationship Id="rIdhf40so2lpuue5cy7uqxes" Type="http://schemas.openxmlformats.org/officeDocument/2006/relationships/hyperlink" Target="https://www.sportingschools.gov.au" TargetMode="External"/><Relationship Id="rIdcltlpczpt-ow1xlzkqtcp" Type="http://schemas.openxmlformats.org/officeDocument/2006/relationships/hyperlink" Target="https://www.playbytherules.net.au" TargetMode="External"/><Relationship Id="rIdhfu9vwjsxwy-9te3pwlxt" Type="http://schemas.openxmlformats.org/officeDocument/2006/relationships/hyperlink" Target="https://netball.com.au" TargetMode="External"/><Relationship Id="rIdtweaiaqe7lqogq5hyotj2" Type="http://schemas.openxmlformats.org/officeDocument/2006/relationships/hyperlink" Target="https://netballvic.com.au" TargetMode="External"/><Relationship Id="rId2thykwoqd0qq8ex3xldkf" Type="http://schemas.openxmlformats.org/officeDocument/2006/relationships/hyperlink" Target="https://www.sportingschools.gov.au" TargetMode="External"/><Relationship Id="rIdaromrppar5bk7xf5qghse" Type="http://schemas.openxmlformats.org/officeDocument/2006/relationships/hyperlink" Target="https://play.afl" TargetMode="External"/><Relationship Id="rIdxyhtgyz0ktsdqtzztflj0" Type="http://schemas.openxmlformats.org/officeDocument/2006/relationships/hyperlink" Target="https://www.footballaustralia.com.au" TargetMode="External"/><Relationship Id="rIdgscnlttljw4u4uj5qgfqd" Type="http://schemas.openxmlformats.org/officeDocument/2006/relationships/hyperlink" Target="https://www.hockey.org.au" TargetMode="External"/><Relationship Id="rIdmvep6lwwdfyu7lpxzryso" Type="http://schemas.openxmlformats.org/officeDocument/2006/relationships/hyperlink" Target="https://handballaustralia.org.au" TargetMode="External"/><Relationship Id="rIdgus8cudboujtex7uxqug1" Type="http://schemas.openxmlformats.org/officeDocument/2006/relationships/hyperlink" Target="https://www.ihf.info" TargetMode="External"/><Relationship Id="rIdevl_0obudtizxucpv_fcl" Type="http://schemas.openxmlformats.org/officeDocument/2006/relationships/hyperlink" Target="https://www.cricket.com.au" TargetMode="External"/><Relationship Id="rIdmsu43lcbbddhohthdadrm" Type="http://schemas.openxmlformats.org/officeDocument/2006/relationships/hyperlink" Target="https://www.cricketvictoria.com.au" TargetMode="External"/><Relationship Id="rIdnikuf4_mfnqddb5sizlip" Type="http://schemas.openxmlformats.org/officeDocument/2006/relationships/hyperlink" Target="https://www.sportingschools.gov.au" TargetMode="External"/><Relationship Id="rIdfywdiitutr-y0jfx9hbvd" Type="http://schemas.openxmlformats.org/officeDocument/2006/relationships/hyperlink" Target="https://softball.org.au" TargetMode="External"/><Relationship Id="rIddq1zjxotpzvxlepcnsa9c" Type="http://schemas.openxmlformats.org/officeDocument/2006/relationships/hyperlink" Target="https://softballvic.org.au" TargetMode="External"/><Relationship Id="rIdarguo-b2taqup3dncaqfk" Type="http://schemas.openxmlformats.org/officeDocument/2006/relationships/hyperlink" Target="https://www.baseball.com.au" TargetMode="External"/><Relationship Id="rIdygaeeeuxyips-ywklj-_c" Type="http://schemas.openxmlformats.org/officeDocument/2006/relationships/hyperlink" Target="https://baseballvictoria.com.au" TargetMode="External"/><Relationship Id="rIdoqaoa9c8eyfvikf_zo-sn" Type="http://schemas.openxmlformats.org/officeDocument/2006/relationships/hyperlink" Target="https://www.tennis.com.au" TargetMode="External"/><Relationship Id="rIdcfh4jiincbvnv5z36hoyi" Type="http://schemas.openxmlformats.org/officeDocument/2006/relationships/hyperlink" Target="https://www.volleyballaustralia.org.au" TargetMode="External"/><Relationship Id="rIdleejtyhpsgi64clmc-hzk" Type="http://schemas.openxmlformats.org/officeDocument/2006/relationships/hyperlink" Target="https://www.volleyballvic.org.au" TargetMode="External"/><Relationship Id="rIdvrvvlbznb3yesnjiegib4" Type="http://schemas.openxmlformats.org/officeDocument/2006/relationships/hyperlink" Target="https://www.badminton.org.au" TargetMode="External"/><Relationship Id="rIdnsvwo7vlii0tfcif8gws4" Type="http://schemas.openxmlformats.org/officeDocument/2006/relationships/hyperlink" Target="https://www.tabletennis.org.au" TargetMode="External"/><Relationship Id="rIdpao3ai7ublsluujqztzpi" Type="http://schemas.openxmlformats.org/officeDocument/2006/relationships/hyperlink" Target="https://www.gymnastics.org.au" TargetMode="External"/><Relationship Id="rIdtiro8iekswghcllhhzxv4" Type="http://schemas.openxmlformats.org/officeDocument/2006/relationships/hyperlink" Target="https://www.gymnasticsvictoria.org.au" TargetMode="External"/><Relationship Id="rId6yzd5fle8jm0vfw7q4gio" Type="http://schemas.openxmlformats.org/officeDocument/2006/relationships/hyperlink" Target="https://www2.education.vic.gov.au/pal" TargetMode="External"/><Relationship Id="rId7zwg71guuvfanpdlegqla" Type="http://schemas.openxmlformats.org/officeDocument/2006/relationships/hyperlink" Target="https://ausdance.org.au" TargetMode="External"/><Relationship Id="rIdrpnh9sraczskub-i70lfc" Type="http://schemas.openxmlformats.org/officeDocument/2006/relationships/hyperlink" Target="https://www.ausport.gov.au" TargetMode="External"/><Relationship Id="rIdmvzbmsmf6op_z2mlbv1kn" Type="http://schemas.openxmlformats.org/officeDocument/2006/relationships/hyperlink" Target="https://athletics.com.au" TargetMode="External"/><Relationship Id="rId0mjgd0sbvhfdbo-hiqtu5" Type="http://schemas.openxmlformats.org/officeDocument/2006/relationships/hyperlink" Target="https://lavic.com.au" TargetMode="External"/><Relationship Id="rIdhdvxhwpivq8pxgo4rf55e" Type="http://schemas.openxmlformats.org/officeDocument/2006/relationships/hyperlink" Target="https://www.schoolsportvictoria.com.au" TargetMode="External"/><Relationship Id="rId_hxdhd0xkbuycfqhnp8ct" Type="http://schemas.openxmlformats.org/officeDocument/2006/relationships/hyperlink" Target="https://lsv.com.au/toolkit" TargetMode="External"/><Relationship Id="rIdwkq1rf2d9ukggmtnenns9" Type="http://schemas.openxmlformats.org/officeDocument/2006/relationships/hyperlink" Target="https://lsv.com.au/what-we-do/research-advocacy" TargetMode="External"/><Relationship Id="rId5gxqh2ucqnzn8nh1_ujy8" Type="http://schemas.openxmlformats.org/officeDocument/2006/relationships/hyperlink" Target="https://www.royallifesaving.com.au/research-and-policy/drowning-research/national-drowning-reports" TargetMode="External"/><Relationship Id="rIdfikry_8wn4srzdcubia9s" Type="http://schemas.openxmlformats.org/officeDocument/2006/relationships/hyperlink" Target="https://sls.com.au" TargetMode="External"/><Relationship Id="rId6guzyhf3tj0xwwvsdugxl" Type="http://schemas.openxmlformats.org/officeDocument/2006/relationships/hyperlink" Target="https://beachsafe.org.au" TargetMode="External"/><Relationship Id="rIdd7y28jekx0o3ieea4me0j" Type="http://schemas.openxmlformats.org/officeDocument/2006/relationships/hyperlink" Target="https://austswim.com.au" TargetMode="External"/><Relationship Id="rIdvzuue2uwkqlgaa5nzxh2c" Type="http://schemas.openxmlformats.org/officeDocument/2006/relationships/hyperlink" Target="https://emilie-harrison.github.io/swim-water-safety/" TargetMode="External"/><Relationship Id="rIdoasfyljnc6wcvghqqvzho" Type="http://schemas.openxmlformats.org/officeDocument/2006/relationships/hyperlink" Target="https://www.outdooreducationaustralia.org.au" TargetMode="External"/><Relationship Id="rIdbd7bwfnyxfsfdne2s9ych" Type="http://schemas.openxmlformats.org/officeDocument/2006/relationships/hyperlink" Target="https://www.vicorienteering.asn.au" TargetMode="External"/><Relationship Id="rIdarnnpvdbqm1q4jvcqispl" Type="http://schemas.openxmlformats.org/officeDocument/2006/relationships/hyperlink" Target="https://www.parks.vic.gov.au" TargetMode="External"/><Relationship Id="rIddrv_baypt_ol2fldo_tpc" Type="http://schemas.openxmlformats.org/officeDocument/2006/relationships/hyperlink" Target="https://paddlevictoria.org.au" TargetMode="External"/><Relationship Id="rIdv5up6afciaynd1wttucxr" Type="http://schemas.openxmlformats.org/officeDocument/2006/relationships/hyperlink" Target="https://www2.education.vic.gov.au/pal" TargetMode="External"/><Relationship Id="rIdturtxgaky6sz-nhcqfbnl" Type="http://schemas.openxmlformats.org/officeDocument/2006/relationships/hyperlink" Target="https://ausbike.au" TargetMode="External"/><Relationship Id="rIdqdcp0g3vb4c2kvoe0haw-" Type="http://schemas.openxmlformats.org/officeDocument/2006/relationships/hyperlink" Target="https://www.bicyclenetwork.com.au" TargetMode="External"/><Relationship Id="rId4i4smqwek3j859cq2de6k" Type="http://schemas.openxmlformats.org/officeDocument/2006/relationships/hyperlink" Target="https://www.golf.org.au" TargetMode="External"/><Relationship Id="rIdrtsezq2bhqszaxg0uv-t-" Type="http://schemas.openxmlformats.org/officeDocument/2006/relationships/hyperlink" Target="https://www.vichealth.vic.gov.au" TargetMode="External"/><Relationship Id="rId4q6euq29ux2kptspcpapo" Type="http://schemas.openxmlformats.org/officeDocument/2006/relationships/hyperlink" Target="https://www.health.gov.au" TargetMode="External"/><Relationship Id="rIdnt0-qjn0rumkcu9fhtyty" Type="http://schemas.openxmlformats.org/officeDocument/2006/relationships/hyperlink" Target="https://www.disabilitysportvic.org.au" TargetMode="External"/><Relationship Id="rIdzqvbjvcvwgxsiqn6uhlwn" Type="http://schemas.openxmlformats.org/officeDocument/2006/relationships/hyperlink" Target="https://www.paralympic.org.au" TargetMode="External"/><Relationship Id="rIdhjhmrold_seeuoz04p83q" Type="http://schemas.openxmlformats.org/officeDocument/2006/relationships/hyperlink" Target="https://www.blindsports.org.au" TargetMode="External"/><Relationship Id="rId-26ssyhttmjdvvndrsocl" Type="http://schemas.openxmlformats.org/officeDocument/2006/relationships/hyperlink" Target="https://www.sportinclusionaustralia.org.au" TargetMode="External"/><Relationship Id="rId55c8yzzunc6gdbrxvbi1a" Type="http://schemas.openxmlformats.org/officeDocument/2006/relationships/hyperlink" Target="https://www.playbytherules.net.au" TargetMode="External"/><Relationship Id="rId5kbetzwzl-j-gdimj9g7w" Type="http://schemas.openxmlformats.org/officeDocument/2006/relationships/hyperlink" Target="https://beyou.edu.au" TargetMode="External"/><Relationship Id="rId5l0yxnmpfgxokh6hh-vhj" Type="http://schemas.openxmlformats.org/officeDocument/2006/relationships/hyperlink" Target="https://headspace.org.au" TargetMode="External"/><Relationship Id="rIdi2ancgoadjo10thjczyir" Type="http://schemas.openxmlformats.org/officeDocument/2006/relationships/hyperlink" Target="https://schools.au.reachout.com" TargetMode="External"/><Relationship Id="rIdub6esefu-zvbw-6hbtwhk" Type="http://schemas.openxmlformats.org/officeDocument/2006/relationships/hyperlink" Target="https://www.smilingmind.com.au" TargetMode="External"/><Relationship Id="rIdohyodiandzkkfdbwczjuu" Type="http://schemas.openxmlformats.org/officeDocument/2006/relationships/hyperlink" Target="https://kidshelpline.com.au" TargetMode="External"/><Relationship Id="rIdyyiackmkedpg18nod9uv6" Type="http://schemas.openxmlformats.org/officeDocument/2006/relationships/hyperlink" Target="https://www.school.tv" TargetMode="External"/><Relationship Id="rIdz2qh5s4pjyfwnaxi9_od6" Type="http://schemas.openxmlformats.org/officeDocument/2006/relationships/hyperlink" Target="https://positivechoices.org.au" TargetMode="External"/><Relationship Id="rId7vfqs4s0y5muys56bnjog" Type="http://schemas.openxmlformats.org/officeDocument/2006/relationships/hyperlink" Target="https://www.quit.org.au" TargetMode="External"/><Relationship Id="rId3-yopsim_nmwcixpyljip" Type="http://schemas.openxmlformats.org/officeDocument/2006/relationships/hyperlink" Target="https://www.cancervic.org.au" TargetMode="External"/><Relationship Id="rIdybz2sw2ncjwuhc6ro0phd" Type="http://schemas.openxmlformats.org/officeDocument/2006/relationships/hyperlink" Target="https://adf.org.au" TargetMode="External"/><Relationship Id="rIdyztskxkp7h5tj3u-enpmh" Type="http://schemas.openxmlformats.org/officeDocument/2006/relationships/hyperlink" Target="https://lungfoundation.com.au" TargetMode="External"/><Relationship Id="rIdjzinhlratdwzoqehz4a1t" Type="http://schemas.openxmlformats.org/officeDocument/2006/relationships/hyperlink" Target="https://positivechoices.org.au" TargetMode="External"/><Relationship Id="rIdtgxrgrnxha97k6h41qtok" Type="http://schemas.openxmlformats.org/officeDocument/2006/relationships/hyperlink" Target="https://adf.org.au" TargetMode="External"/><Relationship Id="rIdkowsm74ih_0ytey_1uzyl" Type="http://schemas.openxmlformats.org/officeDocument/2006/relationships/hyperlink" Target="https://www.ysas.org.au" TargetMode="External"/><Relationship Id="rId_ajmhmuxea9ku8zgwxipp" Type="http://schemas.openxmlformats.org/officeDocument/2006/relationships/hyperlink" Target="https://www.sharc.org.au" TargetMode="External"/><Relationship Id="rIdtosxqkjkmkdhsx7bz4elm" Type="http://schemas.openxmlformats.org/officeDocument/2006/relationships/hyperlink" Target="https://www.esafety.gov.au/educators" TargetMode="External"/><Relationship Id="rIdncpaf3jw1xq1uvd2mdtnb" Type="http://schemas.openxmlformats.org/officeDocument/2006/relationships/hyperlink" Target="https://www.esafety.gov.au/report" TargetMode="External"/><Relationship Id="rIdty93whup8qswv0zuc8yvf" Type="http://schemas.openxmlformats.org/officeDocument/2006/relationships/hyperlink" Target="https://esmart.org.au" TargetMode="External"/><Relationship Id="rId_b2ba7ffamjfs4gxuemmh" Type="http://schemas.openxmlformats.org/officeDocument/2006/relationships/hyperlink" Target="https://schools.au.reachout.com" TargetMode="External"/><Relationship Id="rIdshpbe_8ybwt6xt80yuvi0" Type="http://schemas.openxmlformats.org/officeDocument/2006/relationships/hyperlink" Target="https://raisingchildren.net.au" TargetMode="External"/><Relationship Id="rIduhmazu5s0rrwnet1a27it" Type="http://schemas.openxmlformats.org/officeDocument/2006/relationships/hyperlink" Target="https://www.education.vic.gov.au/respectfulrelationships" TargetMode="External"/><Relationship Id="rIdwaavu8u-v7bckm-hkcvbp" Type="http://schemas.openxmlformats.org/officeDocument/2006/relationships/hyperlink" Target="https://bullyingnoway.gov.au" TargetMode="External"/><Relationship Id="rIdmcdvhajzycwyyefnh4aee" Type="http://schemas.openxmlformats.org/officeDocument/2006/relationships/hyperlink" Target="https://www.esafety.gov.au/educators" TargetMode="External"/><Relationship Id="rIdmpmtfmpe3n3rb4_35a47j" Type="http://schemas.openxmlformats.org/officeDocument/2006/relationships/hyperlink" Target="https://education.ourwatch.org.au" TargetMode="External"/><Relationship Id="rIddt5bttcrijylv040iuhjl" Type="http://schemas.openxmlformats.org/officeDocument/2006/relationships/hyperlink" Target="https://www.playbytherules.net.au" TargetMode="External"/><Relationship Id="rIdnbvib8qdvliraxqbvvwox" Type="http://schemas.openxmlformats.org/officeDocument/2006/relationships/hyperlink" Target="https://www.shvic.org.au" TargetMode="External"/><Relationship Id="rIdadi08i7lvcer9utb0vh-u" Type="http://schemas.openxmlformats.org/officeDocument/2006/relationships/hyperlink" Target="https://www.education.vic.gov.au/respectfulrelationships" TargetMode="External"/><Relationship Id="rIdtfzl82nmlac5lzzt-b9xh" Type="http://schemas.openxmlformats.org/officeDocument/2006/relationships/hyperlink" Target="https://education.ourwatch.org.au" TargetMode="External"/><Relationship Id="rIdifl6sdxq90nolfhvbgvfr" Type="http://schemas.openxmlformats.org/officeDocument/2006/relationships/hyperlink" Target="https://www.cmy.net.au" TargetMode="External"/><Relationship Id="rIdzhwnympvkyv13k9pb5so3" Type="http://schemas.openxmlformats.org/officeDocument/2006/relationships/hyperlink" Target="https://www.nutritionaustralia.org" TargetMode="External"/><Relationship Id="rId5rcux3n6x-wk5zhhy2nsc" Type="http://schemas.openxmlformats.org/officeDocument/2006/relationships/hyperlink" Target="https://www.eatforhealth.gov.au" TargetMode="External"/><Relationship Id="rId4vtgsgiir6podlczch6og" Type="http://schemas.openxmlformats.org/officeDocument/2006/relationships/hyperlink" Target="https://www.dietitiansaustralia.org.au" TargetMode="External"/><Relationship Id="rIdfjau4rto_-z16whwnvgxk" Type="http://schemas.openxmlformats.org/officeDocument/2006/relationships/hyperlink" Target="https://www.achievementprogram.health.vic.gov.au" TargetMode="External"/><Relationship Id="rId5xejihdfewrnscjie_7ln" Type="http://schemas.openxmlformats.org/officeDocument/2006/relationships/hyperlink" Target="https://butterfly.org.au" TargetMode="External"/><Relationship Id="rIdctn7aintionvmnrmrpgqb" Type="http://schemas.openxmlformats.org/officeDocument/2006/relationships/hyperlink" Target="https://www.resus.org.au/guidelines" TargetMode="External"/><Relationship Id="rIdgpktpc8-fybxqmqp51mhx" Type="http://schemas.openxmlformats.org/officeDocument/2006/relationships/hyperlink" Target="https://www.stjohnvic.com.au" TargetMode="External"/><Relationship Id="rIdbpwerq2cy_dos3eh2pbxe" Type="http://schemas.openxmlformats.org/officeDocument/2006/relationships/hyperlink" Target="https://www.redcross.org.au" TargetMode="External"/><Relationship Id="rIdwcwajnum7ebvkbe-gge8u" Type="http://schemas.openxmlformats.org/officeDocument/2006/relationships/hyperlink" Target="https://www.heartfoundation.org.au" TargetMode="External"/><Relationship Id="rId9guc2hkh4vtrds2kcwxvf" Type="http://schemas.openxmlformats.org/officeDocument/2006/relationships/hyperlink" Target="https://lsv.com.au/courses-training" TargetMode="External"/><Relationship Id="rIdhj7txbhlwiewz2cpeg0i2" Type="http://schemas.openxmlformats.org/officeDocument/2006/relationships/hyperlink" Target="https://www.roadsafetyeducation.vic.gov.au" TargetMode="External"/><Relationship Id="rIdpkyjqvec146vt1r_k4yad" Type="http://schemas.openxmlformats.org/officeDocument/2006/relationships/hyperlink" Target="https://www.tac.vic.gov.au" TargetMode="External"/><Relationship Id="rId9um3wktpmuhyzu1onvdy2" Type="http://schemas.openxmlformats.org/officeDocument/2006/relationships/hyperlink" Target="https://www.sunsmart.com.au" TargetMode="External"/><Relationship Id="rIdcz5xpy_8yq9au9unmul0g" Type="http://schemas.openxmlformats.org/officeDocument/2006/relationships/hyperlink" Target="https://www.cfa.vic.gov.au" TargetMode="External"/><Relationship Id="rId7plqqapvkob4-cz0avja8" Type="http://schemas.openxmlformats.org/officeDocument/2006/relationships/hyperlink" Target="https://www.worksafe.vic.gov.au" TargetMode="External"/><Relationship Id="rIdtyidlmhji_bz03uslrjgv" Type="http://schemas.openxmlformats.org/officeDocument/2006/relationships/hyperlink" Target="https://www.sleephealthfoundation.org.au" TargetMode="External"/><Relationship Id="rIdq5lkuyalk5ycdriu948_n" Type="http://schemas.openxmlformats.org/officeDocument/2006/relationships/hyperlink" Target="https://www.aihw.gov.au" TargetMode="External"/><Relationship Id="rIdcwi-cbnfabm_dnnx-hybi" Type="http://schemas.openxmlformats.org/officeDocument/2006/relationships/hyperlink" Target="https://www.vichealth.vic.gov.au" TargetMode="External"/><Relationship Id="rIdwf9kpyarqqr1hsedhybyx" Type="http://schemas.openxmlformats.org/officeDocument/2006/relationships/hyperlink" Target="https://www.health.gov.au" TargetMode="External"/><Relationship Id="rIdsi1-sx_opxefybj9bycwr" Type="http://schemas.openxmlformats.org/officeDocument/2006/relationships/hyperlink" Target="https://aiatsis.gov.au/explore/map-indigenous-australia" TargetMode="External"/><Relationship Id="rIdy8jmlixl95x7kyi6swmof" Type="http://schemas.openxmlformats.org/officeDocument/2006/relationships/hyperlink" Target="https://www.narragunnawali.org.au" TargetMode="External"/><Relationship Id="rIdjl9ijnaeetcsl5mpssrmj" Type="http://schemas.openxmlformats.org/officeDocument/2006/relationships/hyperlink" Target="https://www.ausport.gov.au" TargetMode="External"/><Relationship Id="rIdxcdha-gwx1r5jezctfkd6" Type="http://schemas.openxmlformats.org/officeDocument/2006/relationships/hyperlink" Target="https://www.vaeai.org.au" TargetMode="External"/><Relationship Id="rIdgox7fmu_5h_rszsbwr2k4" Type="http://schemas.openxmlformats.org/officeDocument/2006/relationships/hyperlink" Target="https://www.cmy.net.au" TargetMode="External"/><Relationship Id="rIdnsth2oxgt2ibappfikct1" Type="http://schemas.openxmlformats.org/officeDocument/2006/relationships/hyperlink" Target="https://f10.vcaa.vic.edu.au/learning-areas/health-and-physical-education/curriculum" TargetMode="External"/><Relationship Id="rIdjz_lmtm6crqmmcfyllhen" Type="http://schemas.openxmlformats.org/officeDocument/2006/relationships/hyperlink" Target="https://f10.vcaa.vic.edu.au/resource-hub" TargetMode="External"/><Relationship Id="rIdnbyigryrbkxugchkg1-ih" Type="http://schemas.openxmlformats.org/officeDocument/2006/relationships/hyperlink" Target="https://f10.vcaa.vic.edu.au/download-curriculum" TargetMode="External"/><Relationship Id="rIdxlaakvnnoqknsihyr-dtd" Type="http://schemas.openxmlformats.org/officeDocument/2006/relationships/hyperlink" Target="https://www.vcaa.vic.edu.au" TargetMode="External"/><Relationship Id="rId-jhpxfky5dcvnnv15x9y8" Type="http://schemas.openxmlformats.org/officeDocument/2006/relationships/hyperlink" Target="https://www.achper.vic.edu.au" TargetMode="External"/><Relationship Id="rIde_zeydubxobc1uqrzo-q3" Type="http://schemas.openxmlformats.org/officeDocument/2006/relationships/hyperlink" Target="https://www.achper.vic.edu.au" TargetMode="External"/><Relationship Id="rIdfx4q26ax3talq2ucjpx9b" Type="http://schemas.openxmlformats.org/officeDocument/2006/relationships/hyperlink" Target="https://www.achper.org.au" TargetMode="External"/><Relationship Id="rIdqxf9fzijfyhkres0c6fnt" Type="http://schemas.openxmlformats.org/officeDocument/2006/relationships/hyperlink" Target="https://www.vcaa.vic.edu.au" TargetMode="External"/><Relationship Id="rIdjd-zbl_upos5-sgufmxzg" Type="http://schemas.openxmlformats.org/officeDocument/2006/relationships/hyperlink" Target="https://austswim.com.au" TargetMode="External"/><Relationship Id="rIdfpvrbvsvjv3tx-el55fu8" Type="http://schemas.openxmlformats.org/officeDocument/2006/relationships/hyperlink" Target="https://lsv.com.au/courses-training" TargetMode="External"/><Relationship Id="rIdzy9fhnktlp67sixomv5yw" Type="http://schemas.openxmlformats.org/officeDocument/2006/relationships/hyperlink" Target="https://beyou.edu.au" TargetMode="External"/><Relationship Id="rIde1klvbculz1xsho0dxoy8" Type="http://schemas.openxmlformats.org/officeDocument/2006/relationships/hyperlink" Target="https://www2.education.vic.gov.au/pal" TargetMode="External"/><Relationship Id="rIdnpttvgkzsi7zxb1sj1qsd" Type="http://schemas.openxmlformats.org/officeDocument/2006/relationships/hyperlink" Target="https://www2.education.vic.gov.au/pal/swimming-instruction-and-water-safety-education/policy" TargetMode="External"/><Relationship Id="rIdvgry4liwt-0vqrwhx1lxd" Type="http://schemas.openxmlformats.org/officeDocument/2006/relationships/hyperlink" Target="https://f10.vcaa.vic.edu.au" TargetMode="External"/><Relationship Id="rIdvrpdhrmh5kvamldcfkejg" Type="http://schemas.openxmlformats.org/officeDocument/2006/relationships/hyperlink" Target="https://www.schoolsportvictoria.com.au" TargetMode="External"/><Relationship Id="rId4tozea4qc8obxvarnapjo" Type="http://schemas.openxmlformats.org/officeDocument/2006/relationships/hyperlink" Target="https://www.vichealth.vic.gov.au" TargetMode="External"/><Relationship Id="rId1_cisxx_8to1eayxlymzt" Type="http://schemas.openxmlformats.org/officeDocument/2006/relationships/hyperlink" Target="https://www.ausport.gov.au" TargetMode="External"/><Relationship Id="rId1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HPE Secondary Resource Directory V8</dc:title>
  <dc:creator>HPE Resource Directory</dc:creator>
  <dc:description>Victorian Curriculum F-10 Version 2.0 HPE resource directory, Levels 7-8 and 9-10</dc:description>
  <cp:lastModifiedBy>Un-named</cp:lastModifiedBy>
  <cp:revision>1</cp:revision>
  <dcterms:created xsi:type="dcterms:W3CDTF">2026-09-16T00:59:49.210Z</dcterms:created>
  <dcterms:modified xsi:type="dcterms:W3CDTF">2026-09-16T00:59:49.210Z</dcterms:modified>
</cp:coreProperties>
</file>

<file path=docProps/custom.xml><?xml version="1.0" encoding="utf-8"?>
<Properties xmlns="http://schemas.openxmlformats.org/officeDocument/2006/custom-properties" xmlns:vt="http://schemas.openxmlformats.org/officeDocument/2006/docPropsVTypes"/>
</file>